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-781" w:rightChars="-244"/>
        <w:jc w:val="both"/>
        <w:textAlignment w:val="auto"/>
        <w:rPr>
          <w:rFonts w:hint="default" w:ascii="方正小标宋简体" w:hAnsi="方正小标宋简体" w:eastAsia="方正小标宋简体" w:cs="方正小标宋简体"/>
          <w:color w:val="FF0000"/>
          <w:spacing w:val="-20"/>
          <w:w w:val="85"/>
          <w:sz w:val="74"/>
          <w:szCs w:val="74"/>
          <w:lang w:val="en-US" w:eastAsia="zh-CN"/>
        </w:rPr>
      </w:pPr>
      <w:r>
        <w:rPr>
          <w:b w:val="0"/>
          <w:bCs w:val="0"/>
          <w:color w:val="FF0000"/>
          <w:spacing w:val="6"/>
          <w:w w:val="85"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110490</wp:posOffset>
                </wp:positionV>
                <wp:extent cx="1308735" cy="1040130"/>
                <wp:effectExtent l="0" t="0" r="5715" b="7620"/>
                <wp:wrapSquare wrapText="bothSides"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1220" y="2407920"/>
                          <a:ext cx="1308735" cy="1040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w w:val="80"/>
                                <w:sz w:val="96"/>
                                <w:szCs w:val="96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w w:val="80"/>
                                <w:sz w:val="96"/>
                                <w:szCs w:val="96"/>
                                <w:highlight w:val="none"/>
                                <w:lang w:eastAsia="zh-CN"/>
                                <w14:textFill>
                                  <w14:gradFill>
                                    <w14:gsLst>
                                      <w14:gs w14:pos="10000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5.3pt;margin-top:8.7pt;height:81.9pt;width:103.05pt;mso-wrap-distance-bottom:0pt;mso-wrap-distance-left:9pt;mso-wrap-distance-right:9pt;mso-wrap-distance-top:0pt;z-index:251661312;v-text-anchor:middle;mso-width-relative:page;mso-height-relative:page;" fillcolor="#FFFFFF [3201]" filled="t" stroked="f" coordsize="21600,21600" o:gfxdata="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IcUVRLZAAAACgEAAA8AAAAAAAAAAQAgAAAA&#10;IgAAAGRycy9kb3ducmV2LnhtbFBLAQIUABQAAAAIAIdO4kCr8hWUfAIAAOMEAAAOAAAAAAAAAAEA&#10;IAAAACg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w w:val="80"/>
                          <w:sz w:val="96"/>
                          <w:szCs w:val="96"/>
                          <w:highlight w:val="none"/>
                          <w:lang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w w:val="80"/>
                          <w:sz w:val="96"/>
                          <w:szCs w:val="96"/>
                          <w:highlight w:val="none"/>
                          <w:lang w:eastAsia="zh-CN"/>
                          <w14:textFill>
                            <w14:gradFill>
                              <w14:gsLst>
                                <w14:gs w14:pos="10000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文件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FF0000"/>
          <w:spacing w:val="6"/>
          <w:w w:val="85"/>
          <w:sz w:val="74"/>
          <w:szCs w:val="74"/>
          <w:lang w:val="en-US" w:eastAsia="zh-CN"/>
        </w:rPr>
        <w:t>宁陵县住房和城乡建设局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right="-781" w:rightChars="-244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-20"/>
          <w:w w:val="96"/>
          <w:sz w:val="74"/>
          <w:szCs w:val="74"/>
          <w:lang w:val="en-US" w:eastAsia="zh-CN"/>
        </w:rPr>
      </w:pPr>
      <w:r>
        <w:rPr>
          <w:rFonts w:hint="eastAsia" w:ascii="方正小标宋简体" w:hAnsi="方正小标宋简体" w:eastAsia="方正小标宋简体" w:cs="宋体"/>
          <w:color w:val="FF0000"/>
          <w:spacing w:val="-6"/>
          <w:w w:val="96"/>
          <w:sz w:val="74"/>
          <w:szCs w:val="74"/>
          <w:lang w:val="en-US" w:eastAsia="zh-CN"/>
        </w:rPr>
        <w:t>宁陵县市场监督管理局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eastAsia" w:ascii="仿宋_GB2312" w:hAnsi="仿宋_GB2312" w:cs="仿宋_GB2312"/>
          <w:spacing w:val="-2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cs="仿宋_GB2312"/>
          <w:spacing w:val="-20"/>
          <w:sz w:val="32"/>
          <w:szCs w:val="32"/>
          <w:lang w:eastAsia="zh-CN"/>
        </w:rPr>
        <w:t>宁</w:t>
      </w:r>
      <w:r>
        <w:rPr>
          <w:rFonts w:hint="eastAsia" w:ascii="仿宋_GB2312" w:hAnsi="仿宋_GB2312" w:cs="仿宋_GB2312"/>
          <w:spacing w:val="-20"/>
          <w:sz w:val="32"/>
          <w:szCs w:val="32"/>
          <w:lang w:val="en-US" w:eastAsia="zh-CN"/>
        </w:rPr>
        <w:t>建字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/>
          <w:sz w:val="32"/>
          <w:szCs w:val="32"/>
          <w:lang w:val="en-US" w:eastAsia="zh-CN"/>
        </w:rPr>
        <w:t>127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34290</wp:posOffset>
                </wp:positionV>
                <wp:extent cx="5794375" cy="0"/>
                <wp:effectExtent l="0" t="10795" r="15875" b="1778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50340" y="5176520"/>
                          <a:ext cx="57943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1pt;margin-top:2.7pt;height:0pt;width:456.25pt;z-index:251660288;mso-width-relative:page;mso-height-relative:page;" filled="f" stroked="t" coordsize="21600,21600" o:gfxdata="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R32Tm1gAAAAcBAAAPAAAAAAAAAAEAIAAAACIAAABkcnMvZG93bnJldi54bWxQSwECFAAU&#10;AAAACACHTuJAj5jn1fMBAAC+AwAADgAAAAAAAAABACAAAAAlAQAAZHJzL2Uyb0RvYy54bWxQSwUG&#10;AAAAAAYABgBZAQAAigUAAAAA&#10;">
                <v:fill on="f" focussize="0,0"/>
                <v:stroke weight="1.75pt" color="#FF0000 [3208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宁陵县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建筑市场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“双随机、一公开”部门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联合抽查工作实施方案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cs="仿宋_GB2312"/>
          <w:lang w:val="en-US" w:eastAsia="zh-CN"/>
        </w:rPr>
        <w:t xml:space="preserve"> 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为进一步推进我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“双随机、一公开”监管工作持续、广泛、深入地开展，按照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宁陵县住房和城乡建设局关于印发2023年“双随机、一公开”抽查计划的通知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建字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〔202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）文件要求，结合我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实际，决定开展跨部门“双随机、一公开”联合抽查工作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为保证本次跨部门联合抽查取得实效，特制定如下方案。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一、抽查时间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20</w:t>
      </w:r>
      <w:r>
        <w:rPr>
          <w:rFonts w:hint="eastAsia" w:ascii="仿宋" w:hAnsi="仿宋" w:eastAsia="仿宋" w:cs="仿宋"/>
          <w:lang w:val="en-US" w:eastAsia="zh-CN"/>
        </w:rPr>
        <w:t>23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7月1</w:t>
      </w:r>
      <w:r>
        <w:rPr>
          <w:rFonts w:hint="eastAsia" w:ascii="仿宋" w:hAnsi="仿宋" w:eastAsia="仿宋" w:cs="仿宋"/>
        </w:rPr>
        <w:t>日至</w:t>
      </w:r>
      <w:r>
        <w:rPr>
          <w:rFonts w:hint="eastAsia" w:ascii="仿宋" w:hAnsi="仿宋" w:eastAsia="仿宋" w:cs="仿宋"/>
          <w:lang w:val="en-US" w:eastAsia="zh-CN"/>
        </w:rPr>
        <w:t>8月30</w:t>
      </w:r>
      <w:r>
        <w:rPr>
          <w:rFonts w:hint="eastAsia" w:ascii="仿宋" w:hAnsi="仿宋" w:eastAsia="仿宋" w:cs="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二、抽查对象及范围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宁陵县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规划区域内建筑行业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三、抽查部门及抽查内容</w:t>
      </w:r>
    </w:p>
    <w:p>
      <w:pPr>
        <w:ind w:firstLine="640" w:firstLineChars="200"/>
        <w:jc w:val="both"/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县住建部门</w:t>
      </w:r>
      <w:r>
        <w:rPr>
          <w:rFonts w:hint="eastAsia" w:ascii="仿宋" w:hAnsi="仿宋" w:eastAsia="仿宋" w:cs="仿宋"/>
          <w:kern w:val="2"/>
          <w:sz w:val="36"/>
          <w:szCs w:val="36"/>
          <w:lang w:val="en-US" w:eastAsia="zh-CN" w:bidi="ar-SA"/>
        </w:rPr>
        <w:t>：</w:t>
      </w:r>
      <w:r>
        <w:rPr>
          <w:rFonts w:hint="eastAsia"/>
          <w:vertAlign w:val="baseline"/>
          <w:lang w:val="en-US" w:eastAsia="zh-CN"/>
        </w:rPr>
        <w:t>对建筑业企业违法分包、违法转包的检查，对建设单位、施工单位施工许可的检查。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县市场监督局：</w:t>
      </w:r>
      <w:r>
        <w:rPr>
          <w:rFonts w:hint="eastAsia"/>
          <w:vertAlign w:val="baseline"/>
          <w:lang w:val="en-US" w:eastAsia="zh-CN"/>
        </w:rPr>
        <w:t>登记事项和公示信息的检查。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四、名单抽取及派发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通过“国家企业信用信息公示系统(部门协同监管平台-河南)”，采取随机抽取的方式，从市场主体名录库中确定被检查对象，从执法人员名录库中随机抽取执法检查人员进行匹配，生成每户企业相对应执法检查人员，派发到抽查执法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五、组织实施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</w:rPr>
        <w:t>“双随机、一公开”监管工作领导小组办公室负责沟通、协调、组织各成员单位实施跨部门联合抽查工作。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</w:t>
      </w:r>
      <w:r>
        <w:rPr>
          <w:rFonts w:hint="eastAsia" w:ascii="仿宋" w:hAnsi="仿宋" w:eastAsia="仿宋" w:cs="仿宋"/>
          <w:lang w:eastAsia="zh-CN"/>
        </w:rPr>
        <w:t>县</w:t>
      </w:r>
      <w:r>
        <w:rPr>
          <w:rFonts w:hint="eastAsia" w:ascii="仿宋" w:hAnsi="仿宋" w:eastAsia="仿宋" w:cs="仿宋"/>
        </w:rPr>
        <w:t>“双随机、一公开”监管工作领导小组成员单位负责具体实施联合抽查工作。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3、随机抽取的执法人员，无法独立完成专业抽查事项的，由执法检查人员所在单位选派专业人员协助指导完成抽查工作。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1、对企业进行实地核查时，每个部门检查人员不少于2人，并应当出示执法证件，检查人员应当填写《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抽查检查表》，并由被检查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法定代表人签字盖章确认；被检查对象拒绝签字的应当在《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抽查检查表》上如实记录。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2、</w:t>
      </w:r>
      <w:r>
        <w:rPr>
          <w:rFonts w:hint="eastAsia" w:ascii="仿宋" w:hAnsi="仿宋" w:eastAsia="仿宋" w:cs="仿宋"/>
          <w:lang w:val="en-US" w:eastAsia="zh-CN"/>
        </w:rPr>
        <w:t>抽查</w:t>
      </w:r>
      <w:r>
        <w:rPr>
          <w:rFonts w:hint="eastAsia" w:ascii="仿宋" w:hAnsi="仿宋" w:eastAsia="仿宋" w:cs="仿宋"/>
        </w:rPr>
        <w:t>检查可以采取书面检查、实地核查等方式，也可以依法利用其他政府部门作出的检查、核查结果或者其他专业机构作出的专业结论。被检查对象实施现场检查一般采取信息比对、实地核查等方式进行。</w:t>
      </w:r>
      <w:r>
        <w:rPr>
          <w:rFonts w:hint="eastAsia" w:ascii="仿宋" w:hAnsi="仿宋" w:eastAsia="仿宋" w:cs="仿宋"/>
          <w:lang w:val="en-US" w:eastAsia="zh-CN"/>
        </w:rPr>
        <w:t>各成员单位按照各自职责对抽查的市场主体开展执法检查，实现“进一次门，查多项事”。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自检查结果产生之日起20个工作日内，按照“谁检查、谁录入、谁公开”的原则，由检查人员在省级平台上录入抽查结果，并通过“国家企业信用信息公示系统（河南）”及时向社会公示。对抽查发现的问题，根据法律法规和部门职责分工，按照“谁审批、谁监管，谁主管、谁监管”原则和属地管理原则做好后续监管衔接，依法加大惩处力度，对涉嫌犯罪的移送司法机关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  <w:lang w:val="en-US" w:eastAsia="zh-CN"/>
        </w:rPr>
        <w:t>防止监管脱节</w:t>
      </w:r>
      <w:r>
        <w:rPr>
          <w:rFonts w:hint="eastAsia" w:ascii="仿宋" w:hAnsi="仿宋" w:eastAsia="仿宋" w:cs="仿宋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  <w:sz w:val="32"/>
          <w:szCs w:val="32"/>
        </w:rPr>
        <w:t>（一）加强沟通联系，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密切协调配合。</w:t>
      </w:r>
      <w:r>
        <w:rPr>
          <w:rFonts w:hint="eastAsia" w:ascii="仿宋" w:hAnsi="仿宋" w:eastAsia="仿宋" w:cs="仿宋"/>
        </w:rPr>
        <w:t>各有关成员单位要高度重视“双随机、一公开”跨部门联合抽查工作，按照工作安排，积极筹划，精心组织，加强沟通，密切协作，确保联合抽查有序开展。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  <w:sz w:val="32"/>
          <w:szCs w:val="32"/>
        </w:rPr>
        <w:t>（二）统一监管服务，减轻企业负担。</w:t>
      </w:r>
      <w:r>
        <w:rPr>
          <w:rFonts w:hint="eastAsia" w:ascii="仿宋" w:hAnsi="仿宋" w:eastAsia="仿宋" w:cs="仿宋"/>
        </w:rPr>
        <w:t>在联合抽查工作中，各部门要注重服务与监管相统一，执法人员在监督检查中要廉政执法，依法行政。要增强服务意识，主动接受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咨询，为</w:t>
      </w:r>
      <w:r>
        <w:rPr>
          <w:rFonts w:hint="eastAsia" w:ascii="仿宋" w:hAnsi="仿宋" w:eastAsia="仿宋" w:cs="仿宋"/>
          <w:lang w:val="en-US" w:eastAsia="zh-CN"/>
        </w:rPr>
        <w:t>项目</w:t>
      </w:r>
      <w:r>
        <w:rPr>
          <w:rFonts w:hint="eastAsia" w:ascii="仿宋" w:hAnsi="仿宋" w:eastAsia="仿宋" w:cs="仿宋"/>
        </w:rPr>
        <w:t>答疑解惑。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  <w:sz w:val="32"/>
          <w:szCs w:val="32"/>
        </w:rPr>
        <w:t>（三）做好信息公示，促进信用监管。</w:t>
      </w:r>
      <w:r>
        <w:rPr>
          <w:rFonts w:hint="eastAsia" w:ascii="仿宋" w:hAnsi="仿宋" w:eastAsia="仿宋" w:cs="仿宋"/>
        </w:rPr>
        <w:t>各部门的执法检查人员应自完成“双随机、一公开”联合抽查工作后20个工作日内，登陆“国家企业信用信息公示系统（河南）”将抽查结果录入并公示，促进形成企业诚信自律的社会氛围。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楷体" w:hAnsi="楷体" w:eastAsia="楷体" w:cs="楷体"/>
          <w:sz w:val="32"/>
          <w:szCs w:val="32"/>
        </w:rPr>
        <w:t>（四）认真总结经验，及时反馈情况。</w:t>
      </w:r>
      <w:r>
        <w:rPr>
          <w:rFonts w:hint="eastAsia" w:ascii="仿宋" w:hAnsi="仿宋" w:eastAsia="仿宋" w:cs="仿宋"/>
        </w:rPr>
        <w:t>各部门要认真发现联合抽查工作中的亮点，总结经验做法及存在的问题，形成联合抽查工作总结。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电子邮箱：</w:t>
      </w:r>
      <w:r>
        <w:rPr>
          <w:rFonts w:hint="eastAsia" w:ascii="仿宋" w:hAnsi="仿宋" w:eastAsia="仿宋" w:cs="仿宋"/>
          <w:lang w:val="en-US" w:eastAsia="zh-CN"/>
        </w:rPr>
        <w:t>jianwei7811769</w:t>
      </w:r>
      <w:r>
        <w:rPr>
          <w:rFonts w:hint="eastAsia" w:ascii="仿宋" w:hAnsi="仿宋" w:eastAsia="仿宋" w:cs="仿宋"/>
        </w:rPr>
        <w:t>@1</w:t>
      </w:r>
      <w:r>
        <w:rPr>
          <w:rFonts w:hint="eastAsia" w:ascii="仿宋" w:hAnsi="仿宋" w:eastAsia="仿宋" w:cs="仿宋"/>
          <w:lang w:val="en-US" w:eastAsia="zh-CN"/>
        </w:rPr>
        <w:t>63</w:t>
      </w:r>
      <w:r>
        <w:rPr>
          <w:rFonts w:hint="eastAsia" w:ascii="仿宋" w:hAnsi="仿宋" w:eastAsia="仿宋" w:cs="仿宋"/>
        </w:rPr>
        <w:t>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联系电话：0370-</w:t>
      </w:r>
      <w:r>
        <w:rPr>
          <w:rFonts w:hint="eastAsia" w:ascii="仿宋" w:hAnsi="仿宋" w:eastAsia="仿宋" w:cs="仿宋"/>
          <w:lang w:val="en-US" w:eastAsia="zh-CN"/>
        </w:rPr>
        <w:t>7811769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附件：宁陵县“双随机、一公开”跨部门联合抽查记录表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宁陵县住房和城乡建设局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宁陵县市场监督管理局            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02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6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29</w:t>
      </w:r>
      <w:r>
        <w:rPr>
          <w:rFonts w:hint="eastAsia" w:ascii="仿宋" w:hAnsi="仿宋" w:eastAsia="仿宋" w:cs="仿宋"/>
        </w:rPr>
        <w:t>日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eastAsia="zh-CN"/>
        </w:rPr>
        <w:t>宁陵县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  <w:lang w:val="en-US" w:eastAsia="zh-CN"/>
        </w:rPr>
        <w:t>建筑市场</w:t>
      </w: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“双随机、一公开”跨部门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w w:val="9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w w:val="100"/>
          <w:sz w:val="44"/>
          <w:szCs w:val="44"/>
        </w:rPr>
        <w:t>联合抽查记录表</w:t>
      </w:r>
    </w:p>
    <w:tbl>
      <w:tblPr>
        <w:tblStyle w:val="5"/>
        <w:tblW w:w="102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264"/>
        <w:gridCol w:w="806"/>
        <w:gridCol w:w="2203"/>
        <w:gridCol w:w="1172"/>
        <w:gridCol w:w="829"/>
        <w:gridCol w:w="2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执法人员</w:t>
            </w: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执法证件名称</w:t>
            </w: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执法证件编号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住房和城乡建设局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宁陵县市场监督管理局</w:t>
            </w: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</w:pPr>
          </w:p>
        </w:tc>
        <w:tc>
          <w:tcPr>
            <w:tcW w:w="207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7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30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被查单位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统一社会食用代码/注册号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20" w:leftChars="0" w:hanging="320" w:hangingChars="100"/>
              <w:jc w:val="center"/>
              <w:textAlignment w:val="auto"/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300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法定代表人/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748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检查单位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50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检查子项</w:t>
            </w: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住房和城乡建设局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建筑市场监管行为</w:t>
            </w:r>
          </w:p>
        </w:tc>
        <w:tc>
          <w:tcPr>
            <w:tcW w:w="501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560" w:leftChars="0" w:hanging="4560" w:hangingChars="19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违法分包、违法转包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对建设单位、施工单位施工许可的检查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3840" w:leftChars="0" w:hanging="3840" w:hangingChars="1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4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0" w:hanging="1440" w:hangingChars="600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440" w:hanging="1440" w:hangingChars="600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Times New Roman" w:eastAsia="仿宋_GB2312"/>
                <w:sz w:val="24"/>
                <w:szCs w:val="24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宁陵县市场监督管理局</w:t>
            </w:r>
          </w:p>
        </w:tc>
        <w:tc>
          <w:tcPr>
            <w:tcW w:w="6274" w:type="dxa"/>
            <w:gridSpan w:val="5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登记事项和公示信息的检查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</w:p>
        </w:tc>
        <w:tc>
          <w:tcPr>
            <w:tcW w:w="2479" w:type="dxa"/>
            <w:tcBorders>
              <w:top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处理意见</w:t>
            </w:r>
          </w:p>
        </w:tc>
        <w:tc>
          <w:tcPr>
            <w:tcW w:w="875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exact"/>
          <w:jc w:val="center"/>
        </w:trPr>
        <w:tc>
          <w:tcPr>
            <w:tcW w:w="14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753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firstLine="280" w:firstLineChars="10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检查对象                          执法检查人员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00" w:lineRule="exact"/>
        <w:ind w:left="0" w:firstLine="0" w:firstLineChars="0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（签字/盖章）                      （签字/盖章）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       年  月  日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0" w:firstLineChars="0"/>
        <w:jc w:val="both"/>
        <w:textAlignment w:val="auto"/>
        <w:rPr>
          <w:rFonts w:hint="default" w:ascii="仿宋_GB2312" w:hAnsi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Times New Roman"/>
          <w:sz w:val="24"/>
          <w:szCs w:val="24"/>
          <w:lang w:eastAsia="zh-CN"/>
        </w:rPr>
      </w:pPr>
      <w:r>
        <w:rPr>
          <w:rFonts w:hint="eastAsia" w:ascii="仿宋_GB2312" w:hAnsi="Times New Roman"/>
          <w:sz w:val="24"/>
          <w:szCs w:val="24"/>
          <w:lang w:eastAsia="zh-CN"/>
        </w:rPr>
        <w:t>说明：（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1）检查结果栏填写相应编号：</w:t>
      </w:r>
      <w:r>
        <w:rPr>
          <w:rFonts w:hint="eastAsia" w:ascii="仿宋_GB2312" w:hAnsi="Times New Roman" w:eastAsia="仿宋_GB2312"/>
          <w:sz w:val="24"/>
          <w:szCs w:val="24"/>
        </w:rPr>
        <w:t>1.未发现问题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 w:eastAsia="仿宋_GB2312"/>
          <w:sz w:val="24"/>
          <w:szCs w:val="24"/>
        </w:rPr>
        <w:t>2.未按规定公示应当公示的信息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 w:eastAsia="仿宋_GB2312"/>
          <w:sz w:val="24"/>
          <w:szCs w:val="24"/>
        </w:rPr>
        <w:t>3.公示信息隐瞒真实情况、弄虚作假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4</w:t>
      </w:r>
      <w:r>
        <w:rPr>
          <w:rFonts w:hint="eastAsia" w:ascii="仿宋_GB2312" w:hAnsi="Times New Roman" w:eastAsia="仿宋_GB2312"/>
          <w:sz w:val="24"/>
          <w:szCs w:val="24"/>
        </w:rPr>
        <w:t>.发现问题已责令改正</w:t>
      </w:r>
      <w:r>
        <w:rPr>
          <w:rFonts w:hint="eastAsia" w:ascii="仿宋_GB2312"/>
          <w:sz w:val="24"/>
          <w:szCs w:val="24"/>
          <w:lang w:val="en-US" w:eastAsia="zh-CN"/>
        </w:rPr>
        <w:t>。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5</w:t>
      </w:r>
      <w:r>
        <w:rPr>
          <w:rFonts w:hint="eastAsia" w:ascii="仿宋_GB2312" w:hAnsi="Times New Roman" w:eastAsia="仿宋_GB2312"/>
          <w:sz w:val="24"/>
          <w:szCs w:val="24"/>
        </w:rPr>
        <w:t>.不配合检查情节严重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  <w:r>
        <w:rPr>
          <w:rFonts w:hint="eastAsia" w:ascii="仿宋_GB2312" w:hAnsi="Times New Roman"/>
          <w:sz w:val="24"/>
          <w:szCs w:val="24"/>
          <w:lang w:val="en-US" w:eastAsia="zh-CN"/>
        </w:rPr>
        <w:t>6</w:t>
      </w:r>
      <w:r>
        <w:rPr>
          <w:rFonts w:hint="eastAsia" w:ascii="仿宋_GB2312" w:hAnsi="Times New Roman" w:eastAsia="仿宋_GB2312"/>
          <w:sz w:val="24"/>
          <w:szCs w:val="24"/>
        </w:rPr>
        <w:t>.发现问题待后续处理</w:t>
      </w:r>
      <w:r>
        <w:rPr>
          <w:rFonts w:hint="eastAsia" w:ascii="仿宋_GB2312" w:hAnsi="Times New Roman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Times New Roman"/>
          <w:sz w:val="24"/>
          <w:szCs w:val="24"/>
          <w:lang w:val="en-US" w:eastAsia="zh-CN"/>
        </w:rPr>
        <w:t xml:space="preserve">    （2）备注栏可填写检查过程中责令停止违法与督促整改等相关情况。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 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 w:cs="Times New Roman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jMWJkN2IyNTliZDdiN2VkM2FlNDZjMWI0OTVjZjgifQ=="/>
  </w:docVars>
  <w:rsids>
    <w:rsidRoot w:val="00000000"/>
    <w:rsid w:val="1E37603B"/>
    <w:rsid w:val="28F6721F"/>
    <w:rsid w:val="4D444F5C"/>
    <w:rsid w:val="683875CE"/>
    <w:rsid w:val="6944377B"/>
    <w:rsid w:val="70F63C5E"/>
    <w:rsid w:val="7877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100" w:beforeAutospacing="1"/>
    </w:pPr>
  </w:style>
  <w:style w:type="paragraph" w:styleId="3">
    <w:name w:val="Body Text 2"/>
    <w:basedOn w:val="1"/>
    <w:unhideWhenUsed/>
    <w:qFormat/>
    <w:uiPriority w:val="99"/>
    <w:pPr>
      <w:widowControl/>
      <w:numPr>
        <w:ilvl w:val="0"/>
        <w:numId w:val="1"/>
      </w:numPr>
      <w:tabs>
        <w:tab w:val="clear" w:pos="1440"/>
      </w:tabs>
      <w:spacing w:beforeLines="50" w:line="336" w:lineRule="auto"/>
      <w:ind w:left="0" w:firstLine="0"/>
    </w:pPr>
    <w:rPr>
      <w:rFonts w:ascii="Times New Roman" w:hAnsi="Times New Roman" w:eastAsia="黑体"/>
      <w:szCs w:val="20"/>
      <w:lang w:val="en-GB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1776</Words>
  <Characters>1843</Characters>
  <Lines>0</Lines>
  <Paragraphs>0</Paragraphs>
  <TotalTime>3</TotalTime>
  <ScaleCrop>false</ScaleCrop>
  <LinksUpToDate>false</LinksUpToDate>
  <CharactersWithSpaces>2218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2022-10-27T07:27:00Z</dcterms:created>
  <dc:creator>Administrator</dc:creator>
  <cp:lastModifiedBy>王艳</cp:lastModifiedBy>
  <dcterms:modified xsi:type="dcterms:W3CDTF">2023-06-29T08:17:11Z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54AEC3D788F94E3F9B559994891BA9A9</vt:lpwstr>
  </property>
</Properties>
</file>