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Default ContentType="image/x-wmf" Extension="w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960" w:lineRule="exact"/>
        <w:jc w:val="center"/>
        <w:rPr>
          <w:rFonts w:hint="default" w:ascii="Times New Roman" w:hAnsi="Times New Roman" w:cs="Times New Roman"/>
        </w:rPr>
      </w:pPr>
      <w:bookmarkStart w:id="0" w:name="_Toc25240279"/>
      <w:bookmarkStart w:id="1" w:name="_Toc5104"/>
      <w:bookmarkStart w:id="2" w:name="_Toc19042"/>
    </w:p>
    <w:p>
      <w:pPr>
        <w:spacing w:line="960" w:lineRule="exact"/>
        <w:jc w:val="center"/>
        <w:rPr>
          <w:rFonts w:hint="default" w:ascii="Times New Roman" w:hAnsi="Times New Roman" w:cs="Times New Roman"/>
          <w:color w:val="FF0000"/>
        </w:rPr>
      </w:pPr>
    </w:p>
    <w:p>
      <w:pPr>
        <w:jc w:val="center"/>
        <w:rPr>
          <w:rFonts w:hint="default" w:ascii="Times New Roman" w:hAnsi="Times New Roman" w:eastAsia="方正小标宋_GBK" w:cs="Times New Roman"/>
          <w:b/>
          <w:color w:val="FF0000"/>
          <w:spacing w:val="10"/>
          <w:w w:val="70"/>
          <w:sz w:val="88"/>
          <w:szCs w:val="88"/>
        </w:rPr>
      </w:pPr>
      <w:r>
        <w:rPr>
          <w:rFonts w:hint="default" w:ascii="Times New Roman" w:hAnsi="Times New Roman" w:eastAsia="方正小标宋_GBK" w:cs="Times New Roman"/>
          <w:b/>
          <w:color w:val="FF0000"/>
          <w:spacing w:val="10"/>
          <w:w w:val="70"/>
          <w:sz w:val="88"/>
          <w:szCs w:val="88"/>
        </w:rPr>
        <w:t>河南省生态环境厅办公室文件</w:t>
      </w:r>
    </w:p>
    <w:p>
      <w:pPr>
        <w:spacing w:line="600" w:lineRule="exact"/>
        <w:rPr>
          <w:rFonts w:hint="default" w:ascii="Times New Roman" w:hAnsi="Times New Roman" w:cs="Times New Roman"/>
        </w:rPr>
      </w:pPr>
    </w:p>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豫环办〔20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72</w:t>
      </w:r>
      <w:r>
        <w:rPr>
          <w:rFonts w:hint="default" w:ascii="Times New Roman" w:hAnsi="Times New Roman" w:eastAsia="方正仿宋_GBK" w:cs="Times New Roman"/>
          <w:sz w:val="32"/>
          <w:szCs w:val="32"/>
        </w:rPr>
        <w:t>号</w:t>
      </w:r>
    </w:p>
    <w:p>
      <w:pPr>
        <w:rPr>
          <w:rFonts w:hint="default" w:ascii="Times New Roman" w:hAnsi="Times New Roman" w:eastAsia="方正仿宋_GBK" w:cs="Times New Roman"/>
          <w:sz w:val="32"/>
          <w:szCs w:val="32"/>
        </w:rPr>
      </w:pPr>
      <w:r>
        <w:rPr>
          <w:rFonts w:hint="default" w:ascii="Times New Roman" w:hAnsi="Times New Roman" w:eastAsia="宋体" w:cs="Times New Roman"/>
          <w:kern w:val="2"/>
          <w:sz w:val="21"/>
          <w:szCs w:val="21"/>
          <w:lang w:val="en-US" w:eastAsia="zh-CN" w:bidi="ar-SA"/>
        </w:rPr>
        <w:pict>
          <v:line id="直线 11" o:spid="_x0000_s1025" style="position:absolute;left:0;margin-left:-0.95pt;margin-top:5.15pt;height:0.05pt;width:441pt;rotation:0f;z-index:251658240;" o:ole="f" fillcolor="#FFFFFF" filled="f" o:preferrelative="t" stroked="t" coordsize="21600,21600">
            <v:fill on="f" color2="#FFFFFF" focus="0%"/>
            <v:stroke weight="1pt" color="#FF0000" color2="#FFFFFF" opacity="100%" miterlimit="2"/>
            <v:imagedata gain="65536f" blacklevel="0f" gamma="0"/>
            <o:lock v:ext="edit" position="f" selection="f" grouping="f" rotation="f" cropping="f" text="f" aspectratio="f"/>
          </v:line>
        </w:pict>
      </w:r>
    </w:p>
    <w:p>
      <w:pPr>
        <w:spacing w:line="500" w:lineRule="exact"/>
        <w:rPr>
          <w:rFonts w:hint="default" w:ascii="Times New Roman" w:hAnsi="Times New Roman" w:cs="Times New Roman"/>
        </w:rPr>
      </w:pPr>
    </w:p>
    <w:p>
      <w:pPr>
        <w:widowControl w:val="0"/>
        <w:wordWrap/>
        <w:adjustRightInd/>
        <w:snapToGrid/>
        <w:spacing w:line="700" w:lineRule="exact"/>
        <w:jc w:val="center"/>
        <w:textAlignment w:val="auto"/>
        <w:outlineLvl w:val="9"/>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河南省生态环境厅办公室</w:t>
      </w:r>
    </w:p>
    <w:p>
      <w:pPr>
        <w:widowControl w:val="0"/>
        <w:wordWrap/>
        <w:adjustRightInd/>
        <w:snapToGrid/>
        <w:spacing w:line="700" w:lineRule="exact"/>
        <w:jc w:val="center"/>
        <w:textAlignment w:val="auto"/>
        <w:outlineLvl w:val="9"/>
        <w:rPr>
          <w:rFonts w:hint="default" w:ascii="Times New Roman" w:hAnsi="Times New Roman" w:eastAsia="方正小标宋_GBK" w:cs="Times New Roman"/>
          <w:color w:val="000000"/>
          <w:sz w:val="44"/>
          <w:szCs w:val="44"/>
        </w:rPr>
      </w:pPr>
      <w:bookmarkStart w:id="3" w:name="_Toc15096"/>
      <w:r>
        <w:rPr>
          <w:rFonts w:hint="default" w:ascii="Times New Roman" w:hAnsi="Times New Roman" w:eastAsia="方正小标宋_GBK" w:cs="Times New Roman"/>
          <w:color w:val="000000"/>
          <w:sz w:val="44"/>
          <w:szCs w:val="44"/>
        </w:rPr>
        <w:t>关于印发《河南省生态环境行政处罚</w:t>
      </w:r>
      <w:bookmarkEnd w:id="3"/>
    </w:p>
    <w:p>
      <w:pPr>
        <w:widowControl w:val="0"/>
        <w:wordWrap/>
        <w:adjustRightInd/>
        <w:snapToGrid/>
        <w:spacing w:line="700" w:lineRule="exact"/>
        <w:jc w:val="center"/>
        <w:textAlignment w:val="auto"/>
        <w:outlineLvl w:val="9"/>
        <w:rPr>
          <w:rFonts w:hint="default" w:ascii="Times New Roman" w:hAnsi="Times New Roman" w:eastAsia="方正小标宋_GBK" w:cs="Times New Roman"/>
          <w:color w:val="000000"/>
          <w:sz w:val="44"/>
          <w:szCs w:val="44"/>
        </w:rPr>
      </w:pPr>
      <w:bookmarkStart w:id="4" w:name="_Toc19187"/>
      <w:r>
        <w:rPr>
          <w:rFonts w:hint="default" w:ascii="Times New Roman" w:hAnsi="Times New Roman" w:eastAsia="方正小标宋_GBK" w:cs="Times New Roman"/>
          <w:color w:val="000000"/>
          <w:sz w:val="44"/>
          <w:szCs w:val="44"/>
        </w:rPr>
        <w:t>裁量基准适用规则（修订）》《河南省生态环境行政处罚裁量基准》的通知</w:t>
      </w:r>
      <w:bookmarkEnd w:id="4"/>
    </w:p>
    <w:p>
      <w:pPr>
        <w:widowControl w:val="0"/>
        <w:wordWrap/>
        <w:adjustRightInd/>
        <w:snapToGrid/>
        <w:spacing w:line="300" w:lineRule="exact"/>
        <w:textAlignment w:val="auto"/>
        <w:outlineLvl w:val="9"/>
        <w:rPr>
          <w:rFonts w:hint="default" w:ascii="Times New Roman" w:hAnsi="Times New Roman" w:eastAsia="方正仿宋_GBK" w:cs="Times New Roman"/>
          <w:color w:val="000000"/>
          <w:sz w:val="32"/>
          <w:szCs w:val="32"/>
        </w:rPr>
      </w:pPr>
    </w:p>
    <w:p>
      <w:pPr>
        <w:widowControl w:val="0"/>
        <w:wordWrap/>
        <w:adjustRightInd/>
        <w:snapToGrid/>
        <w:spacing w:line="590" w:lineRule="exact"/>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各省辖市、济源示范区生态环境局，机关各处室、</w:t>
      </w:r>
      <w:r>
        <w:rPr>
          <w:rFonts w:hint="default" w:ascii="Times New Roman" w:hAnsi="Times New Roman" w:eastAsia="方正仿宋_GBK" w:cs="Times New Roman"/>
          <w:color w:val="000000"/>
          <w:sz w:val="32"/>
          <w:szCs w:val="32"/>
          <w:lang w:eastAsia="zh-CN"/>
        </w:rPr>
        <w:t>各区域督察办、</w:t>
      </w:r>
      <w:r>
        <w:rPr>
          <w:rFonts w:hint="default" w:ascii="Times New Roman" w:hAnsi="Times New Roman" w:eastAsia="方正仿宋_GBK" w:cs="Times New Roman"/>
          <w:color w:val="000000"/>
          <w:sz w:val="32"/>
          <w:szCs w:val="32"/>
        </w:rPr>
        <w:t>直属各单位：</w:t>
      </w:r>
    </w:p>
    <w:p>
      <w:pPr>
        <w:pStyle w:val="9"/>
        <w:widowControl w:val="0"/>
        <w:tabs>
          <w:tab w:val="right" w:leader="dot" w:pos="8844"/>
          <w:tab w:val="clear" w:pos="8834"/>
        </w:tabs>
        <w:wordWrap/>
        <w:adjustRightInd/>
        <w:snapToGrid/>
        <w:spacing w:line="600" w:lineRule="exact"/>
        <w:ind w:firstLine="640" w:firstLineChars="200"/>
        <w:textAlignment w:val="auto"/>
        <w:rPr>
          <w:rFonts w:hint="eastAsia" w:ascii="宋体" w:hAnsi="宋体" w:eastAsia="宋体" w:cs="宋体"/>
          <w:b w:val="0"/>
          <w:bCs w:val="0"/>
          <w:sz w:val="32"/>
          <w:szCs w:val="32"/>
          <w:lang w:eastAsia="zh-CN"/>
        </w:rPr>
      </w:pPr>
      <w:r>
        <w:rPr>
          <w:rFonts w:hint="default" w:ascii="Times New Roman" w:hAnsi="Times New Roman" w:eastAsia="方正仿宋_GBK" w:cs="Times New Roman"/>
          <w:b w:val="0"/>
          <w:bCs w:val="0"/>
          <w:color w:val="000000"/>
          <w:kern w:val="2"/>
          <w:sz w:val="32"/>
          <w:szCs w:val="32"/>
          <w:lang w:val="en-US" w:eastAsia="zh-CN" w:bidi="ar-SA"/>
        </w:rPr>
        <w:t>为进一步规范生态环境行政处罚行为，推进生态环境系统依法行政，根据生态环境部《关于进一步规范适用环境行政处罚自由裁量权的指导意见》要求，结合我省实际，我厅再次修订了《河南省生态环境行政处罚裁量基准适用规则（修订）》和《河南省生态环境行政处罚裁量基准》。现印发你们，自2023年1月1日</w:t>
      </w:r>
    </w:p>
    <w:p>
      <w:pPr>
        <w:pStyle w:val="9"/>
        <w:widowControl w:val="0"/>
        <w:tabs>
          <w:tab w:val="right" w:leader="dot" w:pos="8844"/>
          <w:tab w:val="clear" w:pos="8834"/>
        </w:tabs>
        <w:wordWrap/>
        <w:adjustRightInd/>
        <w:snapToGrid/>
        <w:ind w:firstLine="640" w:firstLineChars="200"/>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kern w:val="2"/>
          <w:sz w:val="32"/>
          <w:szCs w:val="32"/>
          <w:lang w:val="en-US" w:eastAsia="zh-CN" w:bidi="ar-SA"/>
        </w:rPr>
        <w:pict>
          <v:shape id="图片 12" o:spid="_x0000_s1026" type="#_x0000_t75" style="position:absolute;left:0;margin-left:-10.95pt;margin-top:-17.4pt;height:690.35pt;width:419.2pt;mso-wrap-distance-bottom:0pt;mso-wrap-distance-left:9pt;mso-wrap-distance-right:9pt;mso-wrap-distance-top:0pt;rotation:0f;z-index:251659264;" o:ole="f" fillcolor="#FFFFFF" filled="f" o:preferrelative="t" stroked="f" coordorigin="0,0" coordsize="21600,21600">
            <v:fill on="f" color2="#FFFFFF" focus="0%"/>
            <v:imagedata gain="65536f" blacklevel="0f" gamma="0" o:title="" r:id="rId7"/>
            <o:lock v:ext="edit" position="f" selection="f" grouping="f" rotation="f" cropping="f" text="f" aspectratio="t"/>
            <w10:wrap type="square"/>
          </v:shape>
        </w:pict>
      </w:r>
    </w:p>
    <w:p>
      <w:pPr>
        <w:pStyle w:val="9"/>
        <w:widowControl w:val="0"/>
        <w:tabs>
          <w:tab w:val="right" w:leader="dot" w:pos="8844"/>
          <w:tab w:val="clear" w:pos="8834"/>
        </w:tabs>
        <w:wordWrap/>
        <w:adjustRightInd/>
        <w:snapToGrid/>
        <w:ind w:firstLine="640" w:firstLineChars="200"/>
        <w:textAlignment w:val="auto"/>
        <w:rPr>
          <w:rFonts w:hint="eastAsia" w:ascii="宋体" w:hAnsi="宋体" w:eastAsia="宋体" w:cs="宋体"/>
          <w:b w:val="0"/>
          <w:bCs w:val="0"/>
          <w:sz w:val="32"/>
          <w:szCs w:val="32"/>
          <w:lang w:eastAsia="zh-CN"/>
        </w:rPr>
      </w:pPr>
    </w:p>
    <w:p>
      <w:pPr>
        <w:pStyle w:val="9"/>
        <w:widowControl w:val="0"/>
        <w:tabs>
          <w:tab w:val="right" w:leader="dot" w:pos="8844"/>
          <w:tab w:val="clear" w:pos="8834"/>
        </w:tabs>
        <w:wordWrap/>
        <w:adjustRightInd/>
        <w:snapToGrid/>
        <w:ind w:firstLine="640" w:firstLineChars="200"/>
        <w:textAlignment w:val="auto"/>
        <w:rPr>
          <w:rFonts w:hint="eastAsia" w:ascii="宋体" w:hAnsi="宋体" w:eastAsia="宋体" w:cs="宋体"/>
          <w:b w:val="0"/>
          <w:bCs w:val="0"/>
          <w:sz w:val="32"/>
          <w:szCs w:val="32"/>
          <w:lang w:eastAsia="zh-CN"/>
        </w:rPr>
      </w:pPr>
    </w:p>
    <w:p>
      <w:pPr>
        <w:pStyle w:val="9"/>
        <w:widowControl w:val="0"/>
        <w:tabs>
          <w:tab w:val="right" w:leader="dot" w:pos="8844"/>
          <w:tab w:val="clear" w:pos="8834"/>
        </w:tabs>
        <w:wordWrap/>
        <w:adjustRightInd/>
        <w:snapToGrid/>
        <w:ind w:firstLine="640" w:firstLineChars="200"/>
        <w:textAlignment w:val="auto"/>
        <w:rPr>
          <w:rFonts w:hint="eastAsia" w:ascii="宋体" w:hAnsi="宋体" w:eastAsia="宋体" w:cs="宋体"/>
          <w:b w:val="0"/>
          <w:bCs w:val="0"/>
          <w:sz w:val="32"/>
          <w:szCs w:val="32"/>
          <w:lang w:eastAsia="zh-CN"/>
        </w:rPr>
      </w:pPr>
    </w:p>
    <w:p>
      <w:pPr>
        <w:rPr>
          <w:rFonts w:hint="eastAsia" w:ascii="宋体" w:hAnsi="宋体" w:eastAsia="宋体" w:cs="宋体"/>
          <w:b w:val="0"/>
          <w:bCs w:val="0"/>
          <w:sz w:val="32"/>
          <w:szCs w:val="32"/>
          <w:lang w:eastAsia="zh-CN"/>
        </w:rPr>
      </w:pPr>
    </w:p>
    <w:p>
      <w:pPr>
        <w:rPr>
          <w:rFonts w:hint="eastAsia" w:ascii="宋体" w:hAnsi="宋体" w:eastAsia="宋体" w:cs="宋体"/>
          <w:b w:val="0"/>
          <w:bCs w:val="0"/>
          <w:sz w:val="32"/>
          <w:szCs w:val="32"/>
          <w:lang w:eastAsia="zh-CN"/>
        </w:rPr>
      </w:pPr>
    </w:p>
    <w:p>
      <w:pPr>
        <w:rPr>
          <w:rFonts w:hint="eastAsia" w:ascii="宋体" w:hAnsi="宋体" w:eastAsia="宋体" w:cs="宋体"/>
          <w:b w:val="0"/>
          <w:bCs w:val="0"/>
          <w:sz w:val="32"/>
          <w:szCs w:val="32"/>
          <w:lang w:eastAsia="zh-CN"/>
        </w:rPr>
      </w:pPr>
    </w:p>
    <w:p>
      <w:pPr>
        <w:rPr>
          <w:rFonts w:hint="eastAsia" w:ascii="宋体" w:hAnsi="宋体" w:eastAsia="宋体" w:cs="宋体"/>
          <w:b w:val="0"/>
          <w:bCs w:val="0"/>
          <w:sz w:val="32"/>
          <w:szCs w:val="32"/>
          <w:lang w:eastAsia="zh-CN"/>
        </w:rPr>
      </w:pPr>
    </w:p>
    <w:p>
      <w:pPr>
        <w:rPr>
          <w:rFonts w:hint="eastAsia" w:ascii="宋体" w:hAnsi="宋体" w:eastAsia="宋体" w:cs="宋体"/>
          <w:b w:val="0"/>
          <w:bCs w:val="0"/>
          <w:sz w:val="32"/>
          <w:szCs w:val="32"/>
          <w:lang w:eastAsia="zh-CN"/>
        </w:rPr>
      </w:pPr>
    </w:p>
    <w:p>
      <w:pPr>
        <w:rPr>
          <w:rFonts w:hint="eastAsia" w:ascii="宋体" w:hAnsi="宋体" w:eastAsia="宋体" w:cs="宋体"/>
          <w:b w:val="0"/>
          <w:bCs w:val="0"/>
          <w:sz w:val="32"/>
          <w:szCs w:val="32"/>
          <w:lang w:eastAsia="zh-CN"/>
        </w:rPr>
      </w:pPr>
    </w:p>
    <w:p>
      <w:pPr>
        <w:rPr>
          <w:rFonts w:hint="eastAsia" w:ascii="宋体" w:hAnsi="宋体" w:eastAsia="宋体" w:cs="宋体"/>
          <w:b w:val="0"/>
          <w:bCs w:val="0"/>
          <w:sz w:val="32"/>
          <w:szCs w:val="32"/>
          <w:lang w:eastAsia="zh-CN"/>
        </w:rPr>
      </w:pPr>
    </w:p>
    <w:p>
      <w:pPr>
        <w:rPr>
          <w:rFonts w:hint="eastAsia" w:ascii="宋体" w:hAnsi="宋体" w:eastAsia="宋体" w:cs="宋体"/>
          <w:b w:val="0"/>
          <w:bCs w:val="0"/>
          <w:sz w:val="32"/>
          <w:szCs w:val="32"/>
          <w:lang w:eastAsia="zh-CN"/>
        </w:rPr>
      </w:pPr>
    </w:p>
    <w:p>
      <w:pPr>
        <w:rPr>
          <w:rFonts w:hint="eastAsia" w:ascii="宋体" w:hAnsi="宋体" w:eastAsia="宋体" w:cs="宋体"/>
          <w:b w:val="0"/>
          <w:bCs w:val="0"/>
          <w:sz w:val="32"/>
          <w:szCs w:val="32"/>
          <w:lang w:eastAsia="zh-CN"/>
        </w:rPr>
      </w:pPr>
    </w:p>
    <w:p>
      <w:pPr>
        <w:rPr>
          <w:rFonts w:hint="eastAsia" w:ascii="宋体" w:hAnsi="宋体" w:eastAsia="宋体" w:cs="宋体"/>
          <w:b w:val="0"/>
          <w:bCs w:val="0"/>
          <w:sz w:val="32"/>
          <w:szCs w:val="32"/>
          <w:lang w:eastAsia="zh-CN"/>
        </w:rPr>
      </w:pPr>
    </w:p>
    <w:p>
      <w:pPr>
        <w:rPr>
          <w:rFonts w:hint="eastAsia" w:ascii="宋体" w:hAnsi="宋体" w:eastAsia="宋体" w:cs="宋体"/>
          <w:b w:val="0"/>
          <w:bCs w:val="0"/>
          <w:sz w:val="32"/>
          <w:szCs w:val="32"/>
          <w:lang w:eastAsia="zh-CN"/>
        </w:rPr>
      </w:pPr>
    </w:p>
    <w:p>
      <w:pPr>
        <w:rPr>
          <w:rFonts w:hint="eastAsia" w:ascii="宋体" w:hAnsi="宋体" w:eastAsia="宋体" w:cs="宋体"/>
          <w:b w:val="0"/>
          <w:bCs w:val="0"/>
          <w:sz w:val="32"/>
          <w:szCs w:val="32"/>
          <w:lang w:eastAsia="zh-CN"/>
        </w:rPr>
      </w:pPr>
    </w:p>
    <w:p>
      <w:pPr>
        <w:rPr>
          <w:rFonts w:hint="eastAsia" w:ascii="宋体" w:hAnsi="宋体" w:eastAsia="宋体" w:cs="宋体"/>
          <w:b w:val="0"/>
          <w:bCs w:val="0"/>
          <w:sz w:val="32"/>
          <w:szCs w:val="32"/>
          <w:lang w:eastAsia="zh-CN"/>
        </w:rPr>
      </w:pPr>
    </w:p>
    <w:p>
      <w:pPr>
        <w:rPr>
          <w:rFonts w:hint="eastAsia" w:ascii="宋体" w:hAnsi="宋体" w:eastAsia="宋体" w:cs="宋体"/>
          <w:b w:val="0"/>
          <w:bCs w:val="0"/>
          <w:sz w:val="32"/>
          <w:szCs w:val="32"/>
          <w:lang w:eastAsia="zh-CN"/>
        </w:rPr>
      </w:pPr>
    </w:p>
    <w:p>
      <w:pPr>
        <w:rPr>
          <w:rFonts w:hint="eastAsia" w:ascii="宋体" w:hAnsi="宋体" w:eastAsia="宋体" w:cs="宋体"/>
          <w:b w:val="0"/>
          <w:bCs w:val="0"/>
          <w:sz w:val="32"/>
          <w:szCs w:val="32"/>
          <w:lang w:eastAsia="zh-CN"/>
        </w:rPr>
      </w:pPr>
    </w:p>
    <w:p>
      <w:pPr>
        <w:rPr>
          <w:rFonts w:hint="eastAsia" w:ascii="宋体" w:hAnsi="宋体" w:eastAsia="宋体" w:cs="宋体"/>
          <w:b w:val="0"/>
          <w:bCs w:val="0"/>
          <w:sz w:val="32"/>
          <w:szCs w:val="32"/>
          <w:lang w:eastAsia="zh-CN"/>
        </w:rPr>
      </w:pPr>
    </w:p>
    <w:p>
      <w:pPr>
        <w:pStyle w:val="9"/>
        <w:widowControl w:val="0"/>
        <w:tabs>
          <w:tab w:val="right" w:leader="dot" w:pos="8844"/>
          <w:tab w:val="clear" w:pos="8834"/>
        </w:tabs>
        <w:wordWrap/>
        <w:adjustRightInd/>
        <w:snapToGrid/>
        <w:textAlignment w:val="auto"/>
        <w:rPr>
          <w:rFonts w:hint="eastAsia" w:ascii="宋体" w:hAnsi="宋体" w:eastAsia="宋体" w:cs="宋体"/>
          <w:b w:val="0"/>
          <w:bCs w:val="0"/>
          <w:sz w:val="32"/>
          <w:szCs w:val="32"/>
          <w:lang w:eastAsia="zh-CN"/>
        </w:rPr>
      </w:pPr>
    </w:p>
    <w:p>
      <w:pPr>
        <w:pStyle w:val="9"/>
        <w:widowControl w:val="0"/>
        <w:tabs>
          <w:tab w:val="right" w:leader="dot" w:pos="8844"/>
          <w:tab w:val="clear" w:pos="8834"/>
        </w:tabs>
        <w:wordWrap/>
        <w:adjustRightInd/>
        <w:snapToGrid/>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eastAsia="zh-CN"/>
        </w:rPr>
        <w:t>附件</w:t>
      </w:r>
      <w:r>
        <w:rPr>
          <w:rFonts w:hint="eastAsia" w:ascii="宋体" w:hAnsi="宋体" w:eastAsia="宋体" w:cs="宋体"/>
          <w:b w:val="0"/>
          <w:bCs w:val="0"/>
          <w:sz w:val="32"/>
          <w:szCs w:val="32"/>
          <w:lang w:val="en-US" w:eastAsia="zh-CN"/>
        </w:rPr>
        <w:t>1</w:t>
      </w:r>
    </w:p>
    <w:p>
      <w:pPr>
        <w:pStyle w:val="9"/>
        <w:tabs>
          <w:tab w:val="right" w:leader="dot" w:pos="8844"/>
          <w:tab w:val="clear" w:pos="8834"/>
        </w:tabs>
        <w:jc w:val="center"/>
        <w:rPr>
          <w:rFonts w:hint="eastAsia" w:ascii="宋体" w:hAnsi="宋体" w:eastAsia="宋体" w:cs="宋体"/>
          <w:color w:val="auto"/>
          <w:sz w:val="44"/>
          <w:szCs w:val="44"/>
          <w:shd w:val="clear" w:color="auto" w:fill="auto"/>
        </w:rPr>
      </w:pPr>
      <w:r>
        <w:rPr>
          <w:rFonts w:hint="eastAsia" w:ascii="宋体" w:hAnsi="宋体" w:eastAsia="宋体" w:cs="宋体"/>
          <w:b w:val="0"/>
          <w:bCs w:val="0"/>
          <w:sz w:val="32"/>
          <w:szCs w:val="32"/>
        </w:rPr>
        <w:fldChar w:fldCharType="begin"/>
      </w:r>
      <w:r>
        <w:rPr>
          <w:rFonts w:hint="eastAsia" w:ascii="宋体" w:hAnsi="宋体" w:eastAsia="宋体" w:cs="宋体"/>
          <w:b w:val="0"/>
          <w:bCs w:val="0"/>
          <w:sz w:val="32"/>
          <w:szCs w:val="32"/>
        </w:rPr>
        <w:instrText xml:space="preserve">TOC \o "1-3" \h \u </w:instrText>
      </w:r>
      <w:r>
        <w:rPr>
          <w:rFonts w:hint="eastAsia" w:ascii="宋体" w:hAnsi="宋体" w:eastAsia="宋体" w:cs="宋体"/>
          <w:b w:val="0"/>
          <w:bCs w:val="0"/>
          <w:sz w:val="32"/>
          <w:szCs w:val="32"/>
        </w:rPr>
        <w:fldChar w:fldCharType="separate"/>
      </w:r>
      <w:bookmarkStart w:id="5" w:name="_Toc12114"/>
      <w:r>
        <w:rPr>
          <w:rFonts w:hint="eastAsia" w:ascii="宋体" w:hAnsi="宋体" w:eastAsia="宋体" w:cs="宋体"/>
          <w:color w:val="auto"/>
          <w:sz w:val="44"/>
          <w:szCs w:val="44"/>
          <w:shd w:val="clear" w:color="auto" w:fill="auto"/>
        </w:rPr>
        <w:t>河南省生态环境行政处罚裁量基准</w:t>
      </w:r>
      <w:bookmarkEnd w:id="5"/>
    </w:p>
    <w:p>
      <w:pPr>
        <w:shd w:val="clear" w:color="auto" w:fill="auto"/>
        <w:spacing w:line="700" w:lineRule="exact"/>
        <w:jc w:val="center"/>
        <w:outlineLvl w:val="0"/>
        <w:rPr>
          <w:rFonts w:hint="eastAsia" w:ascii="宋体" w:hAnsi="宋体" w:eastAsia="宋体" w:cs="宋体"/>
          <w:b/>
          <w:bCs/>
          <w:color w:val="auto"/>
          <w:kern w:val="2"/>
          <w:sz w:val="44"/>
          <w:szCs w:val="44"/>
          <w:shd w:val="clear" w:color="auto" w:fill="auto"/>
          <w:lang w:val="en-US" w:eastAsia="zh-CN" w:bidi="ar-SA"/>
        </w:rPr>
      </w:pPr>
      <w:bookmarkStart w:id="6" w:name="_Toc27348"/>
      <w:bookmarkStart w:id="7" w:name="_Toc15128"/>
      <w:r>
        <w:rPr>
          <w:rFonts w:hint="eastAsia" w:ascii="宋体" w:hAnsi="宋体" w:eastAsia="宋体" w:cs="宋体"/>
          <w:b/>
          <w:bCs/>
          <w:color w:val="auto"/>
          <w:kern w:val="2"/>
          <w:sz w:val="44"/>
          <w:szCs w:val="44"/>
          <w:shd w:val="clear" w:color="auto" w:fill="auto"/>
          <w:lang w:val="en-US" w:eastAsia="zh-CN" w:bidi="ar-SA"/>
        </w:rPr>
        <w:t>适用规则（修订）</w:t>
      </w:r>
      <w:bookmarkEnd w:id="6"/>
      <w:bookmarkEnd w:id="7"/>
    </w:p>
    <w:p>
      <w:pPr>
        <w:shd w:val="clear" w:color="auto" w:fill="auto"/>
        <w:spacing w:line="300" w:lineRule="exact"/>
        <w:ind w:firstLine="640" w:firstLineChars="200"/>
        <w:rPr>
          <w:rFonts w:ascii="Times New Roman" w:hAnsi="Times New Roman" w:eastAsia="方正仿宋_GBK" w:cs="Times New Roman"/>
          <w:color w:val="auto"/>
          <w:sz w:val="32"/>
          <w:szCs w:val="32"/>
          <w:shd w:val="clear" w:color="auto" w:fill="auto"/>
        </w:rPr>
      </w:pPr>
    </w:p>
    <w:p>
      <w:pPr>
        <w:shd w:val="clear" w:color="auto" w:fill="auto"/>
        <w:spacing w:line="590" w:lineRule="exact"/>
        <w:ind w:firstLine="643" w:firstLineChars="200"/>
        <w:rPr>
          <w:rFonts w:hint="eastAsia"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b/>
          <w:bCs/>
          <w:color w:val="auto"/>
          <w:sz w:val="32"/>
          <w:szCs w:val="32"/>
          <w:highlight w:val="none"/>
          <w:shd w:val="clear" w:color="auto" w:fill="auto"/>
        </w:rPr>
        <w:t>第一条</w:t>
      </w:r>
      <w:r>
        <w:rPr>
          <w:rFonts w:hint="eastAsia" w:ascii="华文仿宋" w:hAnsi="华文仿宋" w:eastAsia="华文仿宋" w:cs="华文仿宋"/>
          <w:color w:val="auto"/>
          <w:sz w:val="32"/>
          <w:szCs w:val="32"/>
          <w:highlight w:val="none"/>
          <w:shd w:val="clear" w:color="auto" w:fill="auto"/>
        </w:rPr>
        <w:t xml:space="preserve">  为</w:t>
      </w:r>
      <w:r>
        <w:rPr>
          <w:rFonts w:hint="eastAsia" w:ascii="华文仿宋" w:hAnsi="华文仿宋" w:eastAsia="华文仿宋" w:cs="华文仿宋"/>
          <w:color w:val="auto"/>
          <w:sz w:val="32"/>
          <w:szCs w:val="32"/>
          <w:highlight w:val="none"/>
          <w:shd w:val="clear" w:color="auto" w:fill="auto"/>
          <w:lang w:eastAsia="zh-CN"/>
        </w:rPr>
        <w:t>推进依法行政，</w:t>
      </w:r>
      <w:r>
        <w:rPr>
          <w:rFonts w:hint="eastAsia" w:ascii="华文仿宋" w:hAnsi="华文仿宋" w:eastAsia="华文仿宋" w:cs="华文仿宋"/>
          <w:color w:val="auto"/>
          <w:sz w:val="32"/>
          <w:szCs w:val="32"/>
          <w:highlight w:val="none"/>
          <w:shd w:val="clear" w:color="auto" w:fill="auto"/>
        </w:rPr>
        <w:t>规范全省各级生态环境部门公平、公正、</w:t>
      </w:r>
      <w:r>
        <w:rPr>
          <w:rFonts w:hint="eastAsia" w:ascii="华文仿宋" w:hAnsi="华文仿宋" w:eastAsia="华文仿宋" w:cs="华文仿宋"/>
          <w:color w:val="auto"/>
          <w:sz w:val="32"/>
          <w:szCs w:val="32"/>
          <w:highlight w:val="none"/>
          <w:shd w:val="clear" w:color="auto" w:fill="auto"/>
          <w:lang w:eastAsia="zh-CN"/>
        </w:rPr>
        <w:t>合法、</w:t>
      </w:r>
      <w:r>
        <w:rPr>
          <w:rFonts w:hint="eastAsia" w:ascii="华文仿宋" w:hAnsi="华文仿宋" w:eastAsia="华文仿宋" w:cs="华文仿宋"/>
          <w:color w:val="auto"/>
          <w:sz w:val="32"/>
          <w:szCs w:val="32"/>
          <w:highlight w:val="none"/>
          <w:shd w:val="clear" w:color="auto" w:fill="auto"/>
        </w:rPr>
        <w:t>合理行使</w:t>
      </w:r>
      <w:r>
        <w:rPr>
          <w:rFonts w:hint="eastAsia" w:ascii="华文仿宋" w:hAnsi="华文仿宋" w:eastAsia="华文仿宋" w:cs="华文仿宋"/>
          <w:color w:val="auto"/>
          <w:sz w:val="32"/>
          <w:szCs w:val="32"/>
          <w:highlight w:val="none"/>
          <w:shd w:val="clear" w:color="auto" w:fill="auto"/>
          <w:lang w:eastAsia="zh-CN"/>
        </w:rPr>
        <w:t>行政处罚</w:t>
      </w:r>
      <w:r>
        <w:rPr>
          <w:rFonts w:hint="eastAsia" w:ascii="华文仿宋" w:hAnsi="华文仿宋" w:eastAsia="华文仿宋" w:cs="华文仿宋"/>
          <w:color w:val="auto"/>
          <w:sz w:val="32"/>
          <w:szCs w:val="32"/>
          <w:highlight w:val="none"/>
          <w:shd w:val="clear" w:color="auto" w:fill="auto"/>
        </w:rPr>
        <w:t>裁量</w:t>
      </w:r>
      <w:r>
        <w:rPr>
          <w:rFonts w:hint="eastAsia" w:ascii="华文仿宋" w:hAnsi="华文仿宋" w:eastAsia="华文仿宋" w:cs="华文仿宋"/>
          <w:color w:val="auto"/>
          <w:sz w:val="32"/>
          <w:szCs w:val="32"/>
          <w:highlight w:val="none"/>
          <w:shd w:val="clear" w:color="auto" w:fill="auto"/>
          <w:lang w:eastAsia="zh-CN"/>
        </w:rPr>
        <w:t>权</w:t>
      </w:r>
      <w:r>
        <w:rPr>
          <w:rFonts w:hint="eastAsia" w:ascii="华文仿宋" w:hAnsi="华文仿宋" w:eastAsia="华文仿宋" w:cs="华文仿宋"/>
          <w:color w:val="auto"/>
          <w:sz w:val="32"/>
          <w:szCs w:val="32"/>
          <w:highlight w:val="none"/>
          <w:shd w:val="clear" w:color="auto" w:fill="auto"/>
        </w:rPr>
        <w:t>，保护公民、法人或者其他组织的合法权益，根据《中华人民共和国环境保护法》《中华人民共和国行政处罚法》</w:t>
      </w:r>
      <w:r>
        <w:rPr>
          <w:rFonts w:hint="eastAsia" w:ascii="华文仿宋" w:hAnsi="华文仿宋" w:eastAsia="华文仿宋" w:cs="华文仿宋"/>
          <w:color w:val="auto"/>
          <w:sz w:val="32"/>
          <w:szCs w:val="32"/>
          <w:highlight w:val="none"/>
          <w:shd w:val="clear" w:color="auto" w:fill="auto"/>
          <w:lang w:val="en-US" w:eastAsia="zh-CN"/>
        </w:rPr>
        <w:t>,</w:t>
      </w:r>
      <w:r>
        <w:rPr>
          <w:rFonts w:hint="eastAsia" w:ascii="华文仿宋" w:hAnsi="华文仿宋" w:eastAsia="华文仿宋" w:cs="华文仿宋"/>
          <w:color w:val="auto"/>
          <w:sz w:val="32"/>
          <w:szCs w:val="32"/>
          <w:highlight w:val="none"/>
          <w:shd w:val="clear" w:color="auto" w:fill="auto"/>
        </w:rPr>
        <w:t>生态环境部《关于进一步规范适用环境行政处罚自由裁量权的指导意见》（环执法〔2019〕42号）</w:t>
      </w:r>
      <w:r>
        <w:rPr>
          <w:rFonts w:hint="eastAsia" w:ascii="华文仿宋" w:hAnsi="华文仿宋" w:eastAsia="华文仿宋" w:cs="华文仿宋"/>
          <w:color w:val="auto"/>
          <w:sz w:val="32"/>
          <w:szCs w:val="32"/>
          <w:highlight w:val="none"/>
          <w:shd w:val="clear" w:color="auto" w:fill="auto"/>
          <w:lang w:eastAsia="zh-CN"/>
        </w:rPr>
        <w:t>和《河南省法治政府建设领导小组办公室关于进一步规范行政处罚裁量权工作的指导意见》（豫法政办〔2020〕15号）</w:t>
      </w:r>
      <w:r>
        <w:rPr>
          <w:rFonts w:hint="eastAsia" w:ascii="华文仿宋" w:hAnsi="华文仿宋" w:eastAsia="华文仿宋" w:cs="华文仿宋"/>
          <w:color w:val="auto"/>
          <w:sz w:val="32"/>
          <w:szCs w:val="32"/>
          <w:highlight w:val="none"/>
          <w:shd w:val="clear" w:color="auto" w:fill="auto"/>
        </w:rPr>
        <w:t>的有关规定，</w:t>
      </w:r>
      <w:r>
        <w:rPr>
          <w:rFonts w:hint="eastAsia" w:ascii="华文仿宋" w:hAnsi="华文仿宋" w:eastAsia="华文仿宋" w:cs="华文仿宋"/>
          <w:color w:val="auto"/>
          <w:sz w:val="32"/>
          <w:szCs w:val="32"/>
          <w:highlight w:val="none"/>
          <w:shd w:val="clear" w:color="auto" w:fill="auto"/>
          <w:lang w:eastAsia="zh-CN"/>
        </w:rPr>
        <w:t>结合本省实际，</w:t>
      </w:r>
      <w:r>
        <w:rPr>
          <w:rFonts w:hint="eastAsia" w:ascii="华文仿宋" w:hAnsi="华文仿宋" w:eastAsia="华文仿宋" w:cs="华文仿宋"/>
          <w:color w:val="auto"/>
          <w:sz w:val="32"/>
          <w:szCs w:val="32"/>
          <w:highlight w:val="none"/>
          <w:shd w:val="clear" w:color="auto" w:fill="auto"/>
        </w:rPr>
        <w:t>制定本规则。</w:t>
      </w:r>
    </w:p>
    <w:p>
      <w:pPr>
        <w:shd w:val="clear" w:color="auto" w:fill="auto"/>
        <w:spacing w:line="590" w:lineRule="exact"/>
        <w:ind w:firstLine="643" w:firstLineChars="200"/>
        <w:rPr>
          <w:rFonts w:hint="eastAsia"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b/>
          <w:bCs/>
          <w:color w:val="auto"/>
          <w:sz w:val="32"/>
          <w:szCs w:val="32"/>
          <w:highlight w:val="none"/>
          <w:shd w:val="clear" w:color="auto" w:fill="auto"/>
        </w:rPr>
        <w:t>第二条</w:t>
      </w:r>
      <w:r>
        <w:rPr>
          <w:rFonts w:hint="eastAsia" w:ascii="华文仿宋" w:hAnsi="华文仿宋" w:eastAsia="华文仿宋" w:cs="华文仿宋"/>
          <w:color w:val="auto"/>
          <w:sz w:val="32"/>
          <w:szCs w:val="32"/>
          <w:highlight w:val="none"/>
          <w:shd w:val="clear" w:color="auto" w:fill="auto"/>
        </w:rPr>
        <w:t xml:space="preserve">  全省各级生态环境部门</w:t>
      </w:r>
      <w:r>
        <w:rPr>
          <w:rFonts w:hint="eastAsia" w:ascii="华文仿宋" w:hAnsi="华文仿宋" w:eastAsia="华文仿宋" w:cs="华文仿宋"/>
          <w:color w:val="auto"/>
          <w:sz w:val="32"/>
          <w:szCs w:val="32"/>
          <w:highlight w:val="none"/>
          <w:shd w:val="clear" w:color="auto" w:fill="auto"/>
          <w:lang w:eastAsia="zh-CN"/>
        </w:rPr>
        <w:t>实施</w:t>
      </w:r>
      <w:r>
        <w:rPr>
          <w:rFonts w:hint="eastAsia" w:ascii="华文仿宋" w:hAnsi="华文仿宋" w:eastAsia="华文仿宋" w:cs="华文仿宋"/>
          <w:color w:val="auto"/>
          <w:sz w:val="32"/>
          <w:szCs w:val="32"/>
          <w:highlight w:val="none"/>
          <w:shd w:val="clear" w:color="auto" w:fill="auto"/>
        </w:rPr>
        <w:t>行政处罚使用《河南省生态环境行政处罚裁量基准》（以下简称“裁量基准”）时，应当参照本规则，合法、合理作出具体的行政处罚决定。</w:t>
      </w:r>
    </w:p>
    <w:p>
      <w:pPr>
        <w:shd w:val="clear" w:color="auto" w:fill="auto"/>
        <w:spacing w:line="590" w:lineRule="exact"/>
        <w:ind w:firstLine="643" w:firstLineChars="200"/>
        <w:rPr>
          <w:rFonts w:hint="eastAsia"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b/>
          <w:bCs/>
          <w:color w:val="auto"/>
          <w:sz w:val="32"/>
          <w:szCs w:val="32"/>
          <w:highlight w:val="none"/>
          <w:shd w:val="clear" w:color="auto" w:fill="auto"/>
        </w:rPr>
        <w:t xml:space="preserve">第三条 </w:t>
      </w:r>
      <w:r>
        <w:rPr>
          <w:rFonts w:hint="eastAsia" w:ascii="华文仿宋" w:hAnsi="华文仿宋" w:eastAsia="华文仿宋" w:cs="华文仿宋"/>
          <w:color w:val="auto"/>
          <w:sz w:val="32"/>
          <w:szCs w:val="32"/>
          <w:highlight w:val="none"/>
          <w:shd w:val="clear" w:color="auto" w:fill="auto"/>
        </w:rPr>
        <w:t xml:space="preserve"> 本规则中环境行政处罚裁量权，是指生态环境部门在查处环境违法行为时，依据法律、法规和规章的规定，酌情决定对违法行为人是否处罚、处罚种类和处罚幅度的权限。 </w:t>
      </w:r>
    </w:p>
    <w:p>
      <w:pPr>
        <w:shd w:val="clear" w:color="auto" w:fill="auto"/>
        <w:spacing w:line="590" w:lineRule="exact"/>
        <w:ind w:firstLine="643" w:firstLineChars="200"/>
        <w:rPr>
          <w:rFonts w:hint="eastAsia"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b/>
          <w:bCs/>
          <w:color w:val="auto"/>
          <w:sz w:val="32"/>
          <w:szCs w:val="32"/>
          <w:highlight w:val="none"/>
          <w:shd w:val="clear" w:color="auto" w:fill="auto"/>
        </w:rPr>
        <w:t>第四条</w:t>
      </w:r>
      <w:r>
        <w:rPr>
          <w:rFonts w:hint="eastAsia" w:ascii="华文仿宋" w:hAnsi="华文仿宋" w:eastAsia="华文仿宋" w:cs="华文仿宋"/>
          <w:color w:val="auto"/>
          <w:sz w:val="32"/>
          <w:szCs w:val="32"/>
          <w:highlight w:val="none"/>
          <w:shd w:val="clear" w:color="auto" w:fill="auto"/>
        </w:rPr>
        <w:t xml:space="preserve"> </w:t>
      </w:r>
      <w:r>
        <w:rPr>
          <w:rFonts w:hint="eastAsia" w:ascii="华文仿宋" w:hAnsi="华文仿宋" w:eastAsia="华文仿宋" w:cs="华文仿宋"/>
          <w:color w:val="auto"/>
          <w:sz w:val="32"/>
          <w:szCs w:val="32"/>
          <w:highlight w:val="none"/>
          <w:shd w:val="clear" w:color="auto" w:fill="auto"/>
          <w:lang w:val="en-US" w:eastAsia="zh-CN"/>
        </w:rPr>
        <w:t xml:space="preserve"> </w:t>
      </w:r>
      <w:r>
        <w:rPr>
          <w:rFonts w:hint="eastAsia" w:ascii="华文仿宋" w:hAnsi="华文仿宋" w:eastAsia="华文仿宋" w:cs="华文仿宋"/>
          <w:color w:val="auto"/>
          <w:sz w:val="32"/>
          <w:szCs w:val="32"/>
          <w:highlight w:val="none"/>
          <w:shd w:val="clear" w:color="auto" w:fill="auto"/>
        </w:rPr>
        <w:t>全省各级生态环境部门行使环境行政处罚裁量权</w:t>
      </w:r>
      <w:r>
        <w:rPr>
          <w:rFonts w:hint="eastAsia" w:ascii="华文仿宋" w:hAnsi="华文仿宋" w:eastAsia="华文仿宋" w:cs="华文仿宋"/>
          <w:color w:val="auto"/>
          <w:sz w:val="32"/>
          <w:szCs w:val="32"/>
          <w:highlight w:val="none"/>
          <w:shd w:val="clear" w:color="auto" w:fill="auto"/>
          <w:lang w:eastAsia="zh-CN"/>
        </w:rPr>
        <w:t>，</w:t>
      </w:r>
      <w:r>
        <w:rPr>
          <w:rFonts w:hint="eastAsia" w:ascii="华文仿宋" w:hAnsi="华文仿宋" w:eastAsia="华文仿宋" w:cs="华文仿宋"/>
          <w:color w:val="auto"/>
          <w:sz w:val="32"/>
          <w:szCs w:val="32"/>
          <w:highlight w:val="none"/>
          <w:shd w:val="clear" w:color="auto" w:fill="auto"/>
        </w:rPr>
        <w:t>应遵循处罚法定、</w:t>
      </w:r>
      <w:r>
        <w:rPr>
          <w:rFonts w:hint="eastAsia" w:ascii="华文仿宋" w:hAnsi="华文仿宋" w:eastAsia="华文仿宋" w:cs="华文仿宋"/>
          <w:color w:val="auto"/>
          <w:sz w:val="32"/>
          <w:szCs w:val="32"/>
          <w:highlight w:val="none"/>
          <w:shd w:val="clear" w:color="auto" w:fill="auto"/>
          <w:lang w:eastAsia="zh-CN"/>
        </w:rPr>
        <w:t>公平</w:t>
      </w:r>
      <w:r>
        <w:rPr>
          <w:rFonts w:hint="eastAsia" w:ascii="华文仿宋" w:hAnsi="华文仿宋" w:eastAsia="华文仿宋" w:cs="华文仿宋"/>
          <w:color w:val="auto"/>
          <w:sz w:val="32"/>
          <w:szCs w:val="32"/>
          <w:highlight w:val="none"/>
          <w:shd w:val="clear" w:color="auto" w:fill="auto"/>
        </w:rPr>
        <w:t>公正公开、</w:t>
      </w:r>
      <w:r>
        <w:rPr>
          <w:rFonts w:hint="eastAsia" w:ascii="华文仿宋" w:hAnsi="华文仿宋" w:eastAsia="华文仿宋" w:cs="华文仿宋"/>
          <w:color w:val="auto"/>
          <w:sz w:val="32"/>
          <w:szCs w:val="32"/>
          <w:highlight w:val="none"/>
          <w:shd w:val="clear" w:color="auto" w:fill="auto"/>
          <w:lang w:eastAsia="zh-CN"/>
        </w:rPr>
        <w:t>处罚与教育、服务与管理相结合等原则，</w:t>
      </w:r>
      <w:r>
        <w:rPr>
          <w:rFonts w:hint="eastAsia" w:ascii="华文仿宋" w:hAnsi="华文仿宋" w:eastAsia="华文仿宋" w:cs="华文仿宋"/>
          <w:color w:val="auto"/>
          <w:sz w:val="32"/>
          <w:szCs w:val="32"/>
          <w:highlight w:val="none"/>
          <w:shd w:val="clear" w:color="auto" w:fill="auto"/>
        </w:rPr>
        <w:t>处罚决定给予的处罚种类、幅度应与当事人违法过错、违法行为的性质、情节以及社会危害</w:t>
      </w:r>
      <w:r>
        <w:rPr>
          <w:rFonts w:hint="eastAsia" w:ascii="华文仿宋" w:hAnsi="华文仿宋" w:eastAsia="华文仿宋" w:cs="华文仿宋"/>
          <w:color w:val="auto"/>
          <w:sz w:val="32"/>
          <w:szCs w:val="32"/>
          <w:highlight w:val="none"/>
          <w:shd w:val="clear" w:color="auto" w:fill="auto"/>
          <w:lang w:eastAsia="zh-CN"/>
        </w:rPr>
        <w:t>后果相</w:t>
      </w:r>
      <w:r>
        <w:rPr>
          <w:rFonts w:hint="eastAsia" w:ascii="华文仿宋" w:hAnsi="华文仿宋" w:eastAsia="华文仿宋" w:cs="华文仿宋"/>
          <w:color w:val="auto"/>
          <w:sz w:val="32"/>
          <w:szCs w:val="32"/>
          <w:highlight w:val="none"/>
          <w:shd w:val="clear" w:color="auto" w:fill="auto"/>
        </w:rPr>
        <w:t>适应。</w:t>
      </w:r>
    </w:p>
    <w:p>
      <w:pPr>
        <w:shd w:val="clear" w:color="auto" w:fill="auto"/>
        <w:spacing w:line="590" w:lineRule="exact"/>
        <w:ind w:firstLine="643" w:firstLineChars="200"/>
        <w:rPr>
          <w:rFonts w:hint="eastAsia"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b/>
          <w:bCs/>
          <w:color w:val="auto"/>
          <w:sz w:val="32"/>
          <w:szCs w:val="32"/>
          <w:highlight w:val="none"/>
          <w:shd w:val="clear" w:color="auto" w:fill="auto"/>
        </w:rPr>
        <w:t>第五条</w:t>
      </w:r>
      <w:r>
        <w:rPr>
          <w:rFonts w:hint="eastAsia" w:ascii="华文仿宋" w:hAnsi="华文仿宋" w:eastAsia="华文仿宋" w:cs="华文仿宋"/>
          <w:color w:val="auto"/>
          <w:sz w:val="32"/>
          <w:szCs w:val="32"/>
          <w:highlight w:val="none"/>
          <w:shd w:val="clear" w:color="auto" w:fill="auto"/>
        </w:rPr>
        <w:t xml:space="preserve">  裁量基准的设定采用违法情节因素法，根据违法的主观方面、违法</w:t>
      </w:r>
      <w:r>
        <w:rPr>
          <w:rFonts w:hint="eastAsia" w:ascii="华文仿宋" w:hAnsi="华文仿宋" w:eastAsia="华文仿宋" w:cs="华文仿宋"/>
          <w:color w:val="auto"/>
          <w:sz w:val="32"/>
          <w:szCs w:val="32"/>
          <w:highlight w:val="none"/>
          <w:shd w:val="clear" w:color="auto" w:fill="auto"/>
          <w:lang w:eastAsia="zh-CN"/>
        </w:rPr>
        <w:t>行为的</w:t>
      </w:r>
      <w:r>
        <w:rPr>
          <w:rFonts w:hint="eastAsia" w:ascii="华文仿宋" w:hAnsi="华文仿宋" w:eastAsia="华文仿宋" w:cs="华文仿宋"/>
          <w:color w:val="auto"/>
          <w:sz w:val="32"/>
          <w:szCs w:val="32"/>
          <w:highlight w:val="none"/>
          <w:shd w:val="clear" w:color="auto" w:fill="auto"/>
        </w:rPr>
        <w:t>事实、</w:t>
      </w:r>
      <w:r>
        <w:rPr>
          <w:rFonts w:hint="eastAsia" w:ascii="华文仿宋" w:hAnsi="华文仿宋" w:eastAsia="华文仿宋" w:cs="华文仿宋"/>
          <w:color w:val="auto"/>
          <w:sz w:val="32"/>
          <w:szCs w:val="32"/>
          <w:highlight w:val="none"/>
          <w:shd w:val="clear" w:color="auto" w:fill="auto"/>
          <w:lang w:eastAsia="zh-CN"/>
        </w:rPr>
        <w:t>性质、情节以及</w:t>
      </w:r>
      <w:r>
        <w:rPr>
          <w:rFonts w:hint="eastAsia" w:ascii="华文仿宋" w:hAnsi="华文仿宋" w:eastAsia="华文仿宋" w:cs="华文仿宋"/>
          <w:color w:val="auto"/>
          <w:sz w:val="32"/>
          <w:szCs w:val="32"/>
          <w:highlight w:val="none"/>
          <w:shd w:val="clear" w:color="auto" w:fill="auto"/>
        </w:rPr>
        <w:t>危害后果等因素在违法行为中所占权重确立裁量基准。</w:t>
      </w:r>
    </w:p>
    <w:p>
      <w:pPr>
        <w:shd w:val="clear" w:color="auto" w:fill="auto"/>
        <w:spacing w:line="590" w:lineRule="exact"/>
        <w:ind w:firstLine="640" w:firstLineChars="200"/>
        <w:rPr>
          <w:rFonts w:hint="eastAsia" w:ascii="华文仿宋" w:hAnsi="华文仿宋" w:eastAsia="华文仿宋" w:cs="华文仿宋"/>
          <w:color w:val="auto"/>
          <w:sz w:val="32"/>
          <w:szCs w:val="32"/>
          <w:highlight w:val="none"/>
          <w:shd w:val="clear" w:color="auto" w:fill="auto"/>
          <w:lang w:eastAsia="zh-CN"/>
        </w:rPr>
      </w:pPr>
      <w:r>
        <w:rPr>
          <w:rFonts w:hint="eastAsia" w:ascii="华文仿宋" w:hAnsi="华文仿宋" w:eastAsia="华文仿宋" w:cs="华文仿宋"/>
          <w:color w:val="auto"/>
          <w:sz w:val="32"/>
          <w:szCs w:val="32"/>
          <w:highlight w:val="none"/>
          <w:shd w:val="clear" w:color="auto" w:fill="auto"/>
        </w:rPr>
        <w:t>裁量基准设立包含以下因素：违法行为造成的环境污染、生态破坏以及社会影响</w:t>
      </w:r>
      <w:r>
        <w:rPr>
          <w:rFonts w:hint="eastAsia" w:ascii="华文仿宋" w:hAnsi="华文仿宋" w:eastAsia="华文仿宋" w:cs="华文仿宋"/>
          <w:color w:val="auto"/>
          <w:sz w:val="32"/>
          <w:szCs w:val="32"/>
          <w:highlight w:val="none"/>
          <w:shd w:val="clear" w:color="auto" w:fill="auto"/>
          <w:lang w:eastAsia="zh-CN"/>
        </w:rPr>
        <w:t>，</w:t>
      </w:r>
      <w:r>
        <w:rPr>
          <w:rFonts w:hint="eastAsia" w:ascii="华文仿宋" w:hAnsi="华文仿宋" w:eastAsia="华文仿宋" w:cs="华文仿宋"/>
          <w:color w:val="auto"/>
          <w:sz w:val="32"/>
          <w:szCs w:val="32"/>
          <w:highlight w:val="none"/>
          <w:shd w:val="clear" w:color="auto" w:fill="auto"/>
        </w:rPr>
        <w:t>违法行为当事人的主观过错程度</w:t>
      </w:r>
      <w:r>
        <w:rPr>
          <w:rFonts w:hint="eastAsia" w:ascii="华文仿宋" w:hAnsi="华文仿宋" w:eastAsia="华文仿宋" w:cs="华文仿宋"/>
          <w:color w:val="auto"/>
          <w:sz w:val="32"/>
          <w:szCs w:val="32"/>
          <w:highlight w:val="none"/>
          <w:shd w:val="clear" w:color="auto" w:fill="auto"/>
          <w:lang w:eastAsia="zh-CN"/>
        </w:rPr>
        <w:t>，</w:t>
      </w:r>
      <w:r>
        <w:rPr>
          <w:rFonts w:hint="eastAsia" w:ascii="华文仿宋" w:hAnsi="华文仿宋" w:eastAsia="华文仿宋" w:cs="华文仿宋"/>
          <w:color w:val="auto"/>
          <w:sz w:val="32"/>
          <w:szCs w:val="32"/>
          <w:highlight w:val="none"/>
          <w:shd w:val="clear" w:color="auto" w:fill="auto"/>
        </w:rPr>
        <w:t>违法行为的具体表现形式</w:t>
      </w:r>
      <w:r>
        <w:rPr>
          <w:rFonts w:hint="eastAsia" w:ascii="华文仿宋" w:hAnsi="华文仿宋" w:eastAsia="华文仿宋" w:cs="华文仿宋"/>
          <w:color w:val="auto"/>
          <w:sz w:val="32"/>
          <w:szCs w:val="32"/>
          <w:highlight w:val="none"/>
          <w:shd w:val="clear" w:color="auto" w:fill="auto"/>
          <w:lang w:eastAsia="zh-CN"/>
        </w:rPr>
        <w:t>，</w:t>
      </w:r>
      <w:r>
        <w:rPr>
          <w:rFonts w:hint="eastAsia" w:ascii="华文仿宋" w:hAnsi="华文仿宋" w:eastAsia="华文仿宋" w:cs="华文仿宋"/>
          <w:color w:val="auto"/>
          <w:sz w:val="32"/>
          <w:szCs w:val="32"/>
          <w:highlight w:val="none"/>
          <w:shd w:val="clear" w:color="auto" w:fill="auto"/>
        </w:rPr>
        <w:t>违法行为危害的具体对象</w:t>
      </w:r>
      <w:r>
        <w:rPr>
          <w:rFonts w:hint="eastAsia" w:ascii="华文仿宋" w:hAnsi="华文仿宋" w:eastAsia="华文仿宋" w:cs="华文仿宋"/>
          <w:color w:val="auto"/>
          <w:sz w:val="32"/>
          <w:szCs w:val="32"/>
          <w:highlight w:val="none"/>
          <w:shd w:val="clear" w:color="auto" w:fill="auto"/>
          <w:lang w:eastAsia="zh-CN"/>
        </w:rPr>
        <w:t>，违法行为是初次违法还是多次违法，纠正违法行为的具体整改措施及实际效果。</w:t>
      </w:r>
    </w:p>
    <w:p>
      <w:pPr>
        <w:shd w:val="clear" w:color="auto" w:fill="auto"/>
        <w:spacing w:line="590" w:lineRule="exact"/>
        <w:ind w:firstLine="640" w:firstLineChars="200"/>
        <w:rPr>
          <w:rFonts w:hint="eastAsia"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rPr>
        <w:t>同类违法行为的情节相同或者相似、社会危害</w:t>
      </w:r>
      <w:r>
        <w:rPr>
          <w:rFonts w:hint="eastAsia" w:ascii="华文仿宋" w:hAnsi="华文仿宋" w:eastAsia="华文仿宋" w:cs="华文仿宋"/>
          <w:color w:val="auto"/>
          <w:sz w:val="32"/>
          <w:szCs w:val="32"/>
          <w:highlight w:val="none"/>
          <w:shd w:val="clear" w:color="auto" w:fill="auto"/>
          <w:lang w:eastAsia="zh-CN"/>
        </w:rPr>
        <w:t>后果</w:t>
      </w:r>
      <w:r>
        <w:rPr>
          <w:rFonts w:hint="eastAsia" w:ascii="华文仿宋" w:hAnsi="华文仿宋" w:eastAsia="华文仿宋" w:cs="华文仿宋"/>
          <w:color w:val="auto"/>
          <w:sz w:val="32"/>
          <w:szCs w:val="32"/>
          <w:highlight w:val="none"/>
          <w:shd w:val="clear" w:color="auto" w:fill="auto"/>
        </w:rPr>
        <w:t>相当的，行政处罚种类和幅度应当相当。</w:t>
      </w:r>
    </w:p>
    <w:p>
      <w:pPr>
        <w:shd w:val="clear" w:color="auto" w:fill="auto"/>
        <w:spacing w:line="590" w:lineRule="exact"/>
        <w:ind w:firstLine="640" w:firstLineChars="200"/>
        <w:rPr>
          <w:rFonts w:hint="eastAsia"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rPr>
        <w:t>裁量基准主要分为专项处罚裁量基准和通用处罚裁量基准两种。对国家和河南省现行生态环境保护法律法规中</w:t>
      </w:r>
      <w:r>
        <w:rPr>
          <w:rFonts w:hint="eastAsia" w:ascii="华文仿宋" w:hAnsi="华文仿宋" w:eastAsia="华文仿宋" w:cs="华文仿宋"/>
          <w:color w:val="auto"/>
          <w:sz w:val="32"/>
          <w:szCs w:val="32"/>
          <w:highlight w:val="none"/>
          <w:shd w:val="clear" w:color="auto" w:fill="auto"/>
          <w:lang w:val="en-US" w:eastAsia="zh-CN"/>
        </w:rPr>
        <w:t>248</w:t>
      </w:r>
      <w:r>
        <w:rPr>
          <w:rFonts w:hint="eastAsia" w:ascii="华文仿宋" w:hAnsi="华文仿宋" w:eastAsia="华文仿宋" w:cs="华文仿宋"/>
          <w:color w:val="auto"/>
          <w:sz w:val="32"/>
          <w:szCs w:val="32"/>
          <w:highlight w:val="none"/>
          <w:shd w:val="clear" w:color="auto" w:fill="auto"/>
        </w:rPr>
        <w:t>种特定生态环境违法行为进行行政处罚裁量，适用专项处罚裁量基准；对特定生态环境违法行为以外的其他违法行为进行行政处罚裁量，适用通用处罚裁量基准。</w:t>
      </w:r>
    </w:p>
    <w:p>
      <w:pPr>
        <w:shd w:val="clear" w:color="auto" w:fill="auto"/>
        <w:spacing w:line="590" w:lineRule="exact"/>
        <w:ind w:firstLine="643"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b/>
          <w:bCs/>
          <w:color w:val="auto"/>
          <w:sz w:val="32"/>
          <w:szCs w:val="32"/>
          <w:highlight w:val="none"/>
          <w:shd w:val="clear" w:color="auto" w:fill="auto"/>
        </w:rPr>
        <w:t>第六条</w:t>
      </w:r>
      <w:r>
        <w:rPr>
          <w:rFonts w:hint="eastAsia" w:ascii="华文仿宋" w:hAnsi="华文仿宋" w:eastAsia="华文仿宋" w:cs="华文仿宋"/>
          <w:color w:val="auto"/>
          <w:sz w:val="32"/>
          <w:szCs w:val="32"/>
          <w:highlight w:val="none"/>
          <w:shd w:val="clear" w:color="auto" w:fill="auto"/>
        </w:rPr>
        <w:t xml:space="preserve">  实施生态环境行政处罚时，应当根据具体违法行为</w:t>
      </w:r>
      <w:r>
        <w:rPr>
          <w:rFonts w:hint="eastAsia" w:ascii="华文仿宋" w:hAnsi="华文仿宋" w:eastAsia="华文仿宋" w:cs="华文仿宋"/>
          <w:color w:val="auto"/>
          <w:sz w:val="32"/>
          <w:szCs w:val="32"/>
          <w:shd w:val="clear" w:color="auto" w:fill="auto"/>
        </w:rPr>
        <w:t>确定首要裁量因素。首要裁量因素和其余裁量因素在裁量基准中的权重各按照50%确立。</w:t>
      </w:r>
    </w:p>
    <w:p>
      <w:pPr>
        <w:shd w:val="clear" w:color="auto" w:fill="auto"/>
        <w:spacing w:line="590" w:lineRule="exact"/>
        <w:ind w:firstLine="643"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b/>
          <w:bCs/>
          <w:color w:val="auto"/>
          <w:sz w:val="32"/>
          <w:szCs w:val="32"/>
          <w:shd w:val="clear" w:color="auto" w:fill="auto"/>
        </w:rPr>
        <w:t>第七条</w:t>
      </w:r>
      <w:r>
        <w:rPr>
          <w:rFonts w:hint="eastAsia" w:ascii="华文仿宋" w:hAnsi="华文仿宋" w:eastAsia="华文仿宋" w:cs="华文仿宋"/>
          <w:color w:val="auto"/>
          <w:sz w:val="32"/>
          <w:szCs w:val="32"/>
          <w:shd w:val="clear" w:color="auto" w:fill="auto"/>
        </w:rPr>
        <w:t xml:space="preserve">  计算公式：</w:t>
      </w:r>
    </w:p>
    <w:p>
      <w:pPr>
        <w:shd w:val="clear" w:color="auto" w:fill="auto"/>
        <w:snapToGrid w:val="0"/>
        <w:spacing w:line="360" w:lineRule="auto"/>
        <w:ind w:firstLine="640" w:firstLineChars="200"/>
        <w:rPr>
          <w:rFonts w:hint="eastAsia" w:ascii="华文仿宋" w:hAnsi="华文仿宋" w:eastAsia="华文仿宋" w:cs="华文仿宋"/>
          <w:color w:val="auto"/>
          <w:position w:val="-40"/>
          <w:sz w:val="32"/>
          <w:szCs w:val="32"/>
          <w:shd w:val="clear" w:color="auto" w:fill="auto"/>
        </w:rPr>
      </w:pPr>
      <w:r>
        <w:rPr>
          <w:rFonts w:hint="eastAsia" w:ascii="华文仿宋" w:hAnsi="华文仿宋" w:eastAsia="华文仿宋" w:cs="华文仿宋"/>
          <w:color w:val="auto"/>
          <w:kern w:val="2"/>
          <w:position w:val="-40"/>
          <w:sz w:val="32"/>
          <w:szCs w:val="32"/>
          <w:shd w:val="clear" w:color="auto" w:fill="auto"/>
          <w:lang w:val="en-US" w:eastAsia="zh-CN" w:bidi="ar-SA"/>
        </w:rPr>
        <w:object>
          <v:shape id="_x0000_s1028" type="#_x0000_t75" style="height:46pt;width:374.45pt;rotation:0f;" o:ole="t"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o:OLEObject Type="Embed" ProgID="Equations" ShapeID="_x0000_s1028" DrawAspect="Content" ObjectID="_1028" r:id="rId8"/>
        </w:object>
      </w:r>
    </w:p>
    <w:p>
      <w:pPr>
        <w:shd w:val="clear" w:color="auto" w:fill="auto"/>
        <w:spacing w:line="590" w:lineRule="exact"/>
        <w:ind w:firstLine="640" w:firstLineChars="200"/>
        <w:outlineLvl w:val="9"/>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X：处罚金额；</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M：法定处罚金额上限；</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N：法定处罚金额下限，下限可以为零；</w:t>
      </w:r>
    </w:p>
    <w:p>
      <w:pPr>
        <w:shd w:val="clear" w:color="auto" w:fill="auto"/>
        <w:spacing w:line="590" w:lineRule="exact"/>
        <w:ind w:firstLine="640" w:firstLineChars="200"/>
        <w:outlineLvl w:val="9"/>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A：首要裁量因素裁量等级；</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n：其余裁量因素个数；</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B：其余裁量因素</w:t>
      </w:r>
      <w:r>
        <w:rPr>
          <w:rFonts w:hint="eastAsia" w:ascii="华文仿宋" w:hAnsi="华文仿宋" w:eastAsia="华文仿宋" w:cs="华文仿宋"/>
          <w:color w:val="auto"/>
          <w:sz w:val="32"/>
          <w:szCs w:val="32"/>
          <w:shd w:val="clear" w:color="auto" w:fill="auto"/>
          <w:lang w:eastAsia="zh-CN"/>
        </w:rPr>
        <w:t>的</w:t>
      </w:r>
      <w:r>
        <w:rPr>
          <w:rFonts w:hint="eastAsia" w:ascii="华文仿宋" w:hAnsi="华文仿宋" w:eastAsia="华文仿宋" w:cs="华文仿宋"/>
          <w:color w:val="auto"/>
          <w:sz w:val="32"/>
          <w:szCs w:val="32"/>
          <w:shd w:val="clear" w:color="auto" w:fill="auto"/>
        </w:rPr>
        <w:t>裁量等级。</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生态环境部门决定处罚金额时，首先确定裁量基准中各项裁量因素的裁量等级，再通过计算公式确定处罚金额，然后根据本规则调整决定处罚金额。若首要裁量因素同时有多个时，选择裁量等级高的一个裁量因素作为首要裁量因素，其余的按B进行计算。罚款金额按照四舍五入取整到元。</w:t>
      </w:r>
    </w:p>
    <w:p>
      <w:pPr>
        <w:numPr>
          <w:ilvl w:val="0"/>
          <w:numId w:val="1"/>
        </w:numPr>
        <w:shd w:val="clear" w:color="auto" w:fill="auto"/>
        <w:spacing w:line="590" w:lineRule="exact"/>
        <w:ind w:firstLine="640" w:firstLineChars="200"/>
        <w:outlineLvl w:val="9"/>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 xml:space="preserve"> 生态环境行政处罚适用裁量基准确定处罚金额后，可以根据违法行为的性质、情节、危害</w:t>
      </w:r>
      <w:r>
        <w:rPr>
          <w:rFonts w:hint="eastAsia" w:ascii="华文仿宋" w:hAnsi="华文仿宋" w:eastAsia="华文仿宋" w:cs="华文仿宋"/>
          <w:color w:val="auto"/>
          <w:sz w:val="32"/>
          <w:szCs w:val="32"/>
          <w:shd w:val="clear" w:color="auto" w:fill="auto"/>
          <w:lang w:eastAsia="zh-CN"/>
        </w:rPr>
        <w:t>后果</w:t>
      </w:r>
      <w:r>
        <w:rPr>
          <w:rFonts w:hint="eastAsia" w:ascii="华文仿宋" w:hAnsi="华文仿宋" w:eastAsia="华文仿宋" w:cs="华文仿宋"/>
          <w:color w:val="auto"/>
          <w:sz w:val="32"/>
          <w:szCs w:val="32"/>
          <w:shd w:val="clear" w:color="auto" w:fill="auto"/>
        </w:rPr>
        <w:t>等内容，综合考量，依照本规则</w:t>
      </w:r>
      <w:r>
        <w:rPr>
          <w:rFonts w:hint="eastAsia" w:ascii="华文仿宋" w:hAnsi="华文仿宋" w:eastAsia="华文仿宋" w:cs="华文仿宋"/>
          <w:color w:val="auto"/>
          <w:sz w:val="32"/>
          <w:szCs w:val="32"/>
          <w:shd w:val="clear" w:color="auto" w:fill="auto"/>
          <w:lang w:eastAsia="zh-CN"/>
        </w:rPr>
        <w:t>（可以）不予</w:t>
      </w:r>
      <w:r>
        <w:rPr>
          <w:rFonts w:hint="eastAsia" w:ascii="华文仿宋" w:hAnsi="华文仿宋" w:eastAsia="华文仿宋" w:cs="华文仿宋"/>
          <w:color w:val="auto"/>
          <w:sz w:val="32"/>
          <w:szCs w:val="32"/>
          <w:shd w:val="clear" w:color="auto" w:fill="auto"/>
        </w:rPr>
        <w:t>处罚</w:t>
      </w:r>
      <w:r>
        <w:rPr>
          <w:rFonts w:hint="eastAsia" w:ascii="华文仿宋" w:hAnsi="华文仿宋" w:eastAsia="华文仿宋" w:cs="华文仿宋"/>
          <w:color w:val="auto"/>
          <w:sz w:val="32"/>
          <w:szCs w:val="32"/>
          <w:shd w:val="clear" w:color="auto" w:fill="auto"/>
          <w:lang w:eastAsia="zh-CN"/>
        </w:rPr>
        <w:t>、</w:t>
      </w:r>
      <w:r>
        <w:rPr>
          <w:rFonts w:hint="eastAsia" w:ascii="华文仿宋" w:hAnsi="华文仿宋" w:eastAsia="华文仿宋" w:cs="华文仿宋"/>
          <w:color w:val="auto"/>
          <w:sz w:val="32"/>
          <w:szCs w:val="32"/>
          <w:shd w:val="clear" w:color="auto" w:fill="auto"/>
        </w:rPr>
        <w:t>从轻处罚</w:t>
      </w:r>
      <w:r>
        <w:rPr>
          <w:rFonts w:hint="eastAsia" w:ascii="华文仿宋" w:hAnsi="华文仿宋" w:eastAsia="华文仿宋" w:cs="华文仿宋"/>
          <w:color w:val="auto"/>
          <w:sz w:val="32"/>
          <w:szCs w:val="32"/>
          <w:shd w:val="clear" w:color="auto" w:fill="auto"/>
          <w:lang w:eastAsia="zh-CN"/>
        </w:rPr>
        <w:t>、减轻处罚</w:t>
      </w:r>
      <w:r>
        <w:rPr>
          <w:rFonts w:hint="eastAsia" w:ascii="华文仿宋" w:hAnsi="华文仿宋" w:eastAsia="华文仿宋" w:cs="华文仿宋"/>
          <w:color w:val="auto"/>
          <w:sz w:val="32"/>
          <w:szCs w:val="32"/>
          <w:shd w:val="clear" w:color="auto" w:fill="auto"/>
        </w:rPr>
        <w:t>或者从重</w:t>
      </w:r>
      <w:r>
        <w:rPr>
          <w:rFonts w:hint="eastAsia" w:ascii="华文仿宋" w:hAnsi="华文仿宋" w:eastAsia="华文仿宋" w:cs="华文仿宋"/>
          <w:color w:val="auto"/>
          <w:sz w:val="32"/>
          <w:szCs w:val="32"/>
          <w:shd w:val="clear" w:color="auto" w:fill="auto"/>
          <w:lang w:eastAsia="zh-CN"/>
        </w:rPr>
        <w:t>处罚</w:t>
      </w:r>
      <w:r>
        <w:rPr>
          <w:rFonts w:hint="eastAsia" w:ascii="华文仿宋" w:hAnsi="华文仿宋" w:eastAsia="华文仿宋" w:cs="华文仿宋"/>
          <w:color w:val="auto"/>
          <w:sz w:val="32"/>
          <w:szCs w:val="32"/>
          <w:shd w:val="clear" w:color="auto" w:fill="auto"/>
        </w:rPr>
        <w:t>。</w:t>
      </w:r>
    </w:p>
    <w:p>
      <w:pPr>
        <w:shd w:val="clear" w:color="auto" w:fill="auto"/>
        <w:spacing w:line="590" w:lineRule="exact"/>
        <w:ind w:firstLine="643" w:firstLineChars="200"/>
        <w:outlineLvl w:val="9"/>
        <w:rPr>
          <w:rFonts w:hint="eastAsia" w:ascii="华文仿宋" w:hAnsi="华文仿宋" w:eastAsia="华文仿宋" w:cs="华文仿宋"/>
          <w:b/>
          <w:color w:val="auto"/>
          <w:sz w:val="32"/>
          <w:szCs w:val="32"/>
          <w:shd w:val="clear" w:color="auto" w:fill="auto"/>
        </w:rPr>
      </w:pPr>
      <w:r>
        <w:rPr>
          <w:rFonts w:hint="eastAsia" w:ascii="华文仿宋" w:hAnsi="华文仿宋" w:eastAsia="华文仿宋" w:cs="华文仿宋"/>
          <w:b/>
          <w:color w:val="auto"/>
          <w:sz w:val="32"/>
          <w:szCs w:val="32"/>
          <w:shd w:val="clear" w:color="auto" w:fill="auto"/>
          <w:lang w:val="en-US" w:eastAsia="zh-CN"/>
        </w:rPr>
        <w:t>（一）</w:t>
      </w:r>
      <w:r>
        <w:rPr>
          <w:rFonts w:hint="eastAsia" w:ascii="华文仿宋" w:hAnsi="华文仿宋" w:eastAsia="华文仿宋" w:cs="华文仿宋"/>
          <w:b/>
          <w:color w:val="auto"/>
          <w:sz w:val="32"/>
          <w:szCs w:val="32"/>
          <w:shd w:val="clear" w:color="auto" w:fill="auto"/>
        </w:rPr>
        <w:t>不予处罚情形</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lang w:val="en-US" w:eastAsia="zh-CN"/>
        </w:rPr>
      </w:pPr>
      <w:r>
        <w:rPr>
          <w:rFonts w:hint="eastAsia" w:ascii="华文仿宋" w:hAnsi="华文仿宋" w:eastAsia="华文仿宋" w:cs="华文仿宋"/>
          <w:color w:val="auto"/>
          <w:sz w:val="32"/>
          <w:szCs w:val="32"/>
          <w:shd w:val="clear" w:color="auto" w:fill="auto"/>
          <w:lang w:val="en-US" w:eastAsia="zh-CN"/>
        </w:rPr>
        <w:t>1. 违法行为轻微并及时改正，没有造成危害后果的，不予行政处罚。</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lang w:val="en-US" w:eastAsia="zh-CN"/>
        </w:rPr>
      </w:pPr>
      <w:r>
        <w:rPr>
          <w:rFonts w:hint="eastAsia" w:ascii="华文仿宋" w:hAnsi="华文仿宋" w:eastAsia="华文仿宋" w:cs="华文仿宋"/>
          <w:color w:val="auto"/>
          <w:sz w:val="32"/>
          <w:szCs w:val="32"/>
          <w:shd w:val="clear" w:color="auto" w:fill="auto"/>
          <w:lang w:val="en-US" w:eastAsia="zh-CN"/>
        </w:rPr>
        <w:t>2.当事人有证据足以证明没有主观过错的，不予行政处罚。</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lang w:val="en-US" w:eastAsia="zh-CN"/>
        </w:rPr>
        <w:t xml:space="preserve">3. </w:t>
      </w:r>
      <w:r>
        <w:rPr>
          <w:rFonts w:hint="eastAsia" w:ascii="华文仿宋" w:hAnsi="华文仿宋" w:eastAsia="华文仿宋" w:cs="华文仿宋"/>
          <w:color w:val="auto"/>
          <w:sz w:val="32"/>
          <w:szCs w:val="32"/>
          <w:shd w:val="clear" w:color="auto" w:fill="auto"/>
        </w:rPr>
        <w:t>违法行为在二年内未被发现的，不再给予行政处罚。涉及公民生命健康安全，金融安全且有危害后果的，上述期限延长至五年。法律另有规定的除外。</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前款规定的期限，从违法行为发生之日起计算；违法行为有连续或者继续状态的，从行为终了之日起计算。</w:t>
      </w:r>
    </w:p>
    <w:p>
      <w:pPr>
        <w:shd w:val="clear" w:color="auto" w:fill="auto"/>
        <w:spacing w:line="590" w:lineRule="exact"/>
        <w:ind w:left="638" w:leftChars="304" w:firstLine="0" w:firstLineChars="0"/>
        <w:outlineLvl w:val="9"/>
        <w:rPr>
          <w:rFonts w:hint="eastAsia" w:ascii="华文仿宋" w:hAnsi="华文仿宋" w:eastAsia="华文仿宋" w:cs="华文仿宋"/>
          <w:b w:val="0"/>
          <w:color w:val="auto"/>
          <w:sz w:val="32"/>
          <w:szCs w:val="32"/>
          <w:shd w:val="clear" w:color="auto" w:fill="auto"/>
          <w:lang w:eastAsia="zh-CN"/>
        </w:rPr>
      </w:pPr>
      <w:r>
        <w:rPr>
          <w:rFonts w:hint="eastAsia" w:ascii="华文仿宋" w:hAnsi="华文仿宋" w:eastAsia="华文仿宋" w:cs="华文仿宋"/>
          <w:color w:val="auto"/>
          <w:sz w:val="32"/>
          <w:szCs w:val="32"/>
          <w:shd w:val="clear" w:color="auto" w:fill="auto"/>
          <w:lang w:val="en-US" w:eastAsia="zh-CN"/>
        </w:rPr>
        <w:t>4.法律、行政法规另有规定的，从其规定。</w:t>
      </w:r>
    </w:p>
    <w:p>
      <w:pPr>
        <w:shd w:val="clear" w:color="auto" w:fill="auto"/>
        <w:spacing w:line="590" w:lineRule="exact"/>
        <w:ind w:firstLine="643" w:firstLineChars="200"/>
        <w:outlineLvl w:val="9"/>
        <w:rPr>
          <w:rFonts w:hint="eastAsia" w:ascii="华文仿宋" w:hAnsi="华文仿宋" w:eastAsia="华文仿宋" w:cs="华文仿宋"/>
          <w:b/>
          <w:color w:val="auto"/>
          <w:sz w:val="32"/>
          <w:szCs w:val="32"/>
          <w:shd w:val="clear" w:color="auto" w:fill="auto"/>
        </w:rPr>
      </w:pPr>
      <w:r>
        <w:rPr>
          <w:rFonts w:hint="eastAsia" w:ascii="华文仿宋" w:hAnsi="华文仿宋" w:eastAsia="华文仿宋" w:cs="华文仿宋"/>
          <w:b/>
          <w:color w:val="auto"/>
          <w:sz w:val="32"/>
          <w:szCs w:val="32"/>
          <w:shd w:val="clear" w:color="auto" w:fill="auto"/>
        </w:rPr>
        <w:t>（</w:t>
      </w:r>
      <w:r>
        <w:rPr>
          <w:rFonts w:hint="eastAsia" w:ascii="华文仿宋" w:hAnsi="华文仿宋" w:eastAsia="华文仿宋" w:cs="华文仿宋"/>
          <w:b/>
          <w:color w:val="auto"/>
          <w:sz w:val="32"/>
          <w:szCs w:val="32"/>
          <w:shd w:val="clear" w:color="auto" w:fill="auto"/>
          <w:lang w:eastAsia="zh-CN"/>
        </w:rPr>
        <w:t>二</w:t>
      </w:r>
      <w:r>
        <w:rPr>
          <w:rFonts w:hint="eastAsia" w:ascii="华文仿宋" w:hAnsi="华文仿宋" w:eastAsia="华文仿宋" w:cs="华文仿宋"/>
          <w:b/>
          <w:color w:val="auto"/>
          <w:sz w:val="32"/>
          <w:szCs w:val="32"/>
          <w:shd w:val="clear" w:color="auto" w:fill="auto"/>
        </w:rPr>
        <w:t>）</w:t>
      </w:r>
      <w:r>
        <w:rPr>
          <w:rFonts w:hint="eastAsia" w:ascii="华文仿宋" w:hAnsi="华文仿宋" w:eastAsia="华文仿宋" w:cs="华文仿宋"/>
          <w:b/>
          <w:color w:val="auto"/>
          <w:sz w:val="32"/>
          <w:szCs w:val="32"/>
          <w:shd w:val="clear" w:color="auto" w:fill="auto"/>
          <w:lang w:eastAsia="zh-CN"/>
        </w:rPr>
        <w:t>可以不</w:t>
      </w:r>
      <w:r>
        <w:rPr>
          <w:rFonts w:hint="eastAsia" w:ascii="华文仿宋" w:hAnsi="华文仿宋" w:eastAsia="华文仿宋" w:cs="华文仿宋"/>
          <w:b/>
          <w:color w:val="auto"/>
          <w:sz w:val="32"/>
          <w:szCs w:val="32"/>
          <w:shd w:val="clear" w:color="auto" w:fill="auto"/>
        </w:rPr>
        <w:t>予处罚情形</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1.</w:t>
      </w:r>
      <w:r>
        <w:rPr>
          <w:rFonts w:hint="eastAsia" w:ascii="华文仿宋" w:hAnsi="华文仿宋" w:eastAsia="华文仿宋" w:cs="华文仿宋"/>
          <w:color w:val="auto"/>
          <w:sz w:val="32"/>
          <w:szCs w:val="32"/>
          <w:shd w:val="clear" w:color="auto" w:fill="auto"/>
          <w:lang w:val="en-US" w:eastAsia="zh-CN"/>
        </w:rPr>
        <w:t xml:space="preserve"> 未依法取得环境影响报告书、报告表批准文件的建设项目，先行建设未造成生态破坏或环境污染后果，且建设单位主动停止建设、自行关停或者恢复原状的</w:t>
      </w:r>
      <w:r>
        <w:rPr>
          <w:rFonts w:hint="eastAsia" w:ascii="华文仿宋" w:hAnsi="华文仿宋" w:eastAsia="华文仿宋" w:cs="华文仿宋"/>
          <w:color w:val="auto"/>
          <w:sz w:val="32"/>
          <w:szCs w:val="32"/>
          <w:shd w:val="clear" w:color="auto" w:fill="auto"/>
        </w:rPr>
        <w:t>；</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lang w:val="en-US" w:eastAsia="zh-CN"/>
        </w:rPr>
      </w:pPr>
      <w:r>
        <w:rPr>
          <w:rFonts w:hint="eastAsia" w:ascii="华文仿宋" w:hAnsi="华文仿宋" w:eastAsia="华文仿宋" w:cs="华文仿宋"/>
          <w:color w:val="auto"/>
          <w:sz w:val="32"/>
          <w:szCs w:val="32"/>
          <w:shd w:val="clear" w:color="auto" w:fill="auto"/>
        </w:rPr>
        <w:t xml:space="preserve">2. </w:t>
      </w:r>
      <w:r>
        <w:rPr>
          <w:rFonts w:hint="eastAsia" w:ascii="华文仿宋" w:hAnsi="华文仿宋" w:eastAsia="华文仿宋" w:cs="华文仿宋"/>
          <w:color w:val="auto"/>
          <w:sz w:val="32"/>
          <w:szCs w:val="32"/>
          <w:shd w:val="clear" w:color="auto" w:fill="auto"/>
          <w:lang w:val="en-US" w:eastAsia="zh-CN"/>
        </w:rPr>
        <w:t>建设项目未依法备案环境影响登记表，符合环境功能区划，配套建设的污染防治设施已建成，并经责令改正后于5个工作日内按要求完成备案的;</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lang w:val="en-US" w:eastAsia="zh-CN"/>
        </w:rPr>
        <w:t>3</w:t>
      </w:r>
      <w:r>
        <w:rPr>
          <w:rFonts w:hint="eastAsia" w:ascii="华文仿宋" w:hAnsi="华文仿宋" w:eastAsia="华文仿宋" w:cs="华文仿宋"/>
          <w:color w:val="auto"/>
          <w:sz w:val="32"/>
          <w:szCs w:val="32"/>
          <w:shd w:val="clear" w:color="auto" w:fill="auto"/>
        </w:rPr>
        <w:t xml:space="preserve">. </w:t>
      </w:r>
      <w:r>
        <w:rPr>
          <w:rFonts w:hint="eastAsia" w:ascii="华文仿宋" w:hAnsi="华文仿宋" w:eastAsia="华文仿宋" w:cs="华文仿宋"/>
          <w:color w:val="auto"/>
          <w:sz w:val="32"/>
          <w:szCs w:val="32"/>
          <w:shd w:val="clear" w:color="auto" w:fill="auto"/>
          <w:lang w:val="en-US" w:eastAsia="zh-CN"/>
        </w:rPr>
        <w:t>单位超过标准排放污染物，污染物因子超标倍数≤0.1倍，次日完成整改并达标排放的（污染物因子超标个数3个以下，有毒有害污染物除外）</w:t>
      </w:r>
      <w:r>
        <w:rPr>
          <w:rFonts w:hint="eastAsia" w:ascii="华文仿宋" w:hAnsi="华文仿宋" w:eastAsia="华文仿宋" w:cs="华文仿宋"/>
          <w:color w:val="auto"/>
          <w:sz w:val="32"/>
          <w:szCs w:val="32"/>
          <w:shd w:val="clear" w:color="auto" w:fill="auto"/>
        </w:rPr>
        <w:t>；</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lang w:val="en-US" w:eastAsia="zh-CN"/>
        </w:rPr>
        <w:t>4.超过噪声排放标准排放噪声，噪声超标≤1分贝，次日完成整改并达标排放的；</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lang w:val="en-US" w:eastAsia="zh-CN"/>
        </w:rPr>
        <w:t>5</w:t>
      </w:r>
      <w:r>
        <w:rPr>
          <w:rFonts w:hint="eastAsia" w:ascii="华文仿宋" w:hAnsi="华文仿宋" w:eastAsia="华文仿宋" w:cs="华文仿宋"/>
          <w:color w:val="auto"/>
          <w:sz w:val="32"/>
          <w:szCs w:val="32"/>
          <w:shd w:val="clear" w:color="auto" w:fill="auto"/>
        </w:rPr>
        <w:t>.</w:t>
      </w:r>
      <w:r>
        <w:rPr>
          <w:rFonts w:hint="eastAsia" w:ascii="华文仿宋" w:hAnsi="华文仿宋" w:eastAsia="华文仿宋" w:cs="华文仿宋"/>
          <w:color w:val="auto"/>
          <w:sz w:val="32"/>
          <w:szCs w:val="32"/>
          <w:shd w:val="clear" w:color="auto" w:fill="auto"/>
          <w:lang w:val="en-US" w:eastAsia="zh-CN"/>
        </w:rPr>
        <w:t>单位未按规定设置或者未规范设置危险废物识别标志，生态环境部门首次发现指出后，5日内改正的</w:t>
      </w:r>
      <w:r>
        <w:rPr>
          <w:rFonts w:hint="eastAsia" w:ascii="华文仿宋" w:hAnsi="华文仿宋" w:eastAsia="华文仿宋" w:cs="华文仿宋"/>
          <w:color w:val="auto"/>
          <w:sz w:val="32"/>
          <w:szCs w:val="32"/>
          <w:shd w:val="clear" w:color="auto" w:fill="auto"/>
        </w:rPr>
        <w:t>；</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lang w:val="en-US" w:eastAsia="zh-CN"/>
        </w:rPr>
        <w:t>6</w:t>
      </w:r>
      <w:r>
        <w:rPr>
          <w:rFonts w:hint="eastAsia" w:ascii="华文仿宋" w:hAnsi="华文仿宋" w:eastAsia="华文仿宋" w:cs="华文仿宋"/>
          <w:color w:val="auto"/>
          <w:sz w:val="32"/>
          <w:szCs w:val="32"/>
          <w:shd w:val="clear" w:color="auto" w:fill="auto"/>
        </w:rPr>
        <w:t>. 单位不正常使用焊机焊烟收集处理设施，生态环境部门首次发现指出后，立即整改的；</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lang w:val="en-US" w:eastAsia="zh-CN"/>
        </w:rPr>
        <w:t>7</w:t>
      </w:r>
      <w:r>
        <w:rPr>
          <w:rFonts w:hint="eastAsia" w:ascii="华文仿宋" w:hAnsi="华文仿宋" w:eastAsia="华文仿宋" w:cs="华文仿宋"/>
          <w:color w:val="auto"/>
          <w:sz w:val="32"/>
          <w:szCs w:val="32"/>
          <w:shd w:val="clear" w:color="auto" w:fill="auto"/>
        </w:rPr>
        <w:t>.</w:t>
      </w:r>
      <w:r>
        <w:rPr>
          <w:rFonts w:hint="eastAsia" w:ascii="华文仿宋" w:hAnsi="华文仿宋" w:eastAsia="华文仿宋" w:cs="华文仿宋"/>
          <w:color w:val="auto"/>
          <w:sz w:val="32"/>
          <w:szCs w:val="32"/>
          <w:shd w:val="clear" w:color="auto" w:fill="auto"/>
          <w:lang w:val="en-US" w:eastAsia="zh-CN"/>
        </w:rPr>
        <w:t xml:space="preserve"> 不规范贮存危险废物数量小于0.01吨，生态环境部门首次发现指出后当日立即改正，且未污染环境的</w:t>
      </w:r>
      <w:r>
        <w:rPr>
          <w:rFonts w:hint="eastAsia" w:ascii="华文仿宋" w:hAnsi="华文仿宋" w:eastAsia="华文仿宋" w:cs="华文仿宋"/>
          <w:color w:val="auto"/>
          <w:sz w:val="32"/>
          <w:szCs w:val="32"/>
          <w:shd w:val="clear" w:color="auto" w:fill="auto"/>
        </w:rPr>
        <w:t>；</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lang w:val="en-US" w:eastAsia="zh-CN"/>
        </w:rPr>
      </w:pPr>
      <w:r>
        <w:rPr>
          <w:rFonts w:hint="eastAsia" w:ascii="华文仿宋" w:hAnsi="华文仿宋" w:eastAsia="华文仿宋" w:cs="华文仿宋"/>
          <w:color w:val="auto"/>
          <w:sz w:val="32"/>
          <w:szCs w:val="32"/>
          <w:shd w:val="clear" w:color="auto" w:fill="auto"/>
          <w:lang w:val="en-US" w:eastAsia="zh-CN"/>
        </w:rPr>
        <w:t>8</w:t>
      </w:r>
      <w:r>
        <w:rPr>
          <w:rFonts w:hint="eastAsia" w:ascii="华文仿宋" w:hAnsi="华文仿宋" w:eastAsia="华文仿宋" w:cs="华文仿宋"/>
          <w:color w:val="auto"/>
          <w:sz w:val="32"/>
          <w:szCs w:val="32"/>
          <w:shd w:val="clear" w:color="auto" w:fill="auto"/>
        </w:rPr>
        <w:t xml:space="preserve">. </w:t>
      </w:r>
      <w:r>
        <w:rPr>
          <w:rFonts w:hint="eastAsia" w:ascii="华文仿宋" w:hAnsi="华文仿宋" w:eastAsia="华文仿宋" w:cs="华文仿宋"/>
          <w:color w:val="auto"/>
          <w:sz w:val="32"/>
          <w:szCs w:val="32"/>
          <w:shd w:val="clear" w:color="auto" w:fill="auto"/>
          <w:lang w:val="en-US" w:eastAsia="zh-CN"/>
        </w:rPr>
        <w:t>重点排污单位环境信息未及时公开或者公开内容不全，生态环境部门首次发现指出后，5日内改正的（公开内容弄虚作假除外）；</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lang w:val="en-US" w:eastAsia="zh-CN"/>
        </w:rPr>
      </w:pPr>
      <w:r>
        <w:rPr>
          <w:rFonts w:hint="eastAsia" w:ascii="华文仿宋" w:hAnsi="华文仿宋" w:eastAsia="华文仿宋" w:cs="华文仿宋"/>
          <w:color w:val="auto"/>
          <w:sz w:val="32"/>
          <w:szCs w:val="32"/>
          <w:shd w:val="clear" w:color="auto" w:fill="auto"/>
          <w:lang w:val="en-US" w:eastAsia="zh-CN"/>
        </w:rPr>
        <w:t>9.未密闭煤炭、煤矸石、煤渣、煤灰、水泥、石灰、石膏、砂土等易产生扬尘的物料，占地面积在20平米以下，生态环境部门首次发现指出后立即采取措施的；</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lang w:val="en-US" w:eastAsia="zh-CN"/>
        </w:rPr>
      </w:pPr>
      <w:r>
        <w:rPr>
          <w:rFonts w:hint="eastAsia" w:ascii="华文仿宋" w:hAnsi="华文仿宋" w:eastAsia="华文仿宋" w:cs="华文仿宋"/>
          <w:color w:val="auto"/>
          <w:sz w:val="32"/>
          <w:szCs w:val="32"/>
          <w:shd w:val="clear" w:color="auto" w:fill="auto"/>
          <w:lang w:val="en-US" w:eastAsia="zh-CN"/>
        </w:rPr>
        <w:t>10.已采取密闭措施但密闭不严，造成少量扬尘污染，生态环境部门首次发现指出后立即采取措施的；</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lang w:val="en-US" w:eastAsia="zh-CN"/>
        </w:rPr>
      </w:pPr>
      <w:r>
        <w:rPr>
          <w:rFonts w:hint="eastAsia" w:ascii="华文仿宋" w:hAnsi="华文仿宋" w:eastAsia="华文仿宋" w:cs="华文仿宋"/>
          <w:color w:val="auto"/>
          <w:sz w:val="32"/>
          <w:szCs w:val="32"/>
          <w:shd w:val="clear" w:color="auto" w:fill="auto"/>
          <w:lang w:val="en-US" w:eastAsia="zh-CN"/>
        </w:rPr>
        <w:t>11.对不能密闭的易产生扬尘的物料，未依法采取相应的围档、覆盖、喷淋等抑尘措施，占地面积在20平米以下，生态环境部门首次发现指出后立即采取措施的；</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lang w:val="en-US" w:eastAsia="zh-CN"/>
        </w:rPr>
      </w:pPr>
      <w:r>
        <w:rPr>
          <w:rFonts w:hint="eastAsia" w:ascii="华文仿宋" w:hAnsi="华文仿宋" w:eastAsia="华文仿宋" w:cs="华文仿宋"/>
          <w:color w:val="auto"/>
          <w:sz w:val="32"/>
          <w:szCs w:val="32"/>
          <w:shd w:val="clear" w:color="auto" w:fill="auto"/>
          <w:lang w:val="en-US" w:eastAsia="zh-CN"/>
        </w:rPr>
        <w:t>12.需要填报排污登记表，但未填报排污信息，生态环境部门首次发现指出后5日内完成填报的；</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lang w:val="en-US" w:eastAsia="zh-CN"/>
        </w:rPr>
      </w:pPr>
      <w:r>
        <w:rPr>
          <w:rFonts w:hint="eastAsia" w:ascii="华文仿宋" w:hAnsi="华文仿宋" w:eastAsia="华文仿宋" w:cs="华文仿宋"/>
          <w:color w:val="auto"/>
          <w:sz w:val="32"/>
          <w:szCs w:val="32"/>
          <w:shd w:val="clear" w:color="auto" w:fill="auto"/>
          <w:lang w:val="en-US" w:eastAsia="zh-CN"/>
        </w:rPr>
        <w:t>13.未按照排污许可证规定提交排污许可证执行报告，生态环境部门首次发现指出后5日内按规定提交的（弄虚作假情形除外）；</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lang w:val="en-US" w:eastAsia="zh-CN"/>
        </w:rPr>
      </w:pPr>
      <w:r>
        <w:rPr>
          <w:rFonts w:hint="eastAsia" w:ascii="华文仿宋" w:hAnsi="华文仿宋" w:eastAsia="华文仿宋" w:cs="华文仿宋"/>
          <w:color w:val="auto"/>
          <w:sz w:val="32"/>
          <w:szCs w:val="32"/>
          <w:shd w:val="clear" w:color="auto" w:fill="auto"/>
          <w:lang w:val="en-US" w:eastAsia="zh-CN"/>
        </w:rPr>
        <w:t>14.未建立环境管理台账记录制度，或者未按照排污许可证规定记录，生态环境部门首次发现指出后5日内改正的（未如实记录情形除外）；</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lang w:val="en-US" w:eastAsia="zh-CN"/>
        </w:rPr>
      </w:pPr>
      <w:r>
        <w:rPr>
          <w:rFonts w:hint="eastAsia" w:ascii="华文仿宋" w:hAnsi="华文仿宋" w:eastAsia="华文仿宋" w:cs="华文仿宋"/>
          <w:color w:val="auto"/>
          <w:sz w:val="32"/>
          <w:szCs w:val="32"/>
          <w:shd w:val="clear" w:color="auto" w:fill="auto"/>
          <w:lang w:val="en-US" w:eastAsia="zh-CN"/>
        </w:rPr>
        <w:t>15.污染物排放方式或排放去向不符合排污许可证规定，但是变更的排放方式或者排放去向明显有利于污染防治的，生态环境主管部门首次发现指出后5日内重新提出排污许可证申请的；</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lang w:val="en-US" w:eastAsia="zh-CN"/>
        </w:rPr>
      </w:pPr>
      <w:r>
        <w:rPr>
          <w:rFonts w:hint="eastAsia" w:ascii="华文仿宋" w:hAnsi="华文仿宋" w:eastAsia="华文仿宋" w:cs="华文仿宋"/>
          <w:color w:val="auto"/>
          <w:sz w:val="32"/>
          <w:szCs w:val="32"/>
          <w:shd w:val="clear" w:color="auto" w:fill="auto"/>
          <w:lang w:val="en-US" w:eastAsia="zh-CN"/>
        </w:rPr>
        <w:t>16.初次违法且危害后果轻微并及时改正的。</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作出</w:t>
      </w:r>
      <w:r>
        <w:rPr>
          <w:rFonts w:hint="eastAsia" w:ascii="华文仿宋" w:hAnsi="华文仿宋" w:eastAsia="华文仿宋" w:cs="华文仿宋"/>
          <w:color w:val="auto"/>
          <w:sz w:val="32"/>
          <w:szCs w:val="32"/>
          <w:shd w:val="clear" w:color="auto" w:fill="auto"/>
          <w:lang w:eastAsia="zh-CN"/>
        </w:rPr>
        <w:t>不予</w:t>
      </w:r>
      <w:r>
        <w:rPr>
          <w:rFonts w:hint="eastAsia" w:ascii="华文仿宋" w:hAnsi="华文仿宋" w:eastAsia="华文仿宋" w:cs="华文仿宋"/>
          <w:color w:val="auto"/>
          <w:sz w:val="32"/>
          <w:szCs w:val="32"/>
          <w:shd w:val="clear" w:color="auto" w:fill="auto"/>
        </w:rPr>
        <w:t>处罚决定的案件，应当在案卷中附具理由和证据材料。</w:t>
      </w:r>
    </w:p>
    <w:p>
      <w:pPr>
        <w:shd w:val="clear" w:color="auto" w:fill="auto"/>
        <w:spacing w:line="590" w:lineRule="exact"/>
        <w:ind w:firstLine="643" w:firstLineChars="200"/>
        <w:outlineLvl w:val="9"/>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b/>
          <w:color w:val="auto"/>
          <w:sz w:val="32"/>
          <w:szCs w:val="32"/>
          <w:shd w:val="clear" w:color="auto" w:fill="auto"/>
        </w:rPr>
        <w:t>（</w:t>
      </w:r>
      <w:r>
        <w:rPr>
          <w:rFonts w:hint="eastAsia" w:ascii="华文仿宋" w:hAnsi="华文仿宋" w:eastAsia="华文仿宋" w:cs="华文仿宋"/>
          <w:b/>
          <w:color w:val="auto"/>
          <w:sz w:val="32"/>
          <w:szCs w:val="32"/>
          <w:shd w:val="clear" w:color="auto" w:fill="auto"/>
          <w:lang w:val="en-US" w:eastAsia="zh-CN"/>
        </w:rPr>
        <w:t>三</w:t>
      </w:r>
      <w:r>
        <w:rPr>
          <w:rFonts w:hint="eastAsia" w:ascii="华文仿宋" w:hAnsi="华文仿宋" w:eastAsia="华文仿宋" w:cs="华文仿宋"/>
          <w:b/>
          <w:color w:val="auto"/>
          <w:sz w:val="32"/>
          <w:szCs w:val="32"/>
          <w:shd w:val="clear" w:color="auto" w:fill="auto"/>
        </w:rPr>
        <w:t>）从轻处罚情形</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lang w:val="en-US" w:eastAsia="zh-CN"/>
        </w:rPr>
      </w:pPr>
      <w:r>
        <w:rPr>
          <w:rFonts w:hint="eastAsia" w:ascii="华文仿宋" w:hAnsi="华文仿宋" w:eastAsia="华文仿宋" w:cs="华文仿宋"/>
          <w:color w:val="auto"/>
          <w:sz w:val="32"/>
          <w:szCs w:val="32"/>
          <w:shd w:val="clear" w:color="auto" w:fill="auto"/>
          <w:lang w:val="en-US" w:eastAsia="zh-CN"/>
        </w:rPr>
        <w:t>1. 排污单位因突发机械设备故障造成超过国家或者地方排放标准排放污染物，按照规程及时维修实现达标排放的；</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lang w:val="en-US" w:eastAsia="zh-CN"/>
        </w:rPr>
      </w:pPr>
      <w:r>
        <w:rPr>
          <w:rFonts w:hint="eastAsia" w:ascii="华文仿宋" w:hAnsi="华文仿宋" w:eastAsia="华文仿宋" w:cs="华文仿宋"/>
          <w:color w:val="auto"/>
          <w:sz w:val="32"/>
          <w:szCs w:val="32"/>
          <w:shd w:val="clear" w:color="auto" w:fill="auto"/>
          <w:lang w:val="en-US" w:eastAsia="zh-CN"/>
        </w:rPr>
        <w:t>2. 单位主动减轻生态环境违法行为危害后果的；</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lang w:val="en-US" w:eastAsia="zh-CN"/>
        </w:rPr>
      </w:pPr>
      <w:r>
        <w:rPr>
          <w:rFonts w:hint="eastAsia" w:ascii="华文仿宋" w:hAnsi="华文仿宋" w:eastAsia="华文仿宋" w:cs="华文仿宋"/>
          <w:color w:val="auto"/>
          <w:sz w:val="32"/>
          <w:szCs w:val="32"/>
          <w:shd w:val="clear" w:color="auto" w:fill="auto"/>
          <w:lang w:val="en-US" w:eastAsia="zh-CN"/>
        </w:rPr>
        <w:t>3. 受他人诱骗实施生态环境违法行为的；</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lang w:val="en-US" w:eastAsia="zh-CN"/>
        </w:rPr>
      </w:pPr>
      <w:r>
        <w:rPr>
          <w:rFonts w:hint="eastAsia" w:ascii="华文仿宋" w:hAnsi="华文仿宋" w:eastAsia="华文仿宋" w:cs="华文仿宋"/>
          <w:color w:val="auto"/>
          <w:sz w:val="32"/>
          <w:szCs w:val="32"/>
          <w:shd w:val="clear" w:color="auto" w:fill="auto"/>
          <w:lang w:val="en-US" w:eastAsia="zh-CN"/>
        </w:rPr>
        <w:t>4. 配合生态环境部门查处生态环境违法行为有立功表现的；</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lang w:val="en-US" w:eastAsia="zh-CN"/>
        </w:rPr>
      </w:pPr>
      <w:r>
        <w:rPr>
          <w:rFonts w:hint="eastAsia" w:ascii="华文仿宋" w:hAnsi="华文仿宋" w:eastAsia="华文仿宋" w:cs="华文仿宋"/>
          <w:color w:val="auto"/>
          <w:sz w:val="32"/>
          <w:szCs w:val="32"/>
          <w:shd w:val="clear" w:color="auto" w:fill="auto"/>
          <w:lang w:val="en-US" w:eastAsia="zh-CN"/>
        </w:rPr>
        <w:t>5.主动供述行政机关尚未掌握的违法行为的；</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lang w:val="en-US" w:eastAsia="zh-CN"/>
        </w:rPr>
        <w:t>6</w:t>
      </w:r>
      <w:r>
        <w:rPr>
          <w:rFonts w:hint="eastAsia" w:ascii="华文仿宋" w:hAnsi="华文仿宋" w:eastAsia="华文仿宋" w:cs="华文仿宋"/>
          <w:color w:val="auto"/>
          <w:sz w:val="32"/>
          <w:szCs w:val="32"/>
          <w:shd w:val="clear" w:color="auto" w:fill="auto"/>
        </w:rPr>
        <w:t>. 其他</w:t>
      </w:r>
      <w:r>
        <w:rPr>
          <w:rFonts w:hint="eastAsia" w:ascii="华文仿宋" w:hAnsi="华文仿宋" w:eastAsia="华文仿宋" w:cs="华文仿宋"/>
          <w:color w:val="auto"/>
          <w:sz w:val="32"/>
          <w:szCs w:val="32"/>
          <w:shd w:val="clear" w:color="auto" w:fill="auto"/>
          <w:lang w:eastAsia="zh-CN"/>
        </w:rPr>
        <w:t>依法</w:t>
      </w:r>
      <w:r>
        <w:rPr>
          <w:rFonts w:hint="eastAsia" w:ascii="华文仿宋" w:hAnsi="华文仿宋" w:eastAsia="华文仿宋" w:cs="华文仿宋"/>
          <w:color w:val="auto"/>
          <w:sz w:val="32"/>
          <w:szCs w:val="32"/>
          <w:shd w:val="clear" w:color="auto" w:fill="auto"/>
        </w:rPr>
        <w:t>应当从轻行政处罚的。</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对符合从轻处罚情形的案件，可以在裁量基准确定罚款金额的基础上减少一定的百分值，但一般不超过20%</w:t>
      </w:r>
      <w:r>
        <w:rPr>
          <w:rFonts w:hint="eastAsia" w:ascii="华文仿宋" w:hAnsi="华文仿宋" w:eastAsia="华文仿宋" w:cs="华文仿宋"/>
          <w:color w:val="auto"/>
          <w:sz w:val="32"/>
          <w:szCs w:val="32"/>
          <w:shd w:val="clear" w:color="auto" w:fill="auto"/>
          <w:lang w:eastAsia="zh-CN"/>
        </w:rPr>
        <w:t>；符合两种以上从轻处罚情形的，减少不超过</w:t>
      </w:r>
      <w:r>
        <w:rPr>
          <w:rFonts w:hint="eastAsia" w:ascii="华文仿宋" w:hAnsi="华文仿宋" w:eastAsia="华文仿宋" w:cs="华文仿宋"/>
          <w:color w:val="auto"/>
          <w:sz w:val="32"/>
          <w:szCs w:val="32"/>
          <w:shd w:val="clear" w:color="auto" w:fill="auto"/>
          <w:lang w:val="en-US" w:eastAsia="zh-CN"/>
        </w:rPr>
        <w:t>30%，从轻处罚后的罚款金额不得低于法定最低罚款金额。</w:t>
      </w:r>
      <w:r>
        <w:rPr>
          <w:rFonts w:hint="eastAsia" w:ascii="华文仿宋" w:hAnsi="华文仿宋" w:eastAsia="华文仿宋" w:cs="华文仿宋"/>
          <w:color w:val="auto"/>
          <w:sz w:val="32"/>
          <w:szCs w:val="32"/>
          <w:shd w:val="clear" w:color="auto" w:fill="auto"/>
        </w:rPr>
        <w:t>作出从轻处罚决定的案件，应当在案卷中附具理由和证据材料。</w:t>
      </w:r>
    </w:p>
    <w:p>
      <w:pPr>
        <w:numPr>
          <w:numId w:val="0"/>
        </w:numPr>
        <w:shd w:val="clear" w:color="auto" w:fill="auto"/>
        <w:spacing w:line="590" w:lineRule="exact"/>
        <w:ind w:firstLine="643" w:firstLineChars="200"/>
        <w:rPr>
          <w:rFonts w:hint="eastAsia" w:ascii="华文仿宋" w:hAnsi="华文仿宋" w:eastAsia="华文仿宋" w:cs="华文仿宋"/>
          <w:color w:val="auto"/>
          <w:sz w:val="32"/>
          <w:szCs w:val="32"/>
          <w:shd w:val="clear" w:color="auto" w:fill="auto"/>
          <w:lang w:val="en-US" w:eastAsia="zh-CN"/>
        </w:rPr>
      </w:pPr>
      <w:r>
        <w:rPr>
          <w:rFonts w:hint="eastAsia" w:ascii="华文仿宋" w:hAnsi="华文仿宋" w:eastAsia="华文仿宋" w:cs="华文仿宋"/>
          <w:b/>
          <w:color w:val="auto"/>
          <w:sz w:val="32"/>
          <w:szCs w:val="32"/>
          <w:shd w:val="clear" w:color="auto" w:fill="auto"/>
        </w:rPr>
        <w:t>（</w:t>
      </w:r>
      <w:r>
        <w:rPr>
          <w:rFonts w:hint="eastAsia" w:ascii="华文仿宋" w:hAnsi="华文仿宋" w:eastAsia="华文仿宋" w:cs="华文仿宋"/>
          <w:b/>
          <w:color w:val="auto"/>
          <w:sz w:val="32"/>
          <w:szCs w:val="32"/>
          <w:shd w:val="clear" w:color="auto" w:fill="auto"/>
          <w:lang w:eastAsia="zh-CN"/>
        </w:rPr>
        <w:t>四</w:t>
      </w:r>
      <w:r>
        <w:rPr>
          <w:rFonts w:hint="eastAsia" w:ascii="华文仿宋" w:hAnsi="华文仿宋" w:eastAsia="华文仿宋" w:cs="华文仿宋"/>
          <w:b/>
          <w:color w:val="auto"/>
          <w:sz w:val="32"/>
          <w:szCs w:val="32"/>
          <w:shd w:val="clear" w:color="auto" w:fill="auto"/>
        </w:rPr>
        <w:t>）</w:t>
      </w:r>
      <w:r>
        <w:rPr>
          <w:rFonts w:hint="eastAsia" w:ascii="华文仿宋" w:hAnsi="华文仿宋" w:eastAsia="华文仿宋" w:cs="华文仿宋"/>
          <w:b/>
          <w:bCs/>
          <w:color w:val="auto"/>
          <w:sz w:val="32"/>
          <w:szCs w:val="32"/>
          <w:shd w:val="clear" w:color="auto" w:fill="auto"/>
          <w:lang w:val="en-US" w:eastAsia="zh-CN"/>
        </w:rPr>
        <w:t>减轻处罚情形</w:t>
      </w:r>
    </w:p>
    <w:p>
      <w:pPr>
        <w:numPr>
          <w:numId w:val="0"/>
        </w:num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符合法定减轻处罚标准条件的，应当</w:t>
      </w:r>
      <w:r>
        <w:rPr>
          <w:rFonts w:hint="eastAsia" w:ascii="华文仿宋" w:hAnsi="华文仿宋" w:eastAsia="华文仿宋" w:cs="华文仿宋"/>
          <w:color w:val="auto"/>
          <w:sz w:val="32"/>
          <w:szCs w:val="32"/>
          <w:shd w:val="clear" w:color="auto" w:fill="auto"/>
          <w:lang w:eastAsia="zh-CN"/>
        </w:rPr>
        <w:t>依法</w:t>
      </w:r>
      <w:r>
        <w:rPr>
          <w:rFonts w:hint="eastAsia" w:ascii="华文仿宋" w:hAnsi="华文仿宋" w:eastAsia="华文仿宋" w:cs="华文仿宋"/>
          <w:color w:val="auto"/>
          <w:sz w:val="32"/>
          <w:szCs w:val="32"/>
          <w:shd w:val="clear" w:color="auto" w:fill="auto"/>
        </w:rPr>
        <w:t>减轻行政处罚。作出减轻处罚决定的案件，应当在案卷中附具理由和证据材料。</w:t>
      </w:r>
    </w:p>
    <w:p>
      <w:pPr>
        <w:shd w:val="clear" w:color="auto" w:fill="auto"/>
        <w:spacing w:line="590" w:lineRule="exact"/>
        <w:ind w:firstLine="643" w:firstLineChars="200"/>
        <w:outlineLvl w:val="9"/>
        <w:rPr>
          <w:rFonts w:hint="eastAsia" w:ascii="华文仿宋" w:hAnsi="华文仿宋" w:eastAsia="华文仿宋" w:cs="华文仿宋"/>
          <w:b/>
          <w:color w:val="auto"/>
          <w:sz w:val="32"/>
          <w:szCs w:val="32"/>
          <w:shd w:val="clear" w:color="auto" w:fill="auto"/>
        </w:rPr>
      </w:pPr>
      <w:r>
        <w:rPr>
          <w:rFonts w:hint="eastAsia" w:ascii="华文仿宋" w:hAnsi="华文仿宋" w:eastAsia="华文仿宋" w:cs="华文仿宋"/>
          <w:b/>
          <w:color w:val="auto"/>
          <w:sz w:val="32"/>
          <w:szCs w:val="32"/>
          <w:shd w:val="clear" w:color="auto" w:fill="auto"/>
        </w:rPr>
        <w:t>（</w:t>
      </w:r>
      <w:r>
        <w:rPr>
          <w:rFonts w:hint="eastAsia" w:ascii="华文仿宋" w:hAnsi="华文仿宋" w:eastAsia="华文仿宋" w:cs="华文仿宋"/>
          <w:b/>
          <w:color w:val="auto"/>
          <w:sz w:val="32"/>
          <w:szCs w:val="32"/>
          <w:shd w:val="clear" w:color="auto" w:fill="auto"/>
          <w:lang w:eastAsia="zh-CN"/>
        </w:rPr>
        <w:t>五</w:t>
      </w:r>
      <w:r>
        <w:rPr>
          <w:rFonts w:hint="eastAsia" w:ascii="华文仿宋" w:hAnsi="华文仿宋" w:eastAsia="华文仿宋" w:cs="华文仿宋"/>
          <w:b/>
          <w:color w:val="auto"/>
          <w:sz w:val="32"/>
          <w:szCs w:val="32"/>
          <w:shd w:val="clear" w:color="auto" w:fill="auto"/>
        </w:rPr>
        <w:t>）从重处罚情形</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1. 两年内因同类生态环境违法行为被处罚3次以上的；</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2. 重污染天气预警期间超标排放大气污染物的；</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3. 在案件查处中对执法人员进行威胁、辱骂、殴打、恐吓或者打击报复，或者对举报人、证人打击报复的；</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4. 生态环境违法行为造成跨市级以上（含市级）行政区域环境污染或者生态破坏的；</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5. 生态环境违法行为引起3次以上查证属实的环境信访或产生较大负面社会影响的；</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6. 转移、隐匿、销毁证据或者提供伪证，掩盖违法事实的；</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7. 单位环保信用级别为警示或不良的；</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lang w:val="en-US" w:eastAsia="zh-CN"/>
        </w:rPr>
        <w:t>8. 发生突发环境事件，违反突发环境事件应对措施的；</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lang w:val="en-US" w:eastAsia="zh-CN"/>
        </w:rPr>
        <w:t>9</w:t>
      </w:r>
      <w:r>
        <w:rPr>
          <w:rFonts w:hint="eastAsia" w:ascii="华文仿宋" w:hAnsi="华文仿宋" w:eastAsia="华文仿宋" w:cs="华文仿宋"/>
          <w:color w:val="auto"/>
          <w:sz w:val="32"/>
          <w:szCs w:val="32"/>
          <w:shd w:val="clear" w:color="auto" w:fill="auto"/>
        </w:rPr>
        <w:t>. 其他具有从重情节的。</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对符合从重处罚情形的案件，可以在裁量基准确定罚款金额的基础上增加一定的百分值，但一般不超过20%</w:t>
      </w:r>
      <w:r>
        <w:rPr>
          <w:rFonts w:hint="eastAsia" w:ascii="华文仿宋" w:hAnsi="华文仿宋" w:eastAsia="华文仿宋" w:cs="华文仿宋"/>
          <w:color w:val="auto"/>
          <w:sz w:val="32"/>
          <w:szCs w:val="32"/>
          <w:shd w:val="clear" w:color="auto" w:fill="auto"/>
          <w:lang w:eastAsia="zh-CN"/>
        </w:rPr>
        <w:t>，</w:t>
      </w:r>
      <w:r>
        <w:rPr>
          <w:rFonts w:hint="eastAsia" w:ascii="华文仿宋" w:hAnsi="华文仿宋" w:eastAsia="华文仿宋" w:cs="华文仿宋"/>
          <w:color w:val="auto"/>
          <w:sz w:val="32"/>
          <w:szCs w:val="32"/>
          <w:shd w:val="clear" w:color="auto" w:fill="auto"/>
          <w:lang w:val="en-US" w:eastAsia="zh-CN"/>
        </w:rPr>
        <w:t>从重处罚后的罚款金额不得高于法定最高罚款金额。</w:t>
      </w:r>
      <w:r>
        <w:rPr>
          <w:rFonts w:hint="eastAsia" w:ascii="华文仿宋" w:hAnsi="华文仿宋" w:eastAsia="华文仿宋" w:cs="华文仿宋"/>
          <w:color w:val="auto"/>
          <w:sz w:val="32"/>
          <w:szCs w:val="32"/>
          <w:shd w:val="clear" w:color="auto" w:fill="auto"/>
        </w:rPr>
        <w:t>作出从重处罚决定的案件，应当在案卷中附具理由和证据材料。</w:t>
      </w:r>
    </w:p>
    <w:p>
      <w:pPr>
        <w:shd w:val="clear" w:color="auto" w:fill="auto"/>
        <w:spacing w:line="590" w:lineRule="exact"/>
        <w:ind w:firstLine="643"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b/>
          <w:bCs/>
          <w:color w:val="auto"/>
          <w:sz w:val="32"/>
          <w:szCs w:val="32"/>
          <w:shd w:val="clear" w:color="auto" w:fill="auto"/>
        </w:rPr>
        <w:t>第</w:t>
      </w:r>
      <w:r>
        <w:rPr>
          <w:rFonts w:hint="eastAsia" w:ascii="华文仿宋" w:hAnsi="华文仿宋" w:eastAsia="华文仿宋" w:cs="华文仿宋"/>
          <w:b/>
          <w:bCs/>
          <w:color w:val="auto"/>
          <w:sz w:val="32"/>
          <w:szCs w:val="32"/>
          <w:shd w:val="clear" w:color="auto" w:fill="auto"/>
          <w:lang w:eastAsia="zh-CN"/>
        </w:rPr>
        <w:t>九</w:t>
      </w:r>
      <w:r>
        <w:rPr>
          <w:rFonts w:hint="eastAsia" w:ascii="华文仿宋" w:hAnsi="华文仿宋" w:eastAsia="华文仿宋" w:cs="华文仿宋"/>
          <w:b/>
          <w:bCs/>
          <w:color w:val="auto"/>
          <w:sz w:val="32"/>
          <w:szCs w:val="32"/>
          <w:shd w:val="clear" w:color="auto" w:fill="auto"/>
        </w:rPr>
        <w:t xml:space="preserve">条 </w:t>
      </w:r>
      <w:r>
        <w:rPr>
          <w:rFonts w:hint="eastAsia" w:ascii="华文仿宋" w:hAnsi="华文仿宋" w:eastAsia="华文仿宋" w:cs="华文仿宋"/>
          <w:color w:val="auto"/>
          <w:sz w:val="32"/>
          <w:szCs w:val="32"/>
          <w:shd w:val="clear" w:color="auto" w:fill="auto"/>
        </w:rPr>
        <w:t xml:space="preserve"> 案件调查取证中，执法人员应当以裁量规则和基准为指导，全面调取有关违法行为</w:t>
      </w:r>
      <w:r>
        <w:rPr>
          <w:rFonts w:hint="eastAsia" w:ascii="华文仿宋" w:hAnsi="华文仿宋" w:eastAsia="华文仿宋" w:cs="华文仿宋"/>
          <w:color w:val="auto"/>
          <w:sz w:val="32"/>
          <w:szCs w:val="32"/>
          <w:shd w:val="clear" w:color="auto" w:fill="auto"/>
          <w:lang w:eastAsia="zh-CN"/>
        </w:rPr>
        <w:t>的</w:t>
      </w:r>
      <w:r>
        <w:rPr>
          <w:rFonts w:hint="eastAsia" w:ascii="华文仿宋" w:hAnsi="华文仿宋" w:eastAsia="华文仿宋" w:cs="华文仿宋"/>
          <w:color w:val="auto"/>
          <w:sz w:val="32"/>
          <w:szCs w:val="32"/>
          <w:shd w:val="clear" w:color="auto" w:fill="auto"/>
          <w:lang w:val="en-US" w:eastAsia="zh-CN"/>
        </w:rPr>
        <w:t>性质、情节以及危害后果</w:t>
      </w:r>
      <w:r>
        <w:rPr>
          <w:rFonts w:hint="eastAsia" w:ascii="华文仿宋" w:hAnsi="华文仿宋" w:eastAsia="华文仿宋" w:cs="华文仿宋"/>
          <w:color w:val="auto"/>
          <w:sz w:val="32"/>
          <w:szCs w:val="32"/>
          <w:shd w:val="clear" w:color="auto" w:fill="auto"/>
        </w:rPr>
        <w:t>的证据。提交行政处罚案件调查终结报告时，应当同时提供违法行为的定性证据、裁量因素证据。执法人员在案件调查取证中确因客观因素未能调取到裁量基准中部分裁量因素的情节和证据，案件调查终结报告中应注明，计算处罚金额时不考虑该项裁量因素。</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各级生态环境部门的法制部门进行法制审核。</w:t>
      </w:r>
      <w:r>
        <w:rPr>
          <w:rFonts w:hint="eastAsia" w:ascii="华文仿宋" w:hAnsi="华文仿宋" w:eastAsia="华文仿宋" w:cs="华文仿宋"/>
          <w:color w:val="auto"/>
          <w:sz w:val="32"/>
          <w:szCs w:val="32"/>
          <w:shd w:val="clear" w:color="auto" w:fill="auto"/>
          <w:lang w:val="en-US" w:eastAsia="zh-CN"/>
        </w:rPr>
        <w:t>法制审核时，应当对案件的裁量情况和证据进行法制审核，</w:t>
      </w:r>
      <w:r>
        <w:rPr>
          <w:rFonts w:hint="eastAsia" w:ascii="华文仿宋" w:hAnsi="华文仿宋" w:eastAsia="华文仿宋" w:cs="华文仿宋"/>
          <w:color w:val="auto"/>
          <w:sz w:val="32"/>
          <w:szCs w:val="32"/>
          <w:shd w:val="clear" w:color="auto" w:fill="auto"/>
        </w:rPr>
        <w:t>并出具书面的法制审核意见</w:t>
      </w:r>
      <w:r>
        <w:rPr>
          <w:rFonts w:hint="eastAsia" w:ascii="华文仿宋" w:hAnsi="华文仿宋" w:eastAsia="华文仿宋" w:cs="华文仿宋"/>
          <w:color w:val="auto"/>
          <w:sz w:val="32"/>
          <w:szCs w:val="32"/>
          <w:shd w:val="clear" w:color="auto" w:fill="auto"/>
          <w:lang w:eastAsia="zh-CN"/>
        </w:rPr>
        <w:t>。</w:t>
      </w:r>
      <w:r>
        <w:rPr>
          <w:rFonts w:hint="eastAsia" w:ascii="华文仿宋" w:hAnsi="华文仿宋" w:eastAsia="华文仿宋" w:cs="华文仿宋"/>
          <w:color w:val="auto"/>
          <w:sz w:val="32"/>
          <w:szCs w:val="32"/>
          <w:shd w:val="clear" w:color="auto" w:fill="auto"/>
        </w:rPr>
        <w:t>如适用裁量未说明理由并附相应证据材料，或者随附证据材料不足的，法制部门应退回执法人员补正。经集体审议的案件应当专门对案件的裁量情况进行审议，书面记录审议结果，并随案卷归档。</w:t>
      </w:r>
    </w:p>
    <w:p>
      <w:pPr>
        <w:numPr>
          <w:ilvl w:val="0"/>
          <w:numId w:val="2"/>
        </w:num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 xml:space="preserve"> 对当事人的同一个违法行为，不得给予两次以上罚款的行政处罚。同一个违法行为违反多个法律规</w:t>
      </w:r>
      <w:r>
        <w:rPr>
          <w:rFonts w:hint="eastAsia" w:ascii="华文仿宋" w:hAnsi="华文仿宋" w:eastAsia="华文仿宋" w:cs="华文仿宋"/>
          <w:color w:val="auto"/>
          <w:sz w:val="32"/>
          <w:szCs w:val="32"/>
          <w:shd w:val="clear" w:color="auto" w:fill="auto"/>
          <w:lang w:eastAsia="zh-CN"/>
        </w:rPr>
        <w:t>定</w:t>
      </w:r>
      <w:r>
        <w:rPr>
          <w:rFonts w:hint="eastAsia" w:ascii="华文仿宋" w:hAnsi="华文仿宋" w:eastAsia="华文仿宋" w:cs="华文仿宋"/>
          <w:color w:val="auto"/>
          <w:sz w:val="32"/>
          <w:szCs w:val="32"/>
          <w:shd w:val="clear" w:color="auto" w:fill="auto"/>
        </w:rPr>
        <w:t>应当给予罚款处罚的，按照罚款数额高的规定处罚。</w:t>
      </w:r>
    </w:p>
    <w:p>
      <w:pPr>
        <w:numPr>
          <w:numId w:val="0"/>
        </w:num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lang w:eastAsia="zh-CN"/>
        </w:rPr>
      </w:pPr>
      <w:r>
        <w:rPr>
          <w:rFonts w:hint="eastAsia" w:ascii="华文仿宋" w:hAnsi="华文仿宋" w:eastAsia="华文仿宋" w:cs="华文仿宋"/>
          <w:color w:val="auto"/>
          <w:sz w:val="32"/>
          <w:szCs w:val="32"/>
          <w:shd w:val="clear" w:color="auto" w:fill="auto"/>
        </w:rPr>
        <w:t>实施了两个以上生态环境违法行为，若违法行为之间存在</w:t>
      </w:r>
      <w:r>
        <w:rPr>
          <w:rFonts w:hint="eastAsia" w:ascii="华文仿宋" w:hAnsi="华文仿宋" w:eastAsia="华文仿宋" w:cs="华文仿宋"/>
          <w:color w:val="auto"/>
          <w:sz w:val="32"/>
          <w:szCs w:val="32"/>
          <w:shd w:val="clear" w:color="auto" w:fill="auto"/>
          <w:lang w:eastAsia="zh-CN"/>
        </w:rPr>
        <w:t>“</w:t>
      </w:r>
      <w:r>
        <w:rPr>
          <w:rFonts w:hint="eastAsia" w:ascii="华文仿宋" w:hAnsi="华文仿宋" w:eastAsia="华文仿宋" w:cs="华文仿宋"/>
          <w:color w:val="auto"/>
          <w:sz w:val="32"/>
          <w:szCs w:val="32"/>
          <w:shd w:val="clear" w:color="auto" w:fill="auto"/>
        </w:rPr>
        <w:t>必然</w:t>
      </w:r>
      <w:r>
        <w:rPr>
          <w:rFonts w:hint="eastAsia" w:ascii="华文仿宋" w:hAnsi="华文仿宋" w:eastAsia="华文仿宋" w:cs="华文仿宋"/>
          <w:color w:val="auto"/>
          <w:sz w:val="32"/>
          <w:szCs w:val="32"/>
          <w:shd w:val="clear" w:color="auto" w:fill="auto"/>
          <w:lang w:eastAsia="zh-CN"/>
        </w:rPr>
        <w:t>关联</w:t>
      </w:r>
      <w:r>
        <w:rPr>
          <w:rFonts w:hint="eastAsia" w:ascii="华文仿宋" w:hAnsi="华文仿宋" w:eastAsia="华文仿宋" w:cs="华文仿宋"/>
          <w:color w:val="auto"/>
          <w:sz w:val="32"/>
          <w:szCs w:val="32"/>
          <w:shd w:val="clear" w:color="auto" w:fill="auto"/>
        </w:rPr>
        <w:t>关系</w:t>
      </w:r>
      <w:r>
        <w:rPr>
          <w:rFonts w:hint="eastAsia" w:ascii="华文仿宋" w:hAnsi="华文仿宋" w:eastAsia="华文仿宋" w:cs="华文仿宋"/>
          <w:color w:val="auto"/>
          <w:sz w:val="32"/>
          <w:szCs w:val="32"/>
          <w:shd w:val="clear" w:color="auto" w:fill="auto"/>
          <w:lang w:eastAsia="zh-CN"/>
        </w:rPr>
        <w:t>”</w:t>
      </w:r>
      <w:r>
        <w:rPr>
          <w:rFonts w:hint="eastAsia" w:ascii="华文仿宋" w:hAnsi="华文仿宋" w:eastAsia="华文仿宋" w:cs="华文仿宋"/>
          <w:color w:val="auto"/>
          <w:sz w:val="32"/>
          <w:szCs w:val="32"/>
          <w:shd w:val="clear" w:color="auto" w:fill="auto"/>
        </w:rPr>
        <w:t>的，应当选择处罚较重的违法行为予以认定，并给予处罚</w:t>
      </w:r>
      <w:r>
        <w:rPr>
          <w:rFonts w:hint="eastAsia" w:ascii="华文仿宋" w:hAnsi="华文仿宋" w:eastAsia="华文仿宋" w:cs="华文仿宋"/>
          <w:color w:val="auto"/>
          <w:sz w:val="32"/>
          <w:szCs w:val="32"/>
          <w:shd w:val="clear" w:color="auto" w:fill="auto"/>
          <w:lang w:eastAsia="zh-CN"/>
        </w:rPr>
        <w:t>。</w:t>
      </w:r>
    </w:p>
    <w:p>
      <w:pPr>
        <w:numPr>
          <w:numId w:val="0"/>
        </w:num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实施了两个以上生态环境违法行为，若违法行为之间不存在</w:t>
      </w:r>
      <w:r>
        <w:rPr>
          <w:rFonts w:hint="eastAsia" w:ascii="华文仿宋" w:hAnsi="华文仿宋" w:eastAsia="华文仿宋" w:cs="华文仿宋"/>
          <w:color w:val="auto"/>
          <w:sz w:val="32"/>
          <w:szCs w:val="32"/>
          <w:shd w:val="clear" w:color="auto" w:fill="auto"/>
          <w:lang w:eastAsia="zh-CN"/>
        </w:rPr>
        <w:t>“</w:t>
      </w:r>
      <w:r>
        <w:rPr>
          <w:rFonts w:hint="eastAsia" w:ascii="华文仿宋" w:hAnsi="华文仿宋" w:eastAsia="华文仿宋" w:cs="华文仿宋"/>
          <w:color w:val="auto"/>
          <w:sz w:val="32"/>
          <w:szCs w:val="32"/>
          <w:shd w:val="clear" w:color="auto" w:fill="auto"/>
        </w:rPr>
        <w:t>必然</w:t>
      </w:r>
      <w:r>
        <w:rPr>
          <w:rFonts w:hint="eastAsia" w:ascii="华文仿宋" w:hAnsi="华文仿宋" w:eastAsia="华文仿宋" w:cs="华文仿宋"/>
          <w:color w:val="auto"/>
          <w:sz w:val="32"/>
          <w:szCs w:val="32"/>
          <w:shd w:val="clear" w:color="auto" w:fill="auto"/>
          <w:lang w:eastAsia="zh-CN"/>
        </w:rPr>
        <w:t>关联</w:t>
      </w:r>
      <w:r>
        <w:rPr>
          <w:rFonts w:hint="eastAsia" w:ascii="华文仿宋" w:hAnsi="华文仿宋" w:eastAsia="华文仿宋" w:cs="华文仿宋"/>
          <w:color w:val="auto"/>
          <w:sz w:val="32"/>
          <w:szCs w:val="32"/>
          <w:shd w:val="clear" w:color="auto" w:fill="auto"/>
        </w:rPr>
        <w:t>关系</w:t>
      </w:r>
      <w:r>
        <w:rPr>
          <w:rFonts w:hint="eastAsia" w:ascii="华文仿宋" w:hAnsi="华文仿宋" w:eastAsia="华文仿宋" w:cs="华文仿宋"/>
          <w:color w:val="auto"/>
          <w:sz w:val="32"/>
          <w:szCs w:val="32"/>
          <w:shd w:val="clear" w:color="auto" w:fill="auto"/>
          <w:lang w:eastAsia="zh-CN"/>
        </w:rPr>
        <w:t>”</w:t>
      </w:r>
      <w:r>
        <w:rPr>
          <w:rFonts w:hint="eastAsia" w:ascii="华文仿宋" w:hAnsi="华文仿宋" w:eastAsia="华文仿宋" w:cs="华文仿宋"/>
          <w:color w:val="auto"/>
          <w:sz w:val="32"/>
          <w:szCs w:val="32"/>
          <w:shd w:val="clear" w:color="auto" w:fill="auto"/>
        </w:rPr>
        <w:t>的，应当对每个违法行为分别依法给予处罚。</w:t>
      </w:r>
    </w:p>
    <w:p>
      <w:pPr>
        <w:shd w:val="clear" w:color="auto" w:fill="auto"/>
        <w:spacing w:line="590" w:lineRule="exact"/>
        <w:ind w:firstLine="643"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b/>
          <w:bCs/>
          <w:color w:val="auto"/>
          <w:sz w:val="32"/>
          <w:szCs w:val="32"/>
          <w:shd w:val="clear" w:color="auto" w:fill="auto"/>
        </w:rPr>
        <w:t>第十</w:t>
      </w:r>
      <w:r>
        <w:rPr>
          <w:rFonts w:hint="eastAsia" w:ascii="华文仿宋" w:hAnsi="华文仿宋" w:eastAsia="华文仿宋" w:cs="华文仿宋"/>
          <w:b/>
          <w:bCs/>
          <w:color w:val="auto"/>
          <w:sz w:val="32"/>
          <w:szCs w:val="32"/>
          <w:shd w:val="clear" w:color="auto" w:fill="auto"/>
          <w:lang w:eastAsia="zh-CN"/>
        </w:rPr>
        <w:t>一</w:t>
      </w:r>
      <w:r>
        <w:rPr>
          <w:rFonts w:hint="eastAsia" w:ascii="华文仿宋" w:hAnsi="华文仿宋" w:eastAsia="华文仿宋" w:cs="华文仿宋"/>
          <w:b/>
          <w:bCs/>
          <w:color w:val="auto"/>
          <w:sz w:val="32"/>
          <w:szCs w:val="32"/>
          <w:shd w:val="clear" w:color="auto" w:fill="auto"/>
        </w:rPr>
        <w:t>条</w:t>
      </w:r>
      <w:r>
        <w:rPr>
          <w:rFonts w:hint="eastAsia" w:ascii="华文仿宋" w:hAnsi="华文仿宋" w:eastAsia="华文仿宋" w:cs="华文仿宋"/>
          <w:color w:val="auto"/>
          <w:sz w:val="32"/>
          <w:szCs w:val="32"/>
          <w:shd w:val="clear" w:color="auto" w:fill="auto"/>
        </w:rPr>
        <w:t xml:space="preserve">  省生态环境厅行政处罚裁量规则和基准在厅门户网站公开，接受社会监督。省辖市生态环境部门应当在裁量规则和基准制发或者变更后15日内报</w:t>
      </w:r>
      <w:r>
        <w:rPr>
          <w:rFonts w:hint="eastAsia" w:ascii="华文仿宋" w:hAnsi="华文仿宋" w:eastAsia="华文仿宋" w:cs="华文仿宋"/>
          <w:color w:val="auto"/>
          <w:sz w:val="32"/>
          <w:szCs w:val="32"/>
          <w:shd w:val="clear" w:color="auto" w:fill="auto"/>
          <w:lang w:eastAsia="zh-CN"/>
        </w:rPr>
        <w:t>省</w:t>
      </w:r>
      <w:r>
        <w:rPr>
          <w:rFonts w:hint="eastAsia" w:ascii="华文仿宋" w:hAnsi="华文仿宋" w:eastAsia="华文仿宋" w:cs="华文仿宋"/>
          <w:color w:val="auto"/>
          <w:sz w:val="32"/>
          <w:szCs w:val="32"/>
          <w:shd w:val="clear" w:color="auto" w:fill="auto"/>
        </w:rPr>
        <w:t>生态环境</w:t>
      </w:r>
      <w:r>
        <w:rPr>
          <w:rFonts w:hint="eastAsia" w:ascii="华文仿宋" w:hAnsi="华文仿宋" w:eastAsia="华文仿宋" w:cs="华文仿宋"/>
          <w:color w:val="auto"/>
          <w:sz w:val="32"/>
          <w:szCs w:val="32"/>
          <w:shd w:val="clear" w:color="auto" w:fill="auto"/>
          <w:lang w:eastAsia="zh-CN"/>
        </w:rPr>
        <w:t>厅</w:t>
      </w:r>
      <w:r>
        <w:rPr>
          <w:rFonts w:hint="eastAsia" w:ascii="华文仿宋" w:hAnsi="华文仿宋" w:eastAsia="华文仿宋" w:cs="华文仿宋"/>
          <w:color w:val="auto"/>
          <w:sz w:val="32"/>
          <w:szCs w:val="32"/>
          <w:shd w:val="clear" w:color="auto" w:fill="auto"/>
        </w:rPr>
        <w:t>备案。对不按裁量规则和基准进行裁量，不规范行使行政处罚裁量权构成违纪违法的，依法依规依纪追究责任。</w:t>
      </w:r>
    </w:p>
    <w:p>
      <w:pPr>
        <w:shd w:val="clear" w:color="auto" w:fill="auto"/>
        <w:spacing w:line="590" w:lineRule="exact"/>
        <w:ind w:firstLine="643"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b/>
          <w:bCs/>
          <w:color w:val="auto"/>
          <w:sz w:val="32"/>
          <w:szCs w:val="32"/>
          <w:shd w:val="clear" w:color="auto" w:fill="auto"/>
        </w:rPr>
        <w:t>第十</w:t>
      </w:r>
      <w:r>
        <w:rPr>
          <w:rFonts w:hint="eastAsia" w:ascii="华文仿宋" w:hAnsi="华文仿宋" w:eastAsia="华文仿宋" w:cs="华文仿宋"/>
          <w:b/>
          <w:bCs/>
          <w:color w:val="auto"/>
          <w:sz w:val="32"/>
          <w:szCs w:val="32"/>
          <w:shd w:val="clear" w:color="auto" w:fill="auto"/>
          <w:lang w:eastAsia="zh-CN"/>
        </w:rPr>
        <w:t>二</w:t>
      </w:r>
      <w:r>
        <w:rPr>
          <w:rFonts w:hint="eastAsia" w:ascii="华文仿宋" w:hAnsi="华文仿宋" w:eastAsia="华文仿宋" w:cs="华文仿宋"/>
          <w:b/>
          <w:bCs/>
          <w:color w:val="auto"/>
          <w:sz w:val="32"/>
          <w:szCs w:val="32"/>
          <w:shd w:val="clear" w:color="auto" w:fill="auto"/>
        </w:rPr>
        <w:t>条</w:t>
      </w:r>
      <w:r>
        <w:rPr>
          <w:rFonts w:hint="eastAsia" w:ascii="华文仿宋" w:hAnsi="华文仿宋" w:eastAsia="华文仿宋" w:cs="华文仿宋"/>
          <w:color w:val="auto"/>
          <w:sz w:val="32"/>
          <w:szCs w:val="32"/>
          <w:shd w:val="clear" w:color="auto" w:fill="auto"/>
        </w:rPr>
        <w:t xml:space="preserve">  “首次”起算是从生产经营者注册登记之日起。</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“两年内未受到过同类处罚”中的“两年内”，是指以当次</w:t>
      </w:r>
      <w:r>
        <w:rPr>
          <w:rFonts w:hint="eastAsia" w:ascii="华文仿宋" w:hAnsi="华文仿宋" w:eastAsia="华文仿宋" w:cs="华文仿宋"/>
          <w:color w:val="auto"/>
          <w:sz w:val="32"/>
          <w:szCs w:val="32"/>
          <w:shd w:val="clear" w:color="auto" w:fill="auto"/>
          <w:lang w:val="en-US"/>
        </w:rPr>
        <w:t>违法</w:t>
      </w:r>
      <w:r>
        <w:rPr>
          <w:rFonts w:hint="eastAsia" w:ascii="华文仿宋" w:hAnsi="华文仿宋" w:eastAsia="华文仿宋" w:cs="华文仿宋"/>
          <w:color w:val="auto"/>
          <w:sz w:val="32"/>
          <w:szCs w:val="32"/>
          <w:shd w:val="clear" w:color="auto" w:fill="auto"/>
        </w:rPr>
        <w:t>行为发生之日为起算点往前追溯两年。</w:t>
      </w:r>
    </w:p>
    <w:p>
      <w:pPr>
        <w:shd w:val="clear" w:color="auto" w:fill="auto"/>
        <w:spacing w:line="590" w:lineRule="exact"/>
        <w:ind w:firstLine="640" w:firstLineChars="200"/>
        <w:rPr>
          <w:rFonts w:hint="eastAsia"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rPr>
        <w:t>“2次以下”是指以当次行为发生之日为起算点</w:t>
      </w:r>
      <w:r>
        <w:rPr>
          <w:rFonts w:hint="eastAsia" w:ascii="华文仿宋" w:hAnsi="华文仿宋" w:eastAsia="华文仿宋" w:cs="华文仿宋"/>
          <w:color w:val="auto"/>
          <w:sz w:val="32"/>
          <w:szCs w:val="32"/>
          <w:highlight w:val="none"/>
          <w:shd w:val="clear" w:color="auto" w:fill="auto"/>
          <w:lang w:eastAsia="zh-CN"/>
        </w:rPr>
        <w:t>，</w:t>
      </w:r>
      <w:r>
        <w:rPr>
          <w:rFonts w:hint="eastAsia" w:ascii="华文仿宋" w:hAnsi="华文仿宋" w:eastAsia="华文仿宋" w:cs="华文仿宋"/>
          <w:color w:val="auto"/>
          <w:sz w:val="32"/>
          <w:szCs w:val="32"/>
          <w:highlight w:val="none"/>
          <w:shd w:val="clear" w:color="auto" w:fill="auto"/>
        </w:rPr>
        <w:t>往前追溯2年内此种违法行为的发生次数。</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“企业规模”中的“大中小微型企业”参照国家统计局《统计上大中小微型企业划分办法（2017）》认定，如有更新，按最新版本认定</w:t>
      </w:r>
      <w:r>
        <w:rPr>
          <w:rFonts w:hint="eastAsia" w:ascii="华文仿宋" w:hAnsi="华文仿宋" w:eastAsia="华文仿宋" w:cs="华文仿宋"/>
          <w:color w:val="auto"/>
          <w:sz w:val="32"/>
          <w:szCs w:val="32"/>
          <w:shd w:val="clear" w:color="auto" w:fill="auto"/>
          <w:lang w:eastAsia="zh-CN"/>
        </w:rPr>
        <w:t>。</w:t>
      </w:r>
      <w:r>
        <w:rPr>
          <w:rFonts w:hint="eastAsia" w:ascii="华文仿宋" w:hAnsi="华文仿宋" w:eastAsia="华文仿宋" w:cs="华文仿宋"/>
          <w:color w:val="auto"/>
          <w:sz w:val="32"/>
          <w:szCs w:val="32"/>
          <w:shd w:val="clear" w:color="auto" w:fill="auto"/>
          <w:lang w:val="en-US" w:eastAsia="zh-CN"/>
        </w:rPr>
        <w:t>注：个体工商户视同企业。</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“排污超标状况”存在多个污染因子超标的，以超标倍数最高的污染因子等级进行裁量；“小时烟气流量”以超标当日在线小时烟气流量最高值认定；“水日排放量”以超标当日在线污水排放量认定。</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“突发环境事件分级”以《国家突发环境事件应急预案》中的“突发环境事件分级标准”认定；“辐射事故等级”按照《放射性同位素与射线装置安全和防护条例》第四十条进行认定。</w:t>
      </w:r>
    </w:p>
    <w:p>
      <w:pPr>
        <w:shd w:val="clear" w:color="auto" w:fill="auto"/>
        <w:spacing w:line="590" w:lineRule="exact"/>
        <w:ind w:firstLine="640" w:firstLineChars="200"/>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本基准中“以上”含本数，“以下”</w:t>
      </w:r>
      <w:r>
        <w:rPr>
          <w:rFonts w:hint="eastAsia" w:ascii="华文仿宋" w:hAnsi="华文仿宋" w:eastAsia="华文仿宋" w:cs="华文仿宋"/>
          <w:color w:val="auto"/>
          <w:sz w:val="32"/>
          <w:szCs w:val="32"/>
          <w:shd w:val="clear" w:color="auto" w:fill="auto"/>
          <w:lang w:eastAsia="zh-CN"/>
        </w:rPr>
        <w:t>、“以内”不含本数。</w:t>
      </w:r>
    </w:p>
    <w:p>
      <w:pPr>
        <w:shd w:val="clear" w:color="auto" w:fill="auto"/>
        <w:spacing w:line="590" w:lineRule="exact"/>
        <w:ind w:firstLine="640" w:firstLineChars="200"/>
        <w:outlineLvl w:val="9"/>
        <w:rPr>
          <w:rFonts w:hint="eastAsia" w:ascii="华文仿宋" w:hAnsi="华文仿宋" w:eastAsia="华文仿宋" w:cs="华文仿宋"/>
          <w:color w:val="auto"/>
          <w:sz w:val="32"/>
          <w:szCs w:val="32"/>
          <w:shd w:val="clear" w:color="auto" w:fill="auto"/>
        </w:rPr>
      </w:pPr>
      <w:r>
        <w:rPr>
          <w:rFonts w:hint="eastAsia" w:ascii="华文仿宋" w:hAnsi="华文仿宋" w:eastAsia="华文仿宋" w:cs="华文仿宋"/>
          <w:color w:val="auto"/>
          <w:sz w:val="32"/>
          <w:szCs w:val="32"/>
          <w:shd w:val="clear" w:color="auto" w:fill="auto"/>
        </w:rPr>
        <w:t>裁量因素中标注“</w:t>
      </w:r>
      <w:r>
        <w:rPr>
          <w:rFonts w:hint="eastAsia" w:ascii="华文仿宋" w:hAnsi="华文仿宋" w:eastAsia="华文仿宋" w:cs="华文仿宋"/>
          <w:b/>
          <w:bCs/>
          <w:color w:val="auto"/>
          <w:sz w:val="32"/>
          <w:szCs w:val="32"/>
          <w:shd w:val="clear" w:color="auto" w:fill="auto"/>
        </w:rPr>
        <w:t>★</w:t>
      </w:r>
      <w:r>
        <w:rPr>
          <w:rFonts w:hint="eastAsia" w:ascii="华文仿宋" w:hAnsi="华文仿宋" w:eastAsia="华文仿宋" w:cs="华文仿宋"/>
          <w:color w:val="auto"/>
          <w:sz w:val="32"/>
          <w:szCs w:val="32"/>
          <w:shd w:val="clear" w:color="auto" w:fill="auto"/>
        </w:rPr>
        <w:t>”标识的为首要裁量因素。</w:t>
      </w:r>
    </w:p>
    <w:p>
      <w:pPr>
        <w:numPr>
          <w:ilvl w:val="0"/>
          <w:numId w:val="3"/>
        </w:numPr>
        <w:shd w:val="clear" w:color="auto" w:fill="auto"/>
        <w:spacing w:line="590" w:lineRule="exact"/>
        <w:ind w:firstLine="640" w:firstLineChars="200"/>
        <w:rPr>
          <w:rFonts w:hint="eastAsia" w:ascii="宋体" w:hAnsi="宋体" w:eastAsia="宋体" w:cs="宋体"/>
          <w:b/>
          <w:bCs/>
          <w:sz w:val="32"/>
          <w:szCs w:val="32"/>
        </w:rPr>
      </w:pPr>
      <w:r>
        <w:rPr>
          <w:rFonts w:hint="eastAsia" w:ascii="华文仿宋" w:hAnsi="华文仿宋" w:eastAsia="华文仿宋" w:cs="华文仿宋"/>
          <w:color w:val="auto"/>
          <w:sz w:val="32"/>
          <w:szCs w:val="32"/>
          <w:shd w:val="clear" w:color="auto" w:fill="auto"/>
        </w:rPr>
        <w:t xml:space="preserve"> 本适用规则自202</w:t>
      </w:r>
      <w:r>
        <w:rPr>
          <w:rFonts w:hint="eastAsia" w:ascii="华文仿宋" w:hAnsi="华文仿宋" w:eastAsia="华文仿宋" w:cs="华文仿宋"/>
          <w:color w:val="auto"/>
          <w:sz w:val="32"/>
          <w:szCs w:val="32"/>
          <w:shd w:val="clear" w:color="auto" w:fill="auto"/>
          <w:lang w:val="en-US" w:eastAsia="zh-CN"/>
        </w:rPr>
        <w:t>3</w:t>
      </w:r>
      <w:r>
        <w:rPr>
          <w:rFonts w:hint="eastAsia" w:ascii="华文仿宋" w:hAnsi="华文仿宋" w:eastAsia="华文仿宋" w:cs="华文仿宋"/>
          <w:color w:val="auto"/>
          <w:sz w:val="32"/>
          <w:szCs w:val="32"/>
          <w:shd w:val="clear" w:color="auto" w:fill="auto"/>
        </w:rPr>
        <w:t>年</w:t>
      </w:r>
      <w:r>
        <w:rPr>
          <w:rFonts w:hint="eastAsia" w:ascii="华文仿宋" w:hAnsi="华文仿宋" w:eastAsia="华文仿宋" w:cs="华文仿宋"/>
          <w:color w:val="auto"/>
          <w:sz w:val="32"/>
          <w:szCs w:val="32"/>
          <w:shd w:val="clear" w:color="auto" w:fill="auto"/>
          <w:lang w:val="en-US" w:eastAsia="zh-CN"/>
        </w:rPr>
        <w:t>1</w:t>
      </w:r>
      <w:r>
        <w:rPr>
          <w:rFonts w:hint="eastAsia" w:ascii="华文仿宋" w:hAnsi="华文仿宋" w:eastAsia="华文仿宋" w:cs="华文仿宋"/>
          <w:color w:val="auto"/>
          <w:sz w:val="32"/>
          <w:szCs w:val="32"/>
          <w:shd w:val="clear" w:color="auto" w:fill="auto"/>
        </w:rPr>
        <w:t>月</w:t>
      </w:r>
      <w:r>
        <w:rPr>
          <w:rFonts w:hint="eastAsia" w:ascii="华文仿宋" w:hAnsi="华文仿宋" w:eastAsia="华文仿宋" w:cs="华文仿宋"/>
          <w:color w:val="auto"/>
          <w:sz w:val="32"/>
          <w:szCs w:val="32"/>
          <w:shd w:val="clear" w:color="auto" w:fill="auto"/>
          <w:lang w:val="en-US" w:eastAsia="zh-CN"/>
        </w:rPr>
        <w:t>1</w:t>
      </w:r>
      <w:r>
        <w:rPr>
          <w:rFonts w:hint="eastAsia" w:ascii="华文仿宋" w:hAnsi="华文仿宋" w:eastAsia="华文仿宋" w:cs="华文仿宋"/>
          <w:color w:val="auto"/>
          <w:sz w:val="32"/>
          <w:szCs w:val="32"/>
          <w:shd w:val="clear" w:color="auto" w:fill="auto"/>
        </w:rPr>
        <w:t>日起施行。</w:t>
      </w:r>
    </w:p>
    <w:p>
      <w:pPr>
        <w:rPr>
          <w:rFonts w:hint="eastAsia" w:ascii="宋体" w:hAnsi="宋体" w:eastAsia="宋体" w:cs="宋体"/>
          <w:b/>
          <w:bCs/>
          <w:sz w:val="32"/>
          <w:szCs w:val="32"/>
        </w:rPr>
      </w:pPr>
    </w:p>
    <w:p>
      <w:pPr>
        <w:rPr>
          <w:rFonts w:hint="eastAsia" w:ascii="宋体" w:hAnsi="宋体" w:eastAsia="宋体" w:cs="宋体"/>
          <w:b/>
          <w:bCs/>
          <w:sz w:val="32"/>
          <w:szCs w:val="32"/>
        </w:rPr>
      </w:pPr>
    </w:p>
    <w:p>
      <w:pPr>
        <w:rPr>
          <w:rFonts w:hint="eastAsia" w:ascii="宋体" w:hAnsi="宋体" w:eastAsia="宋体" w:cs="宋体"/>
          <w:b/>
          <w:bCs/>
          <w:sz w:val="32"/>
          <w:szCs w:val="32"/>
        </w:rPr>
      </w:pPr>
    </w:p>
    <w:p>
      <w:pPr>
        <w:rPr>
          <w:rFonts w:hint="eastAsia" w:ascii="宋体" w:hAnsi="宋体" w:eastAsia="宋体" w:cs="宋体"/>
          <w:b/>
          <w:bCs/>
          <w:sz w:val="32"/>
          <w:szCs w:val="32"/>
        </w:rPr>
      </w:pPr>
    </w:p>
    <w:p>
      <w:pPr>
        <w:rPr>
          <w:rFonts w:hint="eastAsia" w:ascii="宋体" w:hAnsi="宋体" w:eastAsia="宋体" w:cs="宋体"/>
          <w:b/>
          <w:bCs/>
          <w:sz w:val="32"/>
          <w:szCs w:val="32"/>
        </w:rPr>
      </w:pPr>
    </w:p>
    <w:p>
      <w:pPr>
        <w:rPr>
          <w:rFonts w:hint="eastAsia" w:ascii="宋体" w:hAnsi="宋体" w:eastAsia="宋体" w:cs="宋体"/>
          <w:b/>
          <w:bCs/>
          <w:sz w:val="32"/>
          <w:szCs w:val="32"/>
        </w:rPr>
      </w:pPr>
    </w:p>
    <w:p>
      <w:pPr>
        <w:rPr>
          <w:rFonts w:hint="eastAsia" w:ascii="宋体" w:hAnsi="宋体" w:eastAsia="宋体" w:cs="宋体"/>
          <w:b/>
          <w:bCs/>
          <w:sz w:val="32"/>
          <w:szCs w:val="32"/>
        </w:rPr>
      </w:pPr>
    </w:p>
    <w:p>
      <w:pPr>
        <w:rPr>
          <w:rFonts w:hint="eastAsia" w:ascii="宋体" w:hAnsi="宋体" w:eastAsia="宋体" w:cs="宋体"/>
          <w:b/>
          <w:bCs/>
          <w:sz w:val="32"/>
          <w:szCs w:val="32"/>
        </w:rPr>
      </w:pPr>
    </w:p>
    <w:p>
      <w:pPr>
        <w:rPr>
          <w:rFonts w:hint="eastAsia" w:ascii="宋体" w:hAnsi="宋体" w:eastAsia="宋体" w:cs="宋体"/>
          <w:b/>
          <w:bCs/>
          <w:sz w:val="32"/>
          <w:szCs w:val="32"/>
        </w:rPr>
      </w:pPr>
    </w:p>
    <w:p>
      <w:pPr>
        <w:rPr>
          <w:rFonts w:hint="eastAsia" w:ascii="宋体" w:hAnsi="宋体" w:eastAsia="宋体" w:cs="宋体"/>
          <w:b/>
          <w:bCs/>
          <w:sz w:val="32"/>
          <w:szCs w:val="32"/>
        </w:rPr>
      </w:pPr>
    </w:p>
    <w:p>
      <w:pPr>
        <w:rPr>
          <w:rFonts w:hint="eastAsia" w:ascii="宋体" w:hAnsi="宋体" w:eastAsia="宋体" w:cs="宋体"/>
          <w:b/>
          <w:bCs/>
          <w:sz w:val="32"/>
          <w:szCs w:val="32"/>
        </w:rPr>
      </w:pPr>
    </w:p>
    <w:p>
      <w:pPr>
        <w:widowControl w:val="0"/>
        <w:shd w:val="clear" w:color="auto" w:fill="auto"/>
        <w:wordWrap/>
        <w:adjustRightInd/>
        <w:snapToGrid w:val="0"/>
        <w:spacing w:line="590" w:lineRule="exact"/>
        <w:jc w:val="both"/>
        <w:textAlignment w:val="auto"/>
        <w:outlineLvl w:val="0"/>
        <w:rPr>
          <w:rFonts w:hint="default" w:ascii="Times New Roman" w:hAnsi="Times New Roman" w:eastAsia="方正黑体_GBK" w:cs="Times New Roman"/>
          <w:color w:val="auto"/>
          <w:sz w:val="32"/>
          <w:szCs w:val="32"/>
          <w:shd w:val="clear" w:color="auto" w:fill="auto"/>
          <w:lang w:val="en-US" w:eastAsia="zh-CN"/>
        </w:rPr>
      </w:pPr>
      <w:r>
        <w:rPr>
          <w:rFonts w:hint="eastAsia" w:ascii="宋体" w:hAnsi="宋体" w:eastAsia="宋体" w:cs="宋体"/>
          <w:sz w:val="32"/>
          <w:szCs w:val="32"/>
        </w:rPr>
        <w:fldChar w:fldCharType="end"/>
      </w:r>
      <w:r>
        <w:rPr>
          <w:rFonts w:hint="default" w:ascii="Times New Roman" w:hAnsi="Times New Roman" w:eastAsia="方正黑体_GBK" w:cs="Times New Roman"/>
          <w:color w:val="auto"/>
          <w:sz w:val="32"/>
          <w:szCs w:val="32"/>
          <w:shd w:val="clear" w:color="auto" w:fill="auto"/>
          <w:lang w:eastAsia="zh-CN"/>
        </w:rPr>
        <w:t>附件</w:t>
      </w:r>
      <w:r>
        <w:rPr>
          <w:rFonts w:hint="default" w:ascii="Times New Roman" w:hAnsi="Times New Roman" w:eastAsia="方正黑体_GBK" w:cs="Times New Roman"/>
          <w:color w:val="auto"/>
          <w:sz w:val="32"/>
          <w:szCs w:val="32"/>
          <w:shd w:val="clear" w:color="auto" w:fill="auto"/>
          <w:lang w:val="en-US" w:eastAsia="zh-CN"/>
        </w:rPr>
        <w:t>2</w:t>
      </w:r>
    </w:p>
    <w:p>
      <w:pPr>
        <w:widowControl w:val="0"/>
        <w:shd w:val="clear" w:color="auto" w:fill="auto"/>
        <w:wordWrap/>
        <w:adjustRightInd/>
        <w:snapToGrid w:val="0"/>
        <w:spacing w:line="590" w:lineRule="exact"/>
        <w:jc w:val="both"/>
        <w:textAlignment w:val="auto"/>
        <w:outlineLvl w:val="0"/>
        <w:rPr>
          <w:rFonts w:hint="default" w:ascii="Times New Roman" w:hAnsi="Times New Roman" w:eastAsia="方正黑体_GBK" w:cs="Times New Roman"/>
          <w:color w:val="auto"/>
          <w:sz w:val="32"/>
          <w:szCs w:val="32"/>
          <w:shd w:val="clear" w:color="auto" w:fill="auto"/>
          <w:lang w:val="en-US" w:eastAsia="zh-CN"/>
        </w:rPr>
      </w:pPr>
    </w:p>
    <w:p>
      <w:pPr>
        <w:shd w:val="clear" w:color="auto" w:fill="auto"/>
        <w:snapToGrid w:val="0"/>
        <w:spacing w:line="700" w:lineRule="exact"/>
        <w:jc w:val="center"/>
        <w:outlineLvl w:val="0"/>
        <w:rPr>
          <w:rFonts w:ascii="Times New Roman" w:hAnsi="Times New Roman" w:eastAsia="方正小标宋_GBK" w:cs="Times New Roman"/>
          <w:color w:val="auto"/>
          <w:sz w:val="44"/>
          <w:szCs w:val="44"/>
          <w:shd w:val="clear" w:color="auto" w:fill="auto"/>
        </w:rPr>
      </w:pPr>
      <w:r>
        <w:rPr>
          <w:rFonts w:ascii="Times New Roman" w:hAnsi="Times New Roman" w:eastAsia="方正小标宋_GBK" w:cs="Times New Roman"/>
          <w:color w:val="auto"/>
          <w:sz w:val="44"/>
          <w:szCs w:val="44"/>
          <w:shd w:val="clear" w:color="auto" w:fill="auto"/>
        </w:rPr>
        <w:t>河南省生态环境行政处罚裁量</w:t>
      </w:r>
      <w:bookmarkEnd w:id="0"/>
      <w:r>
        <w:rPr>
          <w:rFonts w:ascii="Times New Roman" w:hAnsi="Times New Roman" w:eastAsia="方正小标宋_GBK" w:cs="Times New Roman"/>
          <w:color w:val="auto"/>
          <w:sz w:val="44"/>
          <w:szCs w:val="44"/>
          <w:shd w:val="clear" w:color="auto" w:fill="auto"/>
        </w:rPr>
        <w:t>基准</w:t>
      </w:r>
      <w:bookmarkEnd w:id="1"/>
      <w:bookmarkEnd w:id="2"/>
    </w:p>
    <w:p>
      <w:pPr>
        <w:shd w:val="clear" w:color="auto" w:fill="auto"/>
        <w:snapToGrid w:val="0"/>
        <w:spacing w:line="300" w:lineRule="exact"/>
        <w:rPr>
          <w:rFonts w:hint="default" w:ascii="Times New Roman" w:hAnsi="Times New Roman" w:eastAsia="方正小标宋_GBK" w:cs="Times New Roman"/>
          <w:color w:val="auto"/>
          <w:sz w:val="44"/>
          <w:szCs w:val="44"/>
          <w:shd w:val="clear" w:color="auto" w:fill="auto"/>
        </w:rPr>
      </w:pPr>
      <w:bookmarkStart w:id="8" w:name="_Toc25240280"/>
    </w:p>
    <w:p>
      <w:pPr>
        <w:shd w:val="clear" w:color="auto" w:fill="auto"/>
        <w:snapToGrid w:val="0"/>
        <w:spacing w:line="590" w:lineRule="exact"/>
        <w:ind w:firstLine="640" w:firstLineChars="200"/>
        <w:outlineLvl w:val="1"/>
        <w:rPr>
          <w:rFonts w:hint="default" w:ascii="Times New Roman" w:hAnsi="Times New Roman" w:eastAsia="方正黑体_GBK" w:cs="Times New Roman"/>
          <w:color w:val="auto"/>
          <w:sz w:val="32"/>
          <w:szCs w:val="32"/>
          <w:shd w:val="clear" w:color="auto" w:fill="auto"/>
        </w:rPr>
      </w:pPr>
      <w:bookmarkStart w:id="9" w:name="_Toc28903"/>
      <w:bookmarkStart w:id="10" w:name="_Toc18307"/>
      <w:r>
        <w:rPr>
          <w:rFonts w:hint="default" w:ascii="Times New Roman" w:hAnsi="Times New Roman" w:eastAsia="方正黑体_GBK" w:cs="Times New Roman"/>
          <w:color w:val="auto"/>
          <w:sz w:val="32"/>
          <w:szCs w:val="32"/>
          <w:shd w:val="clear" w:color="auto" w:fill="auto"/>
        </w:rPr>
        <w:t>一、专项处罚裁量</w:t>
      </w:r>
      <w:bookmarkEnd w:id="8"/>
      <w:r>
        <w:rPr>
          <w:rFonts w:hint="default" w:ascii="Times New Roman" w:hAnsi="Times New Roman" w:eastAsia="方正黑体_GBK" w:cs="Times New Roman"/>
          <w:color w:val="auto"/>
          <w:sz w:val="32"/>
          <w:szCs w:val="32"/>
          <w:shd w:val="clear" w:color="auto" w:fill="auto"/>
        </w:rPr>
        <w:t>基准</w:t>
      </w:r>
      <w:bookmarkEnd w:id="9"/>
      <w:bookmarkEnd w:id="10"/>
    </w:p>
    <w:p>
      <w:pPr>
        <w:shd w:val="clear" w:color="auto" w:fill="auto"/>
        <w:snapToGrid w:val="0"/>
        <w:spacing w:line="590" w:lineRule="exact"/>
        <w:ind w:firstLine="640" w:firstLineChars="200"/>
        <w:outlineLvl w:val="1"/>
        <w:rPr>
          <w:rFonts w:ascii="Times New Roman" w:hAnsi="Times New Roman" w:eastAsia="方正楷体_GBK" w:cs="Times New Roman"/>
          <w:color w:val="auto"/>
          <w:sz w:val="32"/>
          <w:szCs w:val="32"/>
          <w:shd w:val="clear" w:color="auto" w:fill="auto"/>
        </w:rPr>
      </w:pPr>
      <w:bookmarkStart w:id="11" w:name="_Toc20363"/>
      <w:bookmarkStart w:id="12" w:name="_Toc25240281"/>
      <w:bookmarkStart w:id="13" w:name="_Toc31091"/>
      <w:r>
        <w:rPr>
          <w:rFonts w:ascii="Times New Roman" w:hAnsi="Times New Roman" w:eastAsia="方正楷体_GBK" w:cs="Times New Roman"/>
          <w:color w:val="auto"/>
          <w:sz w:val="32"/>
          <w:szCs w:val="32"/>
          <w:shd w:val="clear" w:color="auto" w:fill="auto"/>
        </w:rPr>
        <w:t>（一）建设项目管理类</w:t>
      </w:r>
      <w:bookmarkEnd w:id="11"/>
      <w:bookmarkEnd w:id="12"/>
      <w:bookmarkEnd w:id="13"/>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 xml:space="preserve">1. </w:t>
      </w:r>
      <w:r>
        <w:rPr>
          <w:rFonts w:hint="eastAsia" w:ascii="Times New Roman" w:hAnsi="Times New Roman" w:eastAsia="方正仿宋_GBK" w:cs="Times New Roman"/>
          <w:color w:val="auto"/>
          <w:sz w:val="32"/>
          <w:szCs w:val="32"/>
          <w:shd w:val="clear" w:color="auto" w:fill="auto"/>
        </w:rPr>
        <w:t>建设单位未依法报批建设项目环境影响报告书、报告表，或者未依照本法第二十四条的规定重新报批或者报请重新审核环境影响报告书、报告表，擅自开工建设的；建设项目环境影响报告书、报告表未经批准或者未经原审批部门重新审核同意，建设单位擅自开工建设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 环境影响登记表未依法备案的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3. 建设项目环境影响报告书、环境影响报告表存在基础资料明显不实，内容存在重大缺陷、遗漏或者虚假，环境影响评价结论不正确或者不合理等严重质量问题的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4. 接受委托编制建设项目环境影响报告书、环境影响报告表的技术单位，违反有关环境影响评价标准和技术规范等规定，致使其编制的建设项目环境影响报告书、环境影响报告表存在基础资料明显不实，内容存在重大缺陷、遗漏或者虚假，环境影响评价结论不正确或者不合理等严重质量问题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5. 编制建设项目初步设计未落实防治环境污染和生态破坏的措施以及环境保护设施投资概算，或者未将环境保护设施建设纳入施工合同的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6. 未依法开展环境影响后评价的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7. 未同时组织实施环境影响报告书、环境影响报告表及其审批部门审批决定中提出的环境保护对策措施的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8. 需要配套建设的环境保护设施未建成、未经验收或者验收不合格，建设项目即投入生产或使用的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9. 在环境保护设施验收中弄虚作假的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hint="eastAsia" w:ascii="Times New Roman" w:hAnsi="Times New Roman" w:eastAsia="方正仿宋_GBK" w:cs="Times New Roman"/>
          <w:color w:val="auto"/>
          <w:kern w:val="0"/>
          <w:sz w:val="32"/>
          <w:szCs w:val="32"/>
          <w:shd w:val="clear" w:color="auto" w:fill="auto"/>
        </w:rPr>
      </w:pPr>
      <w:r>
        <w:rPr>
          <w:rFonts w:ascii="Times New Roman" w:hAnsi="Times New Roman" w:eastAsia="方正仿宋_GBK" w:cs="Times New Roman"/>
          <w:color w:val="auto"/>
          <w:sz w:val="32"/>
          <w:szCs w:val="32"/>
          <w:shd w:val="clear" w:color="auto" w:fill="auto"/>
        </w:rPr>
        <w:t>10. 建设单位未依法向社会公开环境保护设施验收报告的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6665"/>
        <w:gridCol w:w="1027"/>
      </w:tblGrid>
      <w:tr>
        <w:trPr>
          <w:trHeight w:val="255" w:hRule="atLeast"/>
          <w:jc w:val="center"/>
        </w:trPr>
        <w:tc>
          <w:tcPr>
            <w:tcW w:w="9060" w:type="dxa"/>
            <w:gridSpan w:val="3"/>
            <w:vAlign w:val="top"/>
          </w:tcPr>
          <w:p>
            <w:pPr>
              <w:widowControl/>
              <w:shd w:val="clear" w:color="auto" w:fill="auto"/>
              <w:wordWrap/>
              <w:adjustRightInd/>
              <w:snapToGrid w:val="0"/>
              <w:spacing w:before="0" w:beforeAutospacing="0" w:after="0" w:afterAutospacing="0" w:line="290" w:lineRule="exact"/>
              <w:ind w:left="0" w:right="0"/>
              <w:jc w:val="center"/>
              <w:textAlignment w:val="auto"/>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（一）建设项目管理类</w:t>
            </w:r>
          </w:p>
        </w:tc>
      </w:tr>
      <w:tr>
        <w:trPr>
          <w:trHeight w:val="90" w:hRule="atLeast"/>
          <w:jc w:val="center"/>
        </w:trPr>
        <w:tc>
          <w:tcPr>
            <w:tcW w:w="1368"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wordWrap/>
              <w:adjustRightInd/>
              <w:snapToGrid w:val="0"/>
              <w:spacing w:before="0" w:beforeAutospacing="0" w:after="0" w:afterAutospacing="0" w:line="29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14" w:name="_Toc32284"/>
            <w:r>
              <w:rPr>
                <w:rFonts w:hint="default" w:ascii="Times New Roman" w:hAnsi="Times New Roman" w:cs="Times New Roman"/>
                <w:color w:val="auto"/>
                <w:sz w:val="20"/>
                <w:szCs w:val="20"/>
                <w:shd w:val="clear" w:color="auto" w:fill="auto"/>
              </w:rPr>
              <w:t>1</w:t>
            </w:r>
            <w:bookmarkEnd w:id="14"/>
          </w:p>
        </w:tc>
      </w:tr>
      <w:tr>
        <w:trPr>
          <w:trHeight w:val="255" w:hRule="atLeast"/>
          <w:jc w:val="center"/>
        </w:trPr>
        <w:tc>
          <w:tcPr>
            <w:tcW w:w="1368"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top"/>
          </w:tcPr>
          <w:p>
            <w:pPr>
              <w:shd w:val="clear" w:color="auto" w:fill="auto"/>
              <w:wordWrap/>
              <w:adjustRightInd/>
              <w:snapToGrid w:val="0"/>
              <w:spacing w:before="0" w:beforeAutospacing="0" w:after="0" w:afterAutospacing="0" w:line="290" w:lineRule="exact"/>
              <w:ind w:left="0" w:right="0" w:firstLine="420" w:firstLineChars="200"/>
              <w:textAlignment w:val="auto"/>
              <w:outlineLvl w:val="9"/>
              <w:rPr>
                <w:rFonts w:hint="default" w:ascii="Times New Roman" w:hAnsi="Times New Roman" w:cs="Times New Roman"/>
                <w:color w:val="auto"/>
                <w:sz w:val="20"/>
                <w:szCs w:val="20"/>
                <w:shd w:val="clear" w:color="auto" w:fill="auto"/>
              </w:rPr>
            </w:pPr>
            <w:bookmarkStart w:id="15" w:name="_Toc7530"/>
            <w:r>
              <w:rPr>
                <w:rFonts w:hint="default" w:ascii="Times New Roman" w:hAnsi="Times New Roman" w:cs="Times New Roman"/>
                <w:color w:val="auto"/>
                <w:sz w:val="20"/>
                <w:szCs w:val="20"/>
                <w:shd w:val="clear" w:color="auto" w:fill="auto"/>
              </w:rPr>
              <w:t>建设单位未依法报批建设项目环境影响报告书、报告表，或者未依照本法第二十四条的规定重新报批或者报请重新审核环境影响报告书、报告表，擅自开工建设的；建设项目环境影响报告书、报告表未经批准或者未经原审批部门重新审核同意，建设单位擅自开工建设的。</w:t>
            </w:r>
            <w:bookmarkEnd w:id="15"/>
          </w:p>
        </w:tc>
      </w:tr>
      <w:tr>
        <w:trPr>
          <w:trHeight w:val="255" w:hRule="atLeast"/>
          <w:jc w:val="center"/>
        </w:trPr>
        <w:tc>
          <w:tcPr>
            <w:tcW w:w="1368"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shd w:val="clear" w:color="auto" w:fill="auto"/>
              <w:wordWrap/>
              <w:adjustRightInd/>
              <w:snapToGrid w:val="0"/>
              <w:spacing w:before="0" w:beforeAutospacing="0" w:after="0" w:afterAutospacing="0" w:line="290" w:lineRule="exact"/>
              <w:ind w:left="0" w:right="0" w:firstLine="482"/>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1.《中华人民共和国环境影响评价法》第二十四条</w:t>
            </w:r>
            <w:r>
              <w:rPr>
                <w:rFonts w:hint="default" w:ascii="Times New Roman" w:hAnsi="Times New Roman" w:cs="Times New Roman"/>
                <w:color w:val="auto"/>
                <w:sz w:val="20"/>
                <w:szCs w:val="20"/>
                <w:shd w:val="clear" w:color="auto" w:fill="auto"/>
              </w:rPr>
              <w:t xml:space="preserve"> 建设项目的环境影响评价文件经批准后，建设项目的性质、规模、地点、采用的生产工艺或者防治污染、防止生态破坏的措施发生重大变动的，建设单位应当重新报批建设项目的环境影响评价文件。</w:t>
            </w:r>
          </w:p>
          <w:p>
            <w:pPr>
              <w:shd w:val="clear" w:color="auto" w:fill="auto"/>
              <w:wordWrap/>
              <w:adjustRightInd/>
              <w:snapToGrid w:val="0"/>
              <w:spacing w:before="0" w:beforeAutospacing="0" w:after="0" w:afterAutospacing="0" w:line="290" w:lineRule="exact"/>
              <w:ind w:left="0" w:right="0" w:firstLine="42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pPr>
              <w:pStyle w:val="19"/>
              <w:shd w:val="clear" w:color="auto" w:fill="auto"/>
              <w:wordWrap/>
              <w:adjustRightInd/>
              <w:snapToGrid w:val="0"/>
              <w:spacing w:before="0" w:beforeAutospacing="0" w:after="0" w:afterAutospacing="0" w:line="290" w:lineRule="exact"/>
              <w:ind w:left="0" w:right="0" w:firstLine="480"/>
              <w:jc w:val="both"/>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2.《中华人民共和国环境影响评价法》第二十五条</w:t>
            </w:r>
            <w:r>
              <w:rPr>
                <w:rFonts w:hint="default" w:ascii="Times New Roman" w:hAnsi="Times New Roman" w:cs="Times New Roman"/>
                <w:color w:val="auto"/>
                <w:sz w:val="21"/>
                <w:szCs w:val="21"/>
                <w:shd w:val="clear" w:color="auto" w:fill="auto"/>
              </w:rPr>
              <w:t xml:space="preserve"> 建设单位的环境影响评价文件未依法经审批部门审查或者审查后未予批准的，建设单位不得开工建设。</w:t>
            </w:r>
          </w:p>
        </w:tc>
      </w:tr>
      <w:tr>
        <w:trPr>
          <w:trHeight w:val="255" w:hRule="atLeast"/>
          <w:jc w:val="center"/>
        </w:trPr>
        <w:tc>
          <w:tcPr>
            <w:tcW w:w="1368"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pStyle w:val="19"/>
              <w:shd w:val="clear" w:color="auto" w:fill="auto"/>
              <w:wordWrap/>
              <w:adjustRightInd/>
              <w:snapToGrid w:val="0"/>
              <w:spacing w:before="0" w:beforeAutospacing="0" w:after="0" w:afterAutospacing="0" w:line="290" w:lineRule="exact"/>
              <w:ind w:left="0" w:right="0" w:firstLine="482"/>
              <w:jc w:val="both"/>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《中华人民共和国环境影响评价法》第三十一条第一款、第二款</w:t>
            </w:r>
            <w:r>
              <w:rPr>
                <w:rFonts w:hint="default" w:ascii="Times New Roman" w:hAnsi="Times New Roman" w:cs="Times New Roman"/>
                <w:color w:val="auto"/>
                <w:sz w:val="21"/>
                <w:szCs w:val="21"/>
                <w:shd w:val="clear" w:color="auto" w:fill="auto"/>
              </w:rPr>
              <w:t xml:space="preserve"> 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pPr>
              <w:pStyle w:val="19"/>
              <w:shd w:val="clear" w:color="auto" w:fill="auto"/>
              <w:wordWrap/>
              <w:adjustRightInd/>
              <w:snapToGrid w:val="0"/>
              <w:spacing w:before="0" w:beforeAutospacing="0" w:after="0" w:afterAutospacing="0" w:line="290" w:lineRule="exact"/>
              <w:ind w:left="0" w:right="0" w:firstLine="482"/>
              <w:jc w:val="both"/>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建设项目环境影响报告书、报告表未经批准或者未经原审部门重新审核同意，建设单位擅自开工建设的，依照前款的规定处罚、处分。</w:t>
            </w:r>
          </w:p>
        </w:tc>
      </w:tr>
      <w:tr>
        <w:trPr>
          <w:trHeight w:val="334" w:hRule="exact"/>
          <w:jc w:val="center"/>
        </w:trPr>
        <w:tc>
          <w:tcPr>
            <w:tcW w:w="1368"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6665"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1027"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jc w:val="center"/>
        </w:trPr>
        <w:tc>
          <w:tcPr>
            <w:tcW w:w="1368"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情况</w:t>
            </w:r>
          </w:p>
        </w:tc>
        <w:tc>
          <w:tcPr>
            <w:tcW w:w="6665"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已开工建设但主体工程未建成</w:t>
            </w:r>
            <w:r>
              <w:rPr>
                <w:rFonts w:hint="default" w:ascii="Times New Roman" w:hAnsi="Times New Roman" w:cs="Times New Roman"/>
                <w:color w:val="auto"/>
                <w:sz w:val="20"/>
                <w:szCs w:val="20"/>
                <w:shd w:val="clear" w:color="auto" w:fill="auto"/>
                <w:lang w:eastAsia="zh-CN"/>
              </w:rPr>
              <w:t>，已编制环评文件</w:t>
            </w:r>
          </w:p>
        </w:tc>
        <w:tc>
          <w:tcPr>
            <w:tcW w:w="1027"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8"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6665" w:type="dxa"/>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kern w:val="2"/>
                <w:sz w:val="21"/>
                <w:szCs w:val="21"/>
                <w:shd w:val="clear" w:color="auto" w:fill="auto"/>
              </w:rPr>
              <w:t>已开工建设但主体工程未建成</w:t>
            </w:r>
            <w:r>
              <w:rPr>
                <w:rFonts w:hint="default" w:ascii="Times New Roman" w:hAnsi="Times New Roman" w:cs="Times New Roman"/>
                <w:color w:val="auto"/>
                <w:kern w:val="2"/>
                <w:sz w:val="21"/>
                <w:szCs w:val="21"/>
                <w:shd w:val="clear" w:color="auto" w:fill="auto"/>
                <w:lang w:eastAsia="zh-CN"/>
              </w:rPr>
              <w:t>，未</w:t>
            </w:r>
            <w:r>
              <w:rPr>
                <w:rFonts w:hint="default" w:ascii="Times New Roman" w:hAnsi="Times New Roman" w:cs="Times New Roman"/>
                <w:color w:val="auto"/>
                <w:kern w:val="2"/>
                <w:sz w:val="21"/>
                <w:szCs w:val="21"/>
                <w:shd w:val="clear" w:color="auto" w:fill="auto"/>
                <w:lang w:val="en-US" w:eastAsia="zh-CN"/>
              </w:rPr>
              <w:t>报批或重新审核</w:t>
            </w:r>
            <w:r>
              <w:rPr>
                <w:rFonts w:hint="default" w:ascii="Times New Roman" w:hAnsi="Times New Roman" w:cs="Times New Roman"/>
                <w:color w:val="auto"/>
                <w:kern w:val="2"/>
                <w:sz w:val="21"/>
                <w:szCs w:val="21"/>
                <w:shd w:val="clear" w:color="auto" w:fill="auto"/>
                <w:lang w:eastAsia="zh-CN"/>
              </w:rPr>
              <w:t>环评文件</w:t>
            </w:r>
          </w:p>
        </w:tc>
        <w:tc>
          <w:tcPr>
            <w:tcW w:w="1027"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jc w:val="center"/>
        </w:trPr>
        <w:tc>
          <w:tcPr>
            <w:tcW w:w="1368"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6665" w:type="dxa"/>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主体工程已建成但尚未投入生产或者使用的</w:t>
            </w:r>
          </w:p>
        </w:tc>
        <w:tc>
          <w:tcPr>
            <w:tcW w:w="1027"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8"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6665" w:type="dxa"/>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主体工程已投入生产或者使用</w:t>
            </w:r>
            <w:r>
              <w:rPr>
                <w:rFonts w:hint="default" w:ascii="Times New Roman" w:hAnsi="Times New Roman" w:cs="Times New Roman"/>
                <w:color w:val="auto"/>
                <w:sz w:val="21"/>
                <w:szCs w:val="21"/>
                <w:shd w:val="clear" w:color="auto" w:fill="auto"/>
                <w:lang w:eastAsia="zh-CN"/>
              </w:rPr>
              <w:t>，已报批环评文件</w:t>
            </w:r>
          </w:p>
        </w:tc>
        <w:tc>
          <w:tcPr>
            <w:tcW w:w="1027"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jc w:val="center"/>
        </w:trPr>
        <w:tc>
          <w:tcPr>
            <w:tcW w:w="1368"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6665" w:type="dxa"/>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主体工程已投入生产或者使用</w:t>
            </w:r>
            <w:r>
              <w:rPr>
                <w:rFonts w:hint="default" w:ascii="Times New Roman" w:hAnsi="Times New Roman" w:cs="Times New Roman"/>
                <w:color w:val="auto"/>
                <w:sz w:val="21"/>
                <w:szCs w:val="21"/>
                <w:shd w:val="clear" w:color="auto" w:fill="auto"/>
                <w:lang w:eastAsia="zh-CN"/>
              </w:rPr>
              <w:t>，未报批环评文件</w:t>
            </w:r>
          </w:p>
        </w:tc>
        <w:tc>
          <w:tcPr>
            <w:tcW w:w="1027"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8"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项目应报批的环评文件类别</w:t>
            </w:r>
          </w:p>
        </w:tc>
        <w:tc>
          <w:tcPr>
            <w:tcW w:w="6665" w:type="dxa"/>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报告表</w:t>
            </w:r>
          </w:p>
        </w:tc>
        <w:tc>
          <w:tcPr>
            <w:tcW w:w="1027"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8"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6665"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报告书</w:t>
            </w:r>
            <w:r>
              <w:rPr>
                <w:rFonts w:hint="default" w:ascii="Times New Roman" w:hAnsi="Times New Roman" w:cs="Times New Roman"/>
                <w:color w:val="auto"/>
                <w:sz w:val="20"/>
                <w:szCs w:val="20"/>
                <w:shd w:val="clear" w:color="auto" w:fill="auto"/>
                <w:lang w:val="en-US" w:eastAsia="zh-CN"/>
              </w:rPr>
              <w:t>(非重点管理单位）</w:t>
            </w:r>
          </w:p>
        </w:tc>
        <w:tc>
          <w:tcPr>
            <w:tcW w:w="1027"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8"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6665"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报告书（钢铁、火电、危废集中处置</w:t>
            </w:r>
            <w:r>
              <w:rPr>
                <w:rFonts w:hint="eastAsia" w:ascii="Times New Roman" w:hAnsi="Times New Roman" w:cs="Times New Roman"/>
                <w:color w:val="auto"/>
                <w:sz w:val="20"/>
                <w:szCs w:val="20"/>
                <w:shd w:val="clear" w:color="auto" w:fill="auto"/>
                <w:lang w:eastAsia="zh-CN"/>
              </w:rPr>
              <w:t>、</w:t>
            </w:r>
            <w:r>
              <w:rPr>
                <w:rFonts w:hint="default" w:ascii="Times New Roman" w:hAnsi="Times New Roman" w:cs="Times New Roman"/>
                <w:color w:val="auto"/>
                <w:sz w:val="20"/>
                <w:szCs w:val="20"/>
                <w:shd w:val="clear" w:color="auto" w:fill="auto"/>
              </w:rPr>
              <w:t>化工、电镀、皮革、造纸、制浆、冶炼、放射性、印染染料、炼焦、炼油、矿山开采项目</w:t>
            </w:r>
            <w:r>
              <w:rPr>
                <w:rFonts w:hint="eastAsia" w:ascii="Times New Roman" w:hAnsi="Times New Roman" w:cs="Times New Roman"/>
                <w:color w:val="auto"/>
                <w:sz w:val="20"/>
                <w:szCs w:val="20"/>
                <w:shd w:val="clear" w:color="auto" w:fill="auto"/>
                <w:lang w:val="en-US" w:eastAsia="zh-CN"/>
              </w:rPr>
              <w:t>等</w:t>
            </w:r>
            <w:r>
              <w:rPr>
                <w:rFonts w:hint="default" w:ascii="Times New Roman" w:hAnsi="Times New Roman" w:cs="Times New Roman"/>
                <w:color w:val="auto"/>
                <w:sz w:val="20"/>
                <w:szCs w:val="20"/>
                <w:shd w:val="clear" w:color="auto" w:fill="auto"/>
              </w:rPr>
              <w:t>）</w:t>
            </w:r>
            <w:r>
              <w:rPr>
                <w:rFonts w:hint="default" w:ascii="Times New Roman" w:hAnsi="Times New Roman" w:cs="Times New Roman"/>
                <w:color w:val="auto"/>
                <w:sz w:val="20"/>
                <w:szCs w:val="20"/>
                <w:shd w:val="clear" w:color="auto" w:fill="auto"/>
                <w:lang w:eastAsia="zh-CN"/>
              </w:rPr>
              <w:t>（重点管理</w:t>
            </w:r>
            <w:r>
              <w:rPr>
                <w:rFonts w:hint="eastAsia" w:ascii="Times New Roman" w:hAnsi="Times New Roman" w:cs="Times New Roman"/>
                <w:color w:val="auto"/>
                <w:sz w:val="20"/>
                <w:szCs w:val="20"/>
                <w:shd w:val="clear" w:color="auto" w:fill="auto"/>
                <w:lang w:eastAsia="zh-CN"/>
              </w:rPr>
              <w:t>）</w:t>
            </w:r>
            <w:r>
              <w:rPr>
                <w:rFonts w:hint="default" w:ascii="Times New Roman" w:hAnsi="Times New Roman" w:cs="Times New Roman"/>
                <w:color w:val="auto"/>
                <w:sz w:val="20"/>
                <w:szCs w:val="20"/>
                <w:shd w:val="clear" w:color="auto" w:fill="auto"/>
                <w:lang w:eastAsia="zh-CN"/>
              </w:rPr>
              <w:t>单位）</w:t>
            </w:r>
          </w:p>
        </w:tc>
        <w:tc>
          <w:tcPr>
            <w:tcW w:w="1027"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8"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bookmarkStart w:id="16" w:name="_Hlk25082217"/>
            <w:r>
              <w:rPr>
                <w:rFonts w:hint="default" w:ascii="Times New Roman" w:hAnsi="Times New Roman" w:cs="Times New Roman"/>
                <w:b/>
                <w:bCs/>
                <w:color w:val="auto"/>
                <w:sz w:val="20"/>
                <w:szCs w:val="20"/>
                <w:shd w:val="clear" w:color="auto" w:fill="auto"/>
              </w:rPr>
              <w:t>项目建设</w:t>
            </w:r>
          </w:p>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地点</w:t>
            </w:r>
          </w:p>
        </w:tc>
        <w:tc>
          <w:tcPr>
            <w:tcW w:w="6665"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符合环境功能区划</w:t>
            </w:r>
          </w:p>
        </w:tc>
        <w:tc>
          <w:tcPr>
            <w:tcW w:w="1027"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8"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6665"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不符合环境功能区划，但不在保护区内</w:t>
            </w:r>
          </w:p>
        </w:tc>
        <w:tc>
          <w:tcPr>
            <w:tcW w:w="1027"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jc w:val="center"/>
        </w:trPr>
        <w:tc>
          <w:tcPr>
            <w:tcW w:w="1368"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6665"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饮用水水源准保护区</w:t>
            </w:r>
          </w:p>
        </w:tc>
        <w:tc>
          <w:tcPr>
            <w:tcW w:w="1027"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8"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6665"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位于自然保护区实验区/饮用水水源二级保护区</w:t>
            </w:r>
          </w:p>
        </w:tc>
        <w:tc>
          <w:tcPr>
            <w:tcW w:w="1027"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jc w:val="center"/>
        </w:trPr>
        <w:tc>
          <w:tcPr>
            <w:tcW w:w="1368"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6665"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位于自然保护区缓冲区/位于自然保护区核心区/饮用水水源一级保护区</w:t>
            </w:r>
          </w:p>
        </w:tc>
        <w:tc>
          <w:tcPr>
            <w:tcW w:w="1027"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bookmarkEnd w:id="16"/>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rPr>
              <w:t>违法</w:t>
            </w:r>
            <w:r>
              <w:rPr>
                <w:rFonts w:hint="default" w:ascii="Times New Roman" w:hAnsi="Times New Roman" w:cs="Times New Roman"/>
                <w:b/>
                <w:bCs/>
                <w:color w:val="auto"/>
                <w:sz w:val="20"/>
                <w:szCs w:val="20"/>
                <w:shd w:val="clear" w:color="auto" w:fill="auto"/>
                <w:lang w:val="en-US"/>
              </w:rPr>
              <w:t>行为</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持续时间</w:t>
            </w:r>
          </w:p>
        </w:tc>
        <w:tc>
          <w:tcPr>
            <w:tcW w:w="6665"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102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6665"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102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6665"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102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6665"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102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6665"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102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6665"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eastAsia="zh-CN"/>
              </w:rPr>
            </w:pPr>
            <w:r>
              <w:rPr>
                <w:rFonts w:hint="eastAsia" w:ascii="Times New Roman" w:hAnsi="Times New Roman" w:cs="Times New Roman"/>
                <w:color w:val="auto"/>
                <w:kern w:val="2"/>
                <w:sz w:val="21"/>
                <w:szCs w:val="21"/>
                <w:shd w:val="clear" w:color="auto" w:fill="auto"/>
                <w:lang w:eastAsia="zh-CN"/>
              </w:rPr>
              <w:t>限期改正</w:t>
            </w:r>
          </w:p>
        </w:tc>
        <w:tc>
          <w:tcPr>
            <w:tcW w:w="1027" w:type="dxa"/>
            <w:vAlign w:val="center"/>
          </w:tcPr>
          <w:p>
            <w:pPr>
              <w:shd w:val="clear" w:color="auto" w:fill="auto"/>
              <w:snapToGrid w:val="0"/>
              <w:spacing w:before="0" w:beforeAutospacing="0" w:after="0" w:afterAutospacing="0" w:line="300" w:lineRule="exact"/>
              <w:ind w:left="0" w:right="0"/>
              <w:jc w:val="center"/>
              <w:rPr>
                <w:rFonts w:hint="eastAsia"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66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3天以下</w:t>
            </w:r>
          </w:p>
        </w:tc>
        <w:tc>
          <w:tcPr>
            <w:tcW w:w="102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66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3天以上7天以下</w:t>
            </w:r>
          </w:p>
        </w:tc>
        <w:tc>
          <w:tcPr>
            <w:tcW w:w="102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66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7天以上</w:t>
            </w:r>
          </w:p>
        </w:tc>
        <w:tc>
          <w:tcPr>
            <w:tcW w:w="102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66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102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66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102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66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102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66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102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55" w:hRule="atLeast"/>
          <w:jc w:val="center"/>
        </w:trPr>
        <w:tc>
          <w:tcPr>
            <w:tcW w:w="13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00" w:lineRule="exact"/>
              <w:ind w:left="0" w:right="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1.若建设行为终了之日至现场检查时发现时间超过2年的，则不予行政处罚。</w:t>
            </w:r>
          </w:p>
          <w:p>
            <w:pPr>
              <w:shd w:val="clear" w:color="auto" w:fill="auto"/>
              <w:snapToGrid w:val="0"/>
              <w:spacing w:before="0" w:beforeAutospacing="0" w:after="0" w:afterAutospacing="0" w:line="300" w:lineRule="exact"/>
              <w:ind w:left="0" w:right="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2.适用裁量计算公式裁定罚款金额时，M值（法定处罚金额上限）取建设项目总投资额5%的罚款，N值（法定处罚金额下限）取建设项目总投资额1%的罚款。</w:t>
            </w:r>
          </w:p>
        </w:tc>
      </w:tr>
    </w:tbl>
    <w:p>
      <w:pPr>
        <w:shd w:val="clear" w:color="auto" w:fill="auto"/>
        <w:snapToGrid w:val="0"/>
        <w:rPr>
          <w:rFonts w:hint="default" w:ascii="Times New Roman" w:hAnsi="Times New Roman" w:cs="Times New Roman"/>
          <w:color w:val="auto"/>
          <w:sz w:val="10"/>
          <w:szCs w:val="10"/>
          <w:shd w:val="clear" w:color="auto" w:fill="auto"/>
        </w:rPr>
      </w:pPr>
    </w:p>
    <w:p>
      <w:pPr>
        <w:shd w:val="clear" w:color="auto" w:fill="auto"/>
        <w:snapToGrid w:val="0"/>
        <w:rPr>
          <w:rFonts w:hint="default" w:ascii="Times New Roman" w:hAnsi="Times New Roman" w:cs="Times New Roman"/>
          <w:color w:val="auto"/>
          <w:sz w:val="10"/>
          <w:szCs w:val="10"/>
          <w:shd w:val="clear" w:color="auto" w:fill="auto"/>
        </w:rPr>
      </w:pPr>
      <w:r>
        <w:rPr>
          <w:rFonts w:hint="default" w:ascii="Times New Roman" w:hAnsi="Times New Roman" w:cs="Times New Roman"/>
          <w:color w:val="auto"/>
          <w:sz w:val="10"/>
          <w:szCs w:val="10"/>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5054"/>
        <w:gridCol w:w="2702"/>
      </w:tblGrid>
      <w:tr>
        <w:trPr>
          <w:trHeight w:val="340" w:hRule="atLeast"/>
          <w:jc w:val="center"/>
        </w:trPr>
        <w:tc>
          <w:tcPr>
            <w:tcW w:w="9060" w:type="dxa"/>
            <w:gridSpan w:val="3"/>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（一）建设项目管理类</w:t>
            </w:r>
          </w:p>
        </w:tc>
      </w:tr>
      <w:tr>
        <w:trPr>
          <w:trHeight w:val="340" w:hRule="atLeast"/>
          <w:jc w:val="center"/>
        </w:trPr>
        <w:tc>
          <w:tcPr>
            <w:tcW w:w="130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56" w:type="dxa"/>
            <w:gridSpan w:val="2"/>
            <w:vAlign w:val="center"/>
          </w:tcPr>
          <w:p>
            <w:pPr>
              <w:shd w:val="clear" w:color="auto" w:fill="auto"/>
              <w:snapToGrid w:val="0"/>
              <w:spacing w:before="0" w:beforeAutospacing="0" w:after="0" w:afterAutospacing="0" w:line="300" w:lineRule="exact"/>
              <w:ind w:left="0" w:right="0"/>
              <w:jc w:val="center"/>
              <w:outlineLvl w:val="9"/>
              <w:rPr>
                <w:rFonts w:hint="default" w:ascii="Times New Roman" w:hAnsi="Times New Roman" w:cs="Times New Roman"/>
                <w:color w:val="auto"/>
                <w:sz w:val="20"/>
                <w:szCs w:val="20"/>
                <w:shd w:val="clear" w:color="auto" w:fill="auto"/>
              </w:rPr>
            </w:pPr>
            <w:bookmarkStart w:id="17" w:name="_Toc400"/>
            <w:r>
              <w:rPr>
                <w:rFonts w:hint="default" w:ascii="Times New Roman" w:hAnsi="Times New Roman" w:cs="Times New Roman"/>
                <w:color w:val="auto"/>
                <w:sz w:val="20"/>
                <w:szCs w:val="20"/>
                <w:shd w:val="clear" w:color="auto" w:fill="auto"/>
              </w:rPr>
              <w:t>2</w:t>
            </w:r>
            <w:bookmarkEnd w:id="17"/>
          </w:p>
        </w:tc>
      </w:tr>
      <w:tr>
        <w:trPr>
          <w:trHeight w:val="340" w:hRule="atLeast"/>
          <w:jc w:val="center"/>
        </w:trPr>
        <w:tc>
          <w:tcPr>
            <w:tcW w:w="130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56" w:type="dxa"/>
            <w:gridSpan w:val="2"/>
            <w:vAlign w:val="center"/>
          </w:tcPr>
          <w:p>
            <w:pPr>
              <w:shd w:val="clear" w:color="auto" w:fill="auto"/>
              <w:snapToGrid w:val="0"/>
              <w:spacing w:before="0" w:beforeAutospacing="0" w:after="0" w:afterAutospacing="0" w:line="300" w:lineRule="exact"/>
              <w:ind w:left="0" w:right="0"/>
              <w:jc w:val="center"/>
              <w:outlineLvl w:val="9"/>
              <w:rPr>
                <w:rFonts w:hint="default" w:ascii="Times New Roman" w:hAnsi="Times New Roman" w:cs="Times New Roman"/>
                <w:color w:val="auto"/>
                <w:sz w:val="20"/>
                <w:szCs w:val="20"/>
                <w:shd w:val="clear" w:color="auto" w:fill="auto"/>
              </w:rPr>
            </w:pPr>
            <w:bookmarkStart w:id="18" w:name="_Toc28950"/>
            <w:r>
              <w:rPr>
                <w:rFonts w:hint="default" w:ascii="Times New Roman" w:hAnsi="Times New Roman" w:cs="Times New Roman"/>
                <w:color w:val="auto"/>
                <w:sz w:val="20"/>
                <w:szCs w:val="20"/>
                <w:shd w:val="clear" w:color="auto" w:fill="auto"/>
              </w:rPr>
              <w:t>环境影响登记表未依法备案的</w:t>
            </w:r>
            <w:bookmarkEnd w:id="18"/>
          </w:p>
        </w:tc>
      </w:tr>
      <w:tr>
        <w:trPr>
          <w:trHeight w:val="340" w:hRule="atLeast"/>
          <w:jc w:val="center"/>
        </w:trPr>
        <w:tc>
          <w:tcPr>
            <w:tcW w:w="130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56" w:type="dxa"/>
            <w:gridSpan w:val="2"/>
            <w:vAlign w:val="top"/>
          </w:tcPr>
          <w:p>
            <w:pPr>
              <w:pStyle w:val="19"/>
              <w:shd w:val="clear" w:color="auto" w:fill="auto"/>
              <w:snapToGrid w:val="0"/>
              <w:spacing w:before="0" w:beforeAutospacing="0" w:after="0" w:afterAutospacing="0" w:line="300" w:lineRule="exact"/>
              <w:ind w:left="0" w:right="0" w:firstLine="482"/>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1.《中华人民共和国环境影响评价法》第十六条第二款第（三）项 </w:t>
            </w:r>
            <w:r>
              <w:rPr>
                <w:rFonts w:hint="default" w:ascii="Times New Roman" w:hAnsi="Times New Roman" w:cs="Times New Roman"/>
                <w:color w:val="auto"/>
                <w:sz w:val="21"/>
                <w:szCs w:val="21"/>
                <w:shd w:val="clear" w:color="auto" w:fill="auto"/>
              </w:rPr>
              <w:t>建设单位应当按照下列规定组织编制环境影响报告书、环境影响报告表或者填报环境影响登记表（以下统称环境影响评价文件）：</w:t>
            </w:r>
          </w:p>
          <w:p>
            <w:pPr>
              <w:pStyle w:val="19"/>
              <w:shd w:val="clear" w:color="auto" w:fill="auto"/>
              <w:snapToGrid w:val="0"/>
              <w:spacing w:before="0" w:beforeAutospacing="0" w:after="0" w:afterAutospacing="0" w:line="300" w:lineRule="exact"/>
              <w:ind w:left="0" w:right="0" w:firstLine="482"/>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（三）对环境影响很小、不需要进行环境影响评价的，应当填报环境影响登记表。</w:t>
            </w:r>
          </w:p>
          <w:p>
            <w:pPr>
              <w:pStyle w:val="19"/>
              <w:shd w:val="clear" w:color="auto" w:fill="auto"/>
              <w:snapToGrid w:val="0"/>
              <w:spacing w:before="0" w:beforeAutospacing="0" w:after="0" w:afterAutospacing="0" w:line="300" w:lineRule="exact"/>
              <w:ind w:left="0" w:right="0" w:firstLine="482"/>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《中华人民共和国环境影响评价法》第二十二条第四款 </w:t>
            </w:r>
            <w:r>
              <w:rPr>
                <w:rFonts w:hint="default" w:ascii="Times New Roman" w:hAnsi="Times New Roman" w:cs="Times New Roman"/>
                <w:color w:val="auto"/>
                <w:sz w:val="21"/>
                <w:szCs w:val="21"/>
                <w:shd w:val="clear" w:color="auto" w:fill="auto"/>
              </w:rPr>
              <w:t>国家对环境影响登记表实行备案管理。</w:t>
            </w:r>
          </w:p>
          <w:p>
            <w:pPr>
              <w:pStyle w:val="19"/>
              <w:shd w:val="clear" w:color="auto" w:fill="auto"/>
              <w:snapToGrid w:val="0"/>
              <w:spacing w:before="0" w:beforeAutospacing="0" w:after="0" w:afterAutospacing="0" w:line="300" w:lineRule="exact"/>
              <w:ind w:left="0" w:right="0" w:firstLine="482"/>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2.《建设项目环境影响登记表备案办法》第三条</w:t>
            </w:r>
            <w:r>
              <w:rPr>
                <w:rFonts w:hint="default" w:ascii="Times New Roman" w:hAnsi="Times New Roman" w:cs="Times New Roman"/>
                <w:color w:val="auto"/>
                <w:sz w:val="21"/>
                <w:szCs w:val="21"/>
                <w:shd w:val="clear" w:color="auto" w:fill="auto"/>
              </w:rPr>
              <w:t xml:space="preserve"> 填报环境影响登记表的建设项目，建设单位应当依照本办法规定，办理环境影响登记表备案手续。</w:t>
            </w:r>
          </w:p>
        </w:tc>
      </w:tr>
      <w:tr>
        <w:trPr>
          <w:trHeight w:val="340" w:hRule="atLeast"/>
          <w:jc w:val="center"/>
        </w:trPr>
        <w:tc>
          <w:tcPr>
            <w:tcW w:w="130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56" w:type="dxa"/>
            <w:gridSpan w:val="2"/>
            <w:vAlign w:val="top"/>
          </w:tcPr>
          <w:p>
            <w:pPr>
              <w:pStyle w:val="19"/>
              <w:shd w:val="clear" w:color="auto" w:fill="auto"/>
              <w:snapToGrid w:val="0"/>
              <w:spacing w:before="0" w:beforeAutospacing="0" w:after="0" w:afterAutospacing="0" w:line="300" w:lineRule="exact"/>
              <w:ind w:left="0" w:right="0" w:firstLine="482"/>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1.《中华人民共和国环境影响评价法》第三十一条第三款</w:t>
            </w:r>
            <w:r>
              <w:rPr>
                <w:rFonts w:hint="default" w:ascii="Times New Roman" w:hAnsi="Times New Roman" w:cs="Times New Roman"/>
                <w:color w:val="auto"/>
                <w:sz w:val="21"/>
                <w:szCs w:val="21"/>
                <w:shd w:val="clear" w:color="auto" w:fill="auto"/>
              </w:rPr>
              <w:t xml:space="preserve"> 建设单位未依法备案建设项目环境影响登记表的，由县级以上生态环境主管部门责令备案，处五万元以下的罚款。</w:t>
            </w:r>
          </w:p>
          <w:p>
            <w:pPr>
              <w:pStyle w:val="19"/>
              <w:shd w:val="clear" w:color="auto" w:fill="auto"/>
              <w:snapToGrid w:val="0"/>
              <w:spacing w:before="0" w:beforeAutospacing="0" w:after="0" w:afterAutospacing="0" w:line="300" w:lineRule="exact"/>
              <w:ind w:left="0" w:right="0" w:firstLine="482"/>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2.《建设项目环境影响登记表备案办法》第十八条</w:t>
            </w:r>
            <w:r>
              <w:rPr>
                <w:rFonts w:hint="default" w:ascii="Times New Roman" w:hAnsi="Times New Roman" w:cs="Times New Roman"/>
                <w:color w:val="auto"/>
                <w:sz w:val="21"/>
                <w:szCs w:val="21"/>
                <w:shd w:val="clear" w:color="auto" w:fill="auto"/>
              </w:rPr>
              <w:t xml:space="preserve"> 建设单位未依法备案环境影响登记表的，由县级环境保护主管部门根据《环境影响评价法》第三十一条第三款的规定，责令备案，处5万元以下的罚款。</w:t>
            </w:r>
          </w:p>
        </w:tc>
      </w:tr>
      <w:tr>
        <w:trPr>
          <w:trHeight w:val="442" w:hRule="atLeast"/>
          <w:jc w:val="center"/>
        </w:trPr>
        <w:tc>
          <w:tcPr>
            <w:tcW w:w="130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5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70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42" w:hRule="atLeast"/>
          <w:jc w:val="center"/>
        </w:trPr>
        <w:tc>
          <w:tcPr>
            <w:tcW w:w="130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54" w:type="dxa"/>
            <w:vAlign w:val="center"/>
          </w:tcPr>
          <w:p>
            <w:pPr>
              <w:widowControl/>
              <w:shd w:val="clear" w:color="auto" w:fill="auto"/>
              <w:snapToGrid w:val="0"/>
              <w:spacing w:before="0" w:beforeAutospacing="0" w:after="0" w:afterAutospacing="0" w:line="300" w:lineRule="exact"/>
              <w:ind w:left="0" w:right="0"/>
              <w:jc w:val="center"/>
              <w:textAlignment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发生变更未重新备案</w:t>
            </w:r>
          </w:p>
        </w:tc>
        <w:tc>
          <w:tcPr>
            <w:tcW w:w="2702" w:type="dxa"/>
            <w:vAlign w:val="center"/>
          </w:tcPr>
          <w:p>
            <w:pPr>
              <w:widowControl/>
              <w:shd w:val="clear" w:color="auto" w:fill="auto"/>
              <w:snapToGrid w:val="0"/>
              <w:spacing w:before="0" w:beforeAutospacing="0" w:after="0" w:afterAutospacing="0" w:line="300" w:lineRule="exact"/>
              <w:ind w:left="0" w:right="0"/>
              <w:jc w:val="center"/>
              <w:textAlignment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jc w:val="center"/>
        </w:trPr>
        <w:tc>
          <w:tcPr>
            <w:tcW w:w="130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4" w:type="dxa"/>
            <w:vAlign w:val="center"/>
          </w:tcPr>
          <w:p>
            <w:pPr>
              <w:widowControl/>
              <w:shd w:val="clear" w:color="auto" w:fill="auto"/>
              <w:snapToGrid w:val="0"/>
              <w:spacing w:before="0" w:beforeAutospacing="0" w:after="0" w:afterAutospacing="0" w:line="300" w:lineRule="exact"/>
              <w:ind w:left="0" w:right="0"/>
              <w:jc w:val="center"/>
              <w:textAlignment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未备案</w:t>
            </w:r>
          </w:p>
        </w:tc>
        <w:tc>
          <w:tcPr>
            <w:tcW w:w="2702" w:type="dxa"/>
            <w:vAlign w:val="center"/>
          </w:tcPr>
          <w:p>
            <w:pPr>
              <w:widowControl/>
              <w:shd w:val="clear" w:color="auto" w:fill="auto"/>
              <w:snapToGrid w:val="0"/>
              <w:spacing w:before="0" w:beforeAutospacing="0" w:after="0" w:afterAutospacing="0" w:line="300" w:lineRule="exact"/>
              <w:ind w:left="0" w:right="0"/>
              <w:jc w:val="center"/>
              <w:textAlignment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jc w:val="center"/>
        </w:trPr>
        <w:tc>
          <w:tcPr>
            <w:tcW w:w="130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4" w:type="dxa"/>
            <w:vAlign w:val="center"/>
          </w:tcPr>
          <w:p>
            <w:pPr>
              <w:widowControl/>
              <w:shd w:val="clear" w:color="auto" w:fill="auto"/>
              <w:snapToGrid w:val="0"/>
              <w:spacing w:before="0" w:beforeAutospacing="0" w:after="0" w:afterAutospacing="0" w:line="300" w:lineRule="exact"/>
              <w:ind w:left="0" w:right="0"/>
              <w:jc w:val="center"/>
              <w:textAlignment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备案不属实</w:t>
            </w:r>
          </w:p>
        </w:tc>
        <w:tc>
          <w:tcPr>
            <w:tcW w:w="2702" w:type="dxa"/>
            <w:vAlign w:val="center"/>
          </w:tcPr>
          <w:p>
            <w:pPr>
              <w:widowControl/>
              <w:shd w:val="clear" w:color="auto" w:fill="auto"/>
              <w:snapToGrid w:val="0"/>
              <w:spacing w:before="0" w:beforeAutospacing="0" w:after="0" w:afterAutospacing="0" w:line="300" w:lineRule="exact"/>
              <w:ind w:left="0" w:right="0"/>
              <w:jc w:val="center"/>
              <w:textAlignment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42" w:hRule="atLeast"/>
          <w:jc w:val="center"/>
        </w:trPr>
        <w:tc>
          <w:tcPr>
            <w:tcW w:w="130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地点</w:t>
            </w:r>
          </w:p>
        </w:tc>
        <w:tc>
          <w:tcPr>
            <w:tcW w:w="505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符合环境功能区划</w:t>
            </w:r>
          </w:p>
        </w:tc>
        <w:tc>
          <w:tcPr>
            <w:tcW w:w="270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jc w:val="center"/>
        </w:trPr>
        <w:tc>
          <w:tcPr>
            <w:tcW w:w="130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不符合环境功能区划，但不在保护区内</w:t>
            </w:r>
          </w:p>
        </w:tc>
        <w:tc>
          <w:tcPr>
            <w:tcW w:w="270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42" w:hRule="atLeast"/>
          <w:jc w:val="center"/>
        </w:trPr>
        <w:tc>
          <w:tcPr>
            <w:tcW w:w="130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饮用水水源准保护区</w:t>
            </w:r>
          </w:p>
        </w:tc>
        <w:tc>
          <w:tcPr>
            <w:tcW w:w="270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jc w:val="center"/>
        </w:trPr>
        <w:tc>
          <w:tcPr>
            <w:tcW w:w="130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位于自然保护区实验区/饮用水水源二级保护区</w:t>
            </w:r>
          </w:p>
        </w:tc>
        <w:tc>
          <w:tcPr>
            <w:tcW w:w="270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42" w:hRule="atLeast"/>
          <w:jc w:val="center"/>
        </w:trPr>
        <w:tc>
          <w:tcPr>
            <w:tcW w:w="130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位于自然保护区缓冲区/位于自然保护区核心区/饮用水水源一级保护区</w:t>
            </w:r>
          </w:p>
        </w:tc>
        <w:tc>
          <w:tcPr>
            <w:tcW w:w="270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42" w:hRule="atLeast"/>
          <w:jc w:val="center"/>
        </w:trPr>
        <w:tc>
          <w:tcPr>
            <w:tcW w:w="130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污染防治设施</w:t>
            </w:r>
            <w:r>
              <w:rPr>
                <w:rFonts w:hint="default" w:ascii="Times New Roman" w:hAnsi="Times New Roman" w:cs="Times New Roman"/>
                <w:b/>
                <w:bCs/>
                <w:color w:val="auto"/>
                <w:sz w:val="20"/>
                <w:szCs w:val="20"/>
                <w:shd w:val="clear" w:color="auto" w:fill="auto"/>
              </w:rPr>
              <w:t>建设</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情况</w:t>
            </w:r>
          </w:p>
        </w:tc>
        <w:tc>
          <w:tcPr>
            <w:tcW w:w="505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配套</w:t>
            </w:r>
            <w:r>
              <w:rPr>
                <w:rFonts w:hint="default" w:ascii="Times New Roman" w:hAnsi="Times New Roman" w:cs="Times New Roman"/>
                <w:color w:val="auto"/>
                <w:sz w:val="20"/>
                <w:szCs w:val="20"/>
                <w:shd w:val="clear" w:color="auto" w:fill="auto"/>
              </w:rPr>
              <w:t>污染防治设施已建成</w:t>
            </w:r>
          </w:p>
        </w:tc>
        <w:tc>
          <w:tcPr>
            <w:tcW w:w="270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jc w:val="center"/>
        </w:trPr>
        <w:tc>
          <w:tcPr>
            <w:tcW w:w="130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配套</w:t>
            </w:r>
            <w:r>
              <w:rPr>
                <w:rFonts w:hint="default" w:ascii="Times New Roman" w:hAnsi="Times New Roman" w:cs="Times New Roman"/>
                <w:color w:val="auto"/>
                <w:sz w:val="20"/>
                <w:szCs w:val="20"/>
                <w:shd w:val="clear" w:color="auto" w:fill="auto"/>
              </w:rPr>
              <w:t>污染防治设施</w:t>
            </w:r>
            <w:r>
              <w:rPr>
                <w:rFonts w:hint="default" w:ascii="Times New Roman" w:hAnsi="Times New Roman" w:cs="Times New Roman"/>
                <w:color w:val="auto"/>
                <w:sz w:val="20"/>
                <w:szCs w:val="20"/>
                <w:shd w:val="clear" w:color="auto" w:fill="auto"/>
                <w:lang w:eastAsia="zh-CN"/>
              </w:rPr>
              <w:t>正在</w:t>
            </w:r>
            <w:r>
              <w:rPr>
                <w:rFonts w:hint="default" w:ascii="Times New Roman" w:hAnsi="Times New Roman" w:cs="Times New Roman"/>
                <w:color w:val="auto"/>
                <w:sz w:val="20"/>
                <w:szCs w:val="20"/>
                <w:shd w:val="clear" w:color="auto" w:fill="auto"/>
              </w:rPr>
              <w:t>建</w:t>
            </w:r>
            <w:r>
              <w:rPr>
                <w:rFonts w:hint="default" w:ascii="Times New Roman" w:hAnsi="Times New Roman" w:cs="Times New Roman"/>
                <w:color w:val="auto"/>
                <w:sz w:val="20"/>
                <w:szCs w:val="20"/>
                <w:shd w:val="clear" w:color="auto" w:fill="auto"/>
                <w:lang w:eastAsia="zh-CN"/>
              </w:rPr>
              <w:t>设</w:t>
            </w:r>
          </w:p>
        </w:tc>
        <w:tc>
          <w:tcPr>
            <w:tcW w:w="270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jc w:val="center"/>
        </w:trPr>
        <w:tc>
          <w:tcPr>
            <w:tcW w:w="130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配套</w:t>
            </w:r>
            <w:r>
              <w:rPr>
                <w:rFonts w:hint="default" w:ascii="Times New Roman" w:hAnsi="Times New Roman" w:cs="Times New Roman"/>
                <w:color w:val="auto"/>
                <w:sz w:val="20"/>
                <w:szCs w:val="20"/>
                <w:shd w:val="clear" w:color="auto" w:fill="auto"/>
              </w:rPr>
              <w:t>污染防治设施</w:t>
            </w:r>
            <w:r>
              <w:rPr>
                <w:rFonts w:hint="default" w:ascii="Times New Roman" w:hAnsi="Times New Roman" w:cs="Times New Roman"/>
                <w:color w:val="auto"/>
                <w:sz w:val="20"/>
                <w:szCs w:val="20"/>
                <w:shd w:val="clear" w:color="auto" w:fill="auto"/>
                <w:lang w:eastAsia="zh-CN"/>
              </w:rPr>
              <w:t>未建设</w:t>
            </w:r>
          </w:p>
        </w:tc>
        <w:tc>
          <w:tcPr>
            <w:tcW w:w="270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42" w:hRule="atLeast"/>
          <w:jc w:val="center"/>
        </w:trPr>
        <w:tc>
          <w:tcPr>
            <w:tcW w:w="130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rPr>
              <w:t>违法</w:t>
            </w:r>
            <w:r>
              <w:rPr>
                <w:rFonts w:hint="default" w:ascii="Times New Roman" w:hAnsi="Times New Roman" w:cs="Times New Roman"/>
                <w:b/>
                <w:bCs/>
                <w:color w:val="auto"/>
                <w:sz w:val="20"/>
                <w:szCs w:val="20"/>
                <w:shd w:val="clear" w:color="auto" w:fill="auto"/>
                <w:lang w:val="en-US"/>
              </w:rPr>
              <w:t>行为</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持续时间</w:t>
            </w:r>
          </w:p>
        </w:tc>
        <w:tc>
          <w:tcPr>
            <w:tcW w:w="5054"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70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jc w:val="center"/>
        </w:trPr>
        <w:tc>
          <w:tcPr>
            <w:tcW w:w="130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4"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70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42" w:hRule="atLeast"/>
          <w:jc w:val="center"/>
        </w:trPr>
        <w:tc>
          <w:tcPr>
            <w:tcW w:w="130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4"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70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jc w:val="center"/>
        </w:trPr>
        <w:tc>
          <w:tcPr>
            <w:tcW w:w="130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4"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70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42" w:hRule="atLeast"/>
          <w:jc w:val="center"/>
        </w:trPr>
        <w:tc>
          <w:tcPr>
            <w:tcW w:w="130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4"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70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42" w:hRule="atLeast"/>
          <w:jc w:val="center"/>
        </w:trPr>
        <w:tc>
          <w:tcPr>
            <w:tcW w:w="130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val="en-US"/>
              </w:rPr>
              <w:t>改正时间</w:t>
            </w:r>
          </w:p>
        </w:tc>
        <w:tc>
          <w:tcPr>
            <w:tcW w:w="5054"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eastAsia="zh-CN"/>
              </w:rPr>
            </w:pPr>
            <w:r>
              <w:rPr>
                <w:rFonts w:hint="eastAsia" w:ascii="Times New Roman" w:hAnsi="Times New Roman" w:cs="Times New Roman"/>
                <w:color w:val="auto"/>
                <w:kern w:val="2"/>
                <w:sz w:val="21"/>
                <w:szCs w:val="21"/>
                <w:shd w:val="clear" w:color="auto" w:fill="auto"/>
                <w:lang w:eastAsia="zh-CN"/>
              </w:rPr>
              <w:t>限期改正</w:t>
            </w:r>
          </w:p>
        </w:tc>
        <w:tc>
          <w:tcPr>
            <w:tcW w:w="270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63" w:hRule="atLeast"/>
          <w:jc w:val="center"/>
        </w:trPr>
        <w:tc>
          <w:tcPr>
            <w:tcW w:w="130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p>
        </w:tc>
        <w:tc>
          <w:tcPr>
            <w:tcW w:w="505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3天以下</w:t>
            </w:r>
          </w:p>
        </w:tc>
        <w:tc>
          <w:tcPr>
            <w:tcW w:w="270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63" w:hRule="atLeast"/>
          <w:jc w:val="center"/>
        </w:trPr>
        <w:tc>
          <w:tcPr>
            <w:tcW w:w="130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270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63" w:hRule="atLeast"/>
          <w:jc w:val="center"/>
        </w:trPr>
        <w:tc>
          <w:tcPr>
            <w:tcW w:w="130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270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40" w:hRule="atLeast"/>
          <w:jc w:val="center"/>
        </w:trPr>
        <w:tc>
          <w:tcPr>
            <w:tcW w:w="130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5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70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0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70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40" w:hRule="atLeast"/>
          <w:jc w:val="center"/>
        </w:trPr>
        <w:tc>
          <w:tcPr>
            <w:tcW w:w="130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70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40" w:hRule="atLeast"/>
          <w:jc w:val="center"/>
        </w:trPr>
        <w:tc>
          <w:tcPr>
            <w:tcW w:w="130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70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0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56" w:type="dxa"/>
            <w:gridSpan w:val="2"/>
            <w:vAlign w:val="center"/>
          </w:tcPr>
          <w:p>
            <w:pPr>
              <w:shd w:val="clear" w:color="auto" w:fill="auto"/>
              <w:snapToGrid w:val="0"/>
              <w:spacing w:before="0" w:beforeAutospacing="0" w:after="0" w:afterAutospacing="0" w:line="300" w:lineRule="exact"/>
              <w:ind w:left="0" w:right="0" w:firstLine="420" w:firstLineChars="200"/>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z w:val="10"/>
          <w:szCs w:val="10"/>
          <w:shd w:val="clear" w:color="auto" w:fill="auto"/>
        </w:rPr>
      </w:pPr>
      <w:r>
        <w:rPr>
          <w:rFonts w:hint="default" w:ascii="Times New Roman" w:hAnsi="Times New Roman" w:cs="Times New Roman"/>
          <w:color w:val="auto"/>
          <w:sz w:val="10"/>
          <w:szCs w:val="10"/>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5117"/>
        <w:gridCol w:w="2559"/>
      </w:tblGrid>
      <w:tr>
        <w:trPr>
          <w:cantSplit/>
          <w:trHeight w:val="397" w:hRule="atLeast"/>
          <w:jc w:val="center"/>
        </w:trPr>
        <w:tc>
          <w:tcPr>
            <w:tcW w:w="9060" w:type="dxa"/>
            <w:gridSpan w:val="3"/>
            <w:vAlign w:val="top"/>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（一）建设项目管理类</w:t>
            </w:r>
          </w:p>
        </w:tc>
      </w:tr>
      <w:tr>
        <w:trPr>
          <w:cantSplit/>
          <w:trHeight w:val="397" w:hRule="atLeast"/>
          <w:jc w:val="center"/>
        </w:trPr>
        <w:tc>
          <w:tcPr>
            <w:tcW w:w="13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76" w:type="dxa"/>
            <w:gridSpan w:val="2"/>
            <w:vAlign w:val="center"/>
          </w:tcPr>
          <w:p>
            <w:pPr>
              <w:shd w:val="clear" w:color="auto" w:fill="auto"/>
              <w:snapToGrid w:val="0"/>
              <w:spacing w:before="0" w:beforeAutospacing="0" w:after="0" w:afterAutospacing="0" w:line="300" w:lineRule="exact"/>
              <w:ind w:left="0" w:right="0"/>
              <w:jc w:val="center"/>
              <w:outlineLvl w:val="9"/>
              <w:rPr>
                <w:rFonts w:hint="default" w:ascii="Times New Roman" w:hAnsi="Times New Roman" w:cs="Times New Roman"/>
                <w:color w:val="auto"/>
                <w:sz w:val="20"/>
                <w:szCs w:val="20"/>
                <w:shd w:val="clear" w:color="auto" w:fill="auto"/>
              </w:rPr>
            </w:pPr>
            <w:bookmarkStart w:id="19" w:name="_Toc26638"/>
            <w:r>
              <w:rPr>
                <w:rFonts w:hint="default" w:ascii="Times New Roman" w:hAnsi="Times New Roman" w:cs="Times New Roman"/>
                <w:color w:val="auto"/>
                <w:sz w:val="20"/>
                <w:szCs w:val="20"/>
                <w:shd w:val="clear" w:color="auto" w:fill="auto"/>
              </w:rPr>
              <w:t>3</w:t>
            </w:r>
            <w:bookmarkEnd w:id="19"/>
          </w:p>
        </w:tc>
      </w:tr>
      <w:tr>
        <w:trPr>
          <w:cantSplit/>
          <w:trHeight w:val="594" w:hRule="atLeast"/>
          <w:jc w:val="center"/>
        </w:trPr>
        <w:tc>
          <w:tcPr>
            <w:tcW w:w="13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76" w:type="dxa"/>
            <w:gridSpan w:val="2"/>
            <w:vAlign w:val="top"/>
          </w:tcPr>
          <w:p>
            <w:pPr>
              <w:shd w:val="clear" w:color="auto" w:fill="auto"/>
              <w:snapToGrid w:val="0"/>
              <w:spacing w:before="0" w:beforeAutospacing="0" w:after="0" w:afterAutospacing="0" w:line="300" w:lineRule="exact"/>
              <w:ind w:left="0" w:right="0" w:firstLine="420" w:firstLineChars="200"/>
              <w:outlineLvl w:val="9"/>
              <w:rPr>
                <w:rFonts w:hint="default" w:ascii="Times New Roman" w:hAnsi="Times New Roman" w:cs="Times New Roman"/>
                <w:color w:val="auto"/>
                <w:sz w:val="20"/>
                <w:szCs w:val="20"/>
                <w:shd w:val="clear" w:color="auto" w:fill="auto"/>
              </w:rPr>
            </w:pPr>
            <w:bookmarkStart w:id="20" w:name="_Toc9786"/>
            <w:r>
              <w:rPr>
                <w:rFonts w:hint="default" w:ascii="Times New Roman" w:hAnsi="Times New Roman" w:cs="Times New Roman"/>
                <w:color w:val="auto"/>
                <w:sz w:val="20"/>
                <w:szCs w:val="20"/>
                <w:shd w:val="clear" w:color="auto" w:fill="auto"/>
              </w:rPr>
              <w:t>建设项目环境影响报告书、环境影响报告表存在基础资料明显不实，内容存在重大缺陷、遗漏或者虚假，环境影响评价结论不正确或者不合理等严重质量问题的</w:t>
            </w:r>
            <w:bookmarkEnd w:id="20"/>
          </w:p>
        </w:tc>
      </w:tr>
      <w:tr>
        <w:trPr>
          <w:cantSplit/>
          <w:trHeight w:val="3490" w:hRule="atLeast"/>
          <w:jc w:val="center"/>
        </w:trPr>
        <w:tc>
          <w:tcPr>
            <w:tcW w:w="13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76" w:type="dxa"/>
            <w:gridSpan w:val="2"/>
            <w:vAlign w:val="center"/>
          </w:tcPr>
          <w:p>
            <w:pPr>
              <w:pStyle w:val="19"/>
              <w:shd w:val="clear" w:color="auto" w:fill="auto"/>
              <w:snapToGrid w:val="0"/>
              <w:spacing w:before="0" w:beforeAutospacing="0" w:after="0" w:afterAutospacing="0" w:line="300" w:lineRule="exact"/>
              <w:ind w:left="0" w:right="0" w:firstLine="422" w:firstLineChars="200"/>
              <w:jc w:val="both"/>
              <w:rPr>
                <w:rFonts w:hint="default" w:ascii="Times New Roman" w:hAnsi="Times New Roman" w:cs="Times New Roman"/>
                <w:b w:val="0"/>
                <w:bCs w:val="0"/>
                <w:color w:val="auto"/>
                <w:sz w:val="21"/>
                <w:szCs w:val="21"/>
                <w:shd w:val="clear" w:color="auto" w:fill="auto"/>
                <w:lang w:val="zh-CN" w:eastAsia="zh-CN"/>
              </w:rPr>
            </w:pPr>
            <w:r>
              <w:rPr>
                <w:rFonts w:hint="default" w:ascii="Times New Roman" w:hAnsi="Times New Roman" w:cs="Times New Roman"/>
                <w:b/>
                <w:bCs/>
                <w:color w:val="auto"/>
                <w:sz w:val="21"/>
                <w:szCs w:val="21"/>
                <w:shd w:val="clear" w:color="auto" w:fill="auto"/>
              </w:rPr>
              <w:t>1.《中华人民共和国环境影响评价法》</w:t>
            </w:r>
            <w:r>
              <w:rPr>
                <w:rFonts w:hint="default" w:ascii="Times New Roman" w:hAnsi="Times New Roman" w:cs="Times New Roman"/>
                <w:b/>
                <w:bCs/>
                <w:color w:val="auto"/>
                <w:sz w:val="21"/>
                <w:szCs w:val="21"/>
                <w:shd w:val="clear" w:color="auto" w:fill="auto"/>
                <w:lang w:val="zh-CN" w:eastAsia="zh-CN"/>
              </w:rPr>
              <w:t>第十九条第二款 </w:t>
            </w:r>
            <w:bookmarkStart w:id="21" w:name="No70_Z3T19K1"/>
            <w:bookmarkEnd w:id="21"/>
            <w:bookmarkStart w:id="22" w:name="No71_Z3T19K2"/>
            <w:bookmarkEnd w:id="22"/>
            <w:r>
              <w:rPr>
                <w:rFonts w:hint="default" w:ascii="Times New Roman" w:hAnsi="Times New Roman" w:cs="Times New Roman"/>
                <w:b w:val="0"/>
                <w:bCs w:val="0"/>
                <w:color w:val="auto"/>
                <w:sz w:val="21"/>
                <w:szCs w:val="21"/>
                <w:shd w:val="clear" w:color="auto" w:fill="auto"/>
                <w:lang w:val="zh-CN" w:eastAsia="zh-CN"/>
              </w:rPr>
              <w:t>编制建设项目环境影响报告书、环境影响报告表应当遵守国家有关环境影响评价标准、技术规范等规定。</w:t>
            </w:r>
          </w:p>
          <w:p>
            <w:pPr>
              <w:pStyle w:val="19"/>
              <w:shd w:val="clear" w:color="auto" w:fill="auto"/>
              <w:snapToGrid w:val="0"/>
              <w:spacing w:before="0" w:beforeAutospacing="0" w:after="0" w:afterAutospacing="0" w:line="300" w:lineRule="exact"/>
              <w:ind w:left="0" w:right="0" w:firstLine="632" w:firstLineChars="30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《中华人民共和国环境影响评价法》第二十条第一款 </w:t>
            </w:r>
            <w:r>
              <w:rPr>
                <w:rFonts w:hint="default" w:ascii="Times New Roman" w:hAnsi="Times New Roman" w:cs="Times New Roman"/>
                <w:b/>
                <w:bCs/>
                <w:color w:val="auto"/>
                <w:sz w:val="21"/>
                <w:szCs w:val="21"/>
                <w:shd w:val="clear" w:color="auto" w:fill="auto"/>
                <w:lang w:val="en-US" w:eastAsia="zh-CN"/>
              </w:rPr>
              <w:t xml:space="preserve"> </w:t>
            </w:r>
            <w:r>
              <w:rPr>
                <w:rFonts w:hint="default" w:ascii="Times New Roman" w:hAnsi="Times New Roman" w:cs="Times New Roman"/>
                <w:color w:val="auto"/>
                <w:sz w:val="21"/>
                <w:szCs w:val="21"/>
                <w:shd w:val="clear" w:color="auto" w:fill="auto"/>
              </w:rPr>
              <w:t>建设单位应当对建设项目环境影响报告书、环境影响报告表的内容和结论负责，接受委托编制建设项目环境影响报告书、环境影响报告表的技术单位对其编制的建设项目环境影响报告书、环境影响报告表承担相应责任。</w:t>
            </w:r>
          </w:p>
          <w:p>
            <w:pPr>
              <w:pStyle w:val="19"/>
              <w:shd w:val="clear" w:color="auto" w:fill="auto"/>
              <w:snapToGrid w:val="0"/>
              <w:spacing w:before="0" w:beforeAutospacing="0" w:after="0" w:afterAutospacing="0" w:line="300" w:lineRule="exact"/>
              <w:ind w:left="0" w:right="0" w:firstLine="422" w:firstLineChars="200"/>
              <w:jc w:val="both"/>
              <w:rPr>
                <w:rFonts w:hint="default" w:ascii="Times New Roman" w:hAnsi="Times New Roman" w:cs="Times New Roman"/>
                <w:b/>
                <w:bCs/>
                <w:color w:val="auto"/>
                <w:sz w:val="21"/>
                <w:szCs w:val="21"/>
                <w:highlight w:val="none"/>
                <w:shd w:val="clear" w:color="auto" w:fill="auto"/>
              </w:rPr>
            </w:pPr>
            <w:r>
              <w:rPr>
                <w:rFonts w:hint="default" w:ascii="Times New Roman" w:hAnsi="Times New Roman" w:cs="Times New Roman"/>
                <w:b/>
                <w:bCs/>
                <w:color w:val="auto"/>
                <w:sz w:val="21"/>
                <w:szCs w:val="21"/>
                <w:highlight w:val="none"/>
                <w:shd w:val="clear" w:color="auto" w:fill="auto"/>
              </w:rPr>
              <w:t xml:space="preserve">2.《建设项目环境影响报告书（表）编制监督管理办法》 第三条 </w:t>
            </w:r>
            <w:r>
              <w:rPr>
                <w:rFonts w:hint="default" w:ascii="Times New Roman" w:hAnsi="Times New Roman" w:cs="Times New Roman"/>
                <w:b w:val="0"/>
                <w:bCs w:val="0"/>
                <w:color w:val="auto"/>
                <w:sz w:val="21"/>
                <w:szCs w:val="21"/>
                <w:highlight w:val="none"/>
                <w:shd w:val="clear" w:color="auto" w:fill="auto"/>
              </w:rPr>
              <w:t>建设单位应当对环境影响报告书（表）的内容和结论负责；技术单位对其编制的环境影响报告书（表）承担相应责任。</w:t>
            </w:r>
          </w:p>
          <w:p>
            <w:pPr>
              <w:pStyle w:val="19"/>
              <w:shd w:val="clear" w:color="auto" w:fill="auto"/>
              <w:snapToGrid w:val="0"/>
              <w:spacing w:before="0" w:beforeAutospacing="0" w:after="0" w:afterAutospacing="0" w:line="300" w:lineRule="exact"/>
              <w:ind w:left="0" w:right="0" w:firstLine="422" w:firstLineChars="20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highlight w:val="none"/>
                <w:shd w:val="clear" w:color="auto" w:fill="auto"/>
              </w:rPr>
              <w:t>第二十一条</w:t>
            </w:r>
            <w:r>
              <w:rPr>
                <w:rFonts w:hint="default" w:ascii="Times New Roman" w:hAnsi="Times New Roman" w:cs="Times New Roman"/>
                <w:color w:val="auto"/>
                <w:sz w:val="21"/>
                <w:szCs w:val="21"/>
                <w:highlight w:val="none"/>
                <w:shd w:val="clear" w:color="auto" w:fill="auto"/>
              </w:rPr>
              <w:t xml:space="preserve"> 各级生态环境主管部门在环境影响报告书（表）审批过程中，应当对报批的环境影响报告书（表）进行编制质量检查；发现环境影响报告书（表）基础资料明显不实，内容存在重大缺陷、遗漏或者虚假，或者环境影响评价结论不正确、不合理的，不予批准。</w:t>
            </w:r>
          </w:p>
        </w:tc>
      </w:tr>
      <w:tr>
        <w:trPr>
          <w:cantSplit/>
          <w:trHeight w:val="3490" w:hRule="atLeast"/>
          <w:jc w:val="center"/>
        </w:trPr>
        <w:tc>
          <w:tcPr>
            <w:tcW w:w="13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76" w:type="dxa"/>
            <w:gridSpan w:val="2"/>
            <w:vAlign w:val="center"/>
          </w:tcPr>
          <w:p>
            <w:pPr>
              <w:pStyle w:val="19"/>
              <w:shd w:val="clear" w:color="auto" w:fill="auto"/>
              <w:snapToGrid w:val="0"/>
              <w:spacing w:before="0" w:beforeAutospacing="0" w:after="0" w:afterAutospacing="0" w:line="300" w:lineRule="exact"/>
              <w:ind w:left="0" w:right="0" w:firstLine="422" w:firstLineChars="20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1.《中华人民共和国环境影响评价法》第三十二条第一款 </w:t>
            </w:r>
            <w:r>
              <w:rPr>
                <w:rFonts w:hint="default" w:ascii="Times New Roman" w:hAnsi="Times New Roman" w:cs="Times New Roman"/>
                <w:color w:val="auto"/>
                <w:sz w:val="21"/>
                <w:szCs w:val="21"/>
                <w:shd w:val="clear" w:color="auto" w:fill="auto"/>
              </w:rPr>
              <w:t>建设项目环境影响报告书、环境影响报告表存在基础资料明显不实，内容存在重大缺陷、遗漏或者虚假，环境影响评价结论不正确或者不合理等严重质量问题的，由设区的市级以上人民政府生态环境主管部门对建设单位处五十万元以上二百万元以下的罚款，并对建设单位的法定代表人、主要负责人、直接负责的主管人员和其他直接责任人员，处五万元以上二十万元以下的罚款。</w:t>
            </w:r>
          </w:p>
          <w:p>
            <w:pPr>
              <w:pStyle w:val="19"/>
              <w:shd w:val="clear" w:color="auto" w:fill="auto"/>
              <w:snapToGrid w:val="0"/>
              <w:spacing w:before="0" w:beforeAutospacing="0" w:after="0" w:afterAutospacing="0" w:line="300" w:lineRule="exact"/>
              <w:ind w:left="0" w:right="0" w:firstLine="422" w:firstLineChars="20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2.《建设项目环境影响报告书（表）编制监督管理办法》第二十七条</w:t>
            </w:r>
            <w:r>
              <w:rPr>
                <w:rFonts w:hint="default" w:ascii="Times New Roman" w:hAnsi="Times New Roman" w:cs="Times New Roman"/>
                <w:color w:val="auto"/>
                <w:sz w:val="21"/>
                <w:szCs w:val="21"/>
                <w:shd w:val="clear" w:color="auto" w:fill="auto"/>
              </w:rPr>
              <w:t xml:space="preserve"> 在监督检查过程中发现环境影响报告书（表）存在下列严重质量问题之一的，由市级以上生态环境主管部门依照《中华人民共和国环境影响评价法》第三十二条的规定，对建设单位及其相关人员、技术单位、编制人员予以处罚：</w:t>
            </w:r>
          </w:p>
          <w:p>
            <w:pPr>
              <w:pStyle w:val="19"/>
              <w:numPr>
                <w:ilvl w:val="0"/>
                <w:numId w:val="4"/>
              </w:numPr>
              <w:shd w:val="clear" w:color="auto" w:fill="auto"/>
              <w:snapToGrid w:val="0"/>
              <w:spacing w:before="0" w:beforeAutospacing="0" w:after="0" w:afterAutospacing="0" w:line="300" w:lineRule="exact"/>
              <w:ind w:left="0" w:right="0" w:firstLine="420" w:firstLineChars="20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 xml:space="preserve">建设项目概况中的建设地点、主体工程及其生产工艺，或者改扩建和技术改造项目的现有工程基本情况、污染物排放及达标情况等描述不全或者错误的； </w:t>
            </w:r>
          </w:p>
          <w:p>
            <w:pPr>
              <w:pStyle w:val="19"/>
              <w:shd w:val="clear" w:color="auto" w:fill="auto"/>
              <w:snapToGrid w:val="0"/>
              <w:spacing w:before="0" w:beforeAutospacing="0" w:after="0" w:afterAutospacing="0" w:line="300" w:lineRule="exact"/>
              <w:ind w:left="0" w:right="0" w:firstLine="420" w:firstLineChars="20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（二）遗漏自然保护区、饮用水水源保护区或者以居住、医疗卫生、文化教育为主要功能的区域等环境保护目标的；</w:t>
            </w:r>
          </w:p>
          <w:p>
            <w:pPr>
              <w:pStyle w:val="19"/>
              <w:shd w:val="clear" w:color="auto" w:fill="auto"/>
              <w:snapToGrid w:val="0"/>
              <w:spacing w:before="0" w:beforeAutospacing="0" w:after="0" w:afterAutospacing="0" w:line="300" w:lineRule="exact"/>
              <w:ind w:left="0" w:right="0" w:firstLine="482"/>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（三）未开展环境影响评价范围内的相关环境要素现状调查与评价，或者编造相关内容、结果的；</w:t>
            </w:r>
          </w:p>
          <w:p>
            <w:pPr>
              <w:pStyle w:val="19"/>
              <w:shd w:val="clear" w:color="auto" w:fill="auto"/>
              <w:snapToGrid w:val="0"/>
              <w:spacing w:before="0" w:beforeAutospacing="0" w:after="0" w:afterAutospacing="0" w:line="300" w:lineRule="exact"/>
              <w:ind w:left="0" w:right="0" w:firstLine="482"/>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（四）未开展相关环境要素或者环境风险预测与评价，或者编造相关内容、结果的；</w:t>
            </w:r>
          </w:p>
          <w:p>
            <w:pPr>
              <w:pStyle w:val="19"/>
              <w:shd w:val="clear" w:color="auto" w:fill="auto"/>
              <w:snapToGrid w:val="0"/>
              <w:spacing w:before="0" w:beforeAutospacing="0" w:after="0" w:afterAutospacing="0" w:line="300" w:lineRule="exact"/>
              <w:ind w:left="0" w:right="0" w:firstLine="482"/>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（五）所提环境保护措施无法确保污染物排放达到国家和地方排放标准或者有效预防和控制生态破坏，未针对建设项目可能产生的或者原有环境污染和生态破坏提出有效防治措施的；</w:t>
            </w:r>
          </w:p>
          <w:p>
            <w:pPr>
              <w:pStyle w:val="19"/>
              <w:shd w:val="clear" w:color="auto" w:fill="auto"/>
              <w:snapToGrid w:val="0"/>
              <w:spacing w:before="0" w:beforeAutospacing="0" w:after="0" w:afterAutospacing="0" w:line="300" w:lineRule="exact"/>
              <w:ind w:left="0" w:right="0" w:firstLine="482"/>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（六）建设项目所在区域环境质量未达到国家或者地方环境质量标准，所提环境保护措施不能满足区域环境质量改善目标管理相关要求的；</w:t>
            </w:r>
          </w:p>
          <w:p>
            <w:pPr>
              <w:pStyle w:val="19"/>
              <w:shd w:val="clear" w:color="auto" w:fill="auto"/>
              <w:snapToGrid w:val="0"/>
              <w:spacing w:before="0" w:beforeAutospacing="0" w:after="0" w:afterAutospacing="0" w:line="300" w:lineRule="exact"/>
              <w:ind w:left="0" w:right="0" w:firstLine="420" w:firstLineChars="20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（七）建设项目类型及其选址、布局、规模等不符合环境保护法律法规和相关法定规划，但给出环境影响可行结论的；</w:t>
            </w:r>
          </w:p>
          <w:p>
            <w:pPr>
              <w:pStyle w:val="19"/>
              <w:shd w:val="clear" w:color="auto" w:fill="auto"/>
              <w:snapToGrid w:val="0"/>
              <w:spacing w:before="0" w:beforeAutospacing="0" w:after="0" w:afterAutospacing="0" w:line="300" w:lineRule="exact"/>
              <w:ind w:left="0" w:right="0" w:firstLine="420" w:firstLineChars="200"/>
              <w:jc w:val="both"/>
              <w:rPr>
                <w:rFonts w:hint="default" w:ascii="Times New Roman" w:hAnsi="Times New Roman" w:cs="Times New Roman"/>
                <w:b/>
                <w:bCs/>
                <w:color w:val="auto"/>
                <w:sz w:val="21"/>
                <w:szCs w:val="21"/>
                <w:highlight w:val="none"/>
                <w:shd w:val="clear" w:color="auto" w:fill="auto"/>
              </w:rPr>
            </w:pPr>
            <w:r>
              <w:rPr>
                <w:rFonts w:hint="default" w:ascii="Times New Roman" w:hAnsi="Times New Roman" w:cs="Times New Roman"/>
                <w:color w:val="auto"/>
                <w:sz w:val="21"/>
                <w:szCs w:val="21"/>
                <w:shd w:val="clear" w:color="auto" w:fill="auto"/>
              </w:rPr>
              <w:t>（八）其他基础资料明显不实，内容有重大缺陷、遗漏、虚假，或者环境影响评价结论不正确、不合理的。</w:t>
            </w:r>
          </w:p>
        </w:tc>
      </w:tr>
      <w:tr>
        <w:trPr>
          <w:cantSplit/>
          <w:trHeight w:val="397" w:hRule="atLeast"/>
          <w:jc w:val="center"/>
        </w:trPr>
        <w:tc>
          <w:tcPr>
            <w:tcW w:w="13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5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cantSplit/>
          <w:trHeight w:val="397" w:hRule="atLeast"/>
          <w:jc w:val="center"/>
        </w:trPr>
        <w:tc>
          <w:tcPr>
            <w:tcW w:w="1384" w:type="dxa"/>
            <w:vMerge w:val="restart"/>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kern w:val="2"/>
                <w:sz w:val="21"/>
                <w:szCs w:val="21"/>
                <w:shd w:val="clear" w:color="auto" w:fill="auto"/>
              </w:rPr>
              <w:t>★违法事实</w:t>
            </w:r>
          </w:p>
        </w:tc>
        <w:tc>
          <w:tcPr>
            <w:tcW w:w="5117"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违反上述8条中任意1项的</w:t>
            </w:r>
          </w:p>
        </w:tc>
        <w:tc>
          <w:tcPr>
            <w:tcW w:w="255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cantSplit/>
          <w:trHeight w:val="397" w:hRule="atLeast"/>
          <w:jc w:val="center"/>
        </w:trPr>
        <w:tc>
          <w:tcPr>
            <w:tcW w:w="13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17"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违反上述8条中任意2至4项的</w:t>
            </w:r>
          </w:p>
        </w:tc>
        <w:tc>
          <w:tcPr>
            <w:tcW w:w="255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cantSplit/>
          <w:trHeight w:val="397" w:hRule="atLeast"/>
          <w:jc w:val="center"/>
        </w:trPr>
        <w:tc>
          <w:tcPr>
            <w:tcW w:w="13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17"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违反上述8条中任意5项以上的</w:t>
            </w:r>
          </w:p>
        </w:tc>
        <w:tc>
          <w:tcPr>
            <w:tcW w:w="255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cantSplit/>
          <w:trHeight w:val="397" w:hRule="atLeast"/>
          <w:jc w:val="center"/>
        </w:trPr>
        <w:tc>
          <w:tcPr>
            <w:tcW w:w="138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项目应报批的环评文件类别</w:t>
            </w:r>
          </w:p>
        </w:tc>
        <w:tc>
          <w:tcPr>
            <w:tcW w:w="5117"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报告表</w:t>
            </w:r>
          </w:p>
        </w:tc>
        <w:tc>
          <w:tcPr>
            <w:tcW w:w="255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cantSplit/>
          <w:trHeight w:val="397" w:hRule="atLeast"/>
          <w:jc w:val="center"/>
        </w:trPr>
        <w:tc>
          <w:tcPr>
            <w:tcW w:w="13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报告书</w:t>
            </w:r>
            <w:r>
              <w:rPr>
                <w:rFonts w:hint="default" w:ascii="Times New Roman" w:hAnsi="Times New Roman" w:cs="Times New Roman"/>
                <w:color w:val="auto"/>
                <w:sz w:val="20"/>
                <w:szCs w:val="20"/>
                <w:shd w:val="clear" w:color="auto" w:fill="auto"/>
                <w:lang w:eastAsia="zh-CN"/>
              </w:rPr>
              <w:t>（非重点管理企业）</w:t>
            </w:r>
          </w:p>
        </w:tc>
        <w:tc>
          <w:tcPr>
            <w:tcW w:w="255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cantSplit/>
          <w:trHeight w:val="397" w:hRule="atLeast"/>
          <w:jc w:val="center"/>
        </w:trPr>
        <w:tc>
          <w:tcPr>
            <w:tcW w:w="13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报告书（钢铁、火电、危废集中处置</w:t>
            </w:r>
            <w:r>
              <w:rPr>
                <w:rFonts w:hint="eastAsia" w:ascii="Times New Roman" w:hAnsi="Times New Roman" w:cs="Times New Roman"/>
                <w:color w:val="auto"/>
                <w:sz w:val="20"/>
                <w:szCs w:val="20"/>
                <w:shd w:val="clear" w:color="auto" w:fill="auto"/>
                <w:lang w:eastAsia="zh-CN"/>
              </w:rPr>
              <w:t>、</w:t>
            </w:r>
            <w:r>
              <w:rPr>
                <w:rFonts w:hint="default" w:ascii="Times New Roman" w:hAnsi="Times New Roman" w:cs="Times New Roman"/>
                <w:color w:val="auto"/>
                <w:sz w:val="20"/>
                <w:szCs w:val="20"/>
                <w:shd w:val="clear" w:color="auto" w:fill="auto"/>
              </w:rPr>
              <w:t>化工、电镀、皮革、造纸、制浆、冶炼、放射性、印染染料、炼焦、炼油、矿山开采项目</w:t>
            </w:r>
            <w:r>
              <w:rPr>
                <w:rFonts w:hint="eastAsia" w:ascii="Times New Roman" w:hAnsi="Times New Roman" w:cs="Times New Roman"/>
                <w:color w:val="auto"/>
                <w:sz w:val="20"/>
                <w:szCs w:val="20"/>
                <w:shd w:val="clear" w:color="auto" w:fill="auto"/>
                <w:lang w:val="en-US" w:eastAsia="zh-CN"/>
              </w:rPr>
              <w:t>等</w:t>
            </w:r>
            <w:r>
              <w:rPr>
                <w:rFonts w:hint="default" w:ascii="Times New Roman" w:hAnsi="Times New Roman" w:cs="Times New Roman"/>
                <w:color w:val="auto"/>
                <w:sz w:val="20"/>
                <w:szCs w:val="20"/>
                <w:shd w:val="clear" w:color="auto" w:fill="auto"/>
              </w:rPr>
              <w:t>）</w:t>
            </w:r>
            <w:r>
              <w:rPr>
                <w:rFonts w:hint="default" w:ascii="Times New Roman" w:hAnsi="Times New Roman" w:cs="Times New Roman"/>
                <w:color w:val="auto"/>
                <w:sz w:val="20"/>
                <w:szCs w:val="20"/>
                <w:shd w:val="clear" w:color="auto" w:fill="auto"/>
                <w:lang w:eastAsia="zh-CN"/>
              </w:rPr>
              <w:t>（重点管理</w:t>
            </w:r>
            <w:r>
              <w:rPr>
                <w:rFonts w:hint="eastAsia" w:ascii="Times New Roman" w:hAnsi="Times New Roman" w:cs="Times New Roman"/>
                <w:color w:val="auto"/>
                <w:sz w:val="20"/>
                <w:szCs w:val="20"/>
                <w:shd w:val="clear" w:color="auto" w:fill="auto"/>
                <w:lang w:eastAsia="zh-CN"/>
              </w:rPr>
              <w:t>）</w:t>
            </w:r>
          </w:p>
        </w:tc>
        <w:tc>
          <w:tcPr>
            <w:tcW w:w="255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cantSplit/>
          <w:trHeight w:val="397" w:hRule="atLeast"/>
          <w:jc w:val="center"/>
        </w:trPr>
        <w:tc>
          <w:tcPr>
            <w:tcW w:w="138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val="en-US" w:eastAsia="zh-CN"/>
              </w:rPr>
              <w:t>环评文件编制主体问题</w:t>
            </w:r>
          </w:p>
        </w:tc>
        <w:tc>
          <w:tcPr>
            <w:tcW w:w="51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编制主持人及主要编制人员非编制单位全职员工</w:t>
            </w:r>
          </w:p>
        </w:tc>
        <w:tc>
          <w:tcPr>
            <w:tcW w:w="255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cantSplit/>
          <w:trHeight w:val="397" w:hRule="atLeast"/>
          <w:jc w:val="center"/>
        </w:trPr>
        <w:tc>
          <w:tcPr>
            <w:tcW w:w="13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编制主持人未取得环境影响评价工程师职业资格证</w:t>
            </w:r>
          </w:p>
        </w:tc>
        <w:tc>
          <w:tcPr>
            <w:tcW w:w="255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cantSplit/>
          <w:trHeight w:val="397" w:hRule="atLeast"/>
          <w:jc w:val="center"/>
        </w:trPr>
        <w:tc>
          <w:tcPr>
            <w:tcW w:w="13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编制单位存在办法第九条任一情况</w:t>
            </w:r>
          </w:p>
        </w:tc>
        <w:tc>
          <w:tcPr>
            <w:tcW w:w="255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cantSplit/>
          <w:trHeight w:val="397" w:hRule="atLeast"/>
          <w:jc w:val="center"/>
        </w:trPr>
        <w:tc>
          <w:tcPr>
            <w:tcW w:w="13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编制单位被列入限期整改名单</w:t>
            </w:r>
          </w:p>
        </w:tc>
        <w:tc>
          <w:tcPr>
            <w:tcW w:w="255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cantSplit/>
          <w:trHeight w:val="397" w:hRule="atLeast"/>
          <w:jc w:val="center"/>
        </w:trPr>
        <w:tc>
          <w:tcPr>
            <w:tcW w:w="13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编制单位被列入黑名单</w:t>
            </w:r>
          </w:p>
        </w:tc>
        <w:tc>
          <w:tcPr>
            <w:tcW w:w="255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5</w:t>
            </w:r>
          </w:p>
        </w:tc>
      </w:tr>
      <w:tr>
        <w:trPr>
          <w:cantSplit/>
          <w:trHeight w:val="397" w:hRule="atLeast"/>
          <w:jc w:val="center"/>
        </w:trPr>
        <w:tc>
          <w:tcPr>
            <w:tcW w:w="138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highlight w:val="none"/>
                <w:shd w:val="clear" w:color="auto" w:fill="auto"/>
              </w:rPr>
            </w:pPr>
            <w:r>
              <w:rPr>
                <w:rFonts w:hint="default" w:ascii="Times New Roman" w:hAnsi="Times New Roman" w:cs="Times New Roman"/>
                <w:b/>
                <w:bCs/>
                <w:color w:val="auto"/>
                <w:sz w:val="20"/>
                <w:szCs w:val="20"/>
                <w:highlight w:val="none"/>
                <w:shd w:val="clear" w:color="auto" w:fill="auto"/>
              </w:rPr>
              <w:t>项目建设</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highlight w:val="none"/>
                <w:shd w:val="clear" w:color="auto" w:fill="auto"/>
              </w:rPr>
              <w:t>情况</w:t>
            </w:r>
          </w:p>
        </w:tc>
        <w:tc>
          <w:tcPr>
            <w:tcW w:w="51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已开工建设但主体工程未建成的</w:t>
            </w:r>
          </w:p>
        </w:tc>
        <w:tc>
          <w:tcPr>
            <w:tcW w:w="255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cantSplit/>
          <w:trHeight w:val="397" w:hRule="atLeast"/>
          <w:jc w:val="center"/>
        </w:trPr>
        <w:tc>
          <w:tcPr>
            <w:tcW w:w="13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主体工程已建成但尚未投入生产或者使用的</w:t>
            </w:r>
          </w:p>
        </w:tc>
        <w:tc>
          <w:tcPr>
            <w:tcW w:w="255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cantSplit/>
          <w:trHeight w:val="397" w:hRule="atLeast"/>
          <w:jc w:val="center"/>
        </w:trPr>
        <w:tc>
          <w:tcPr>
            <w:tcW w:w="13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主体工程已投入生产或者使用的</w:t>
            </w:r>
          </w:p>
        </w:tc>
        <w:tc>
          <w:tcPr>
            <w:tcW w:w="255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cantSplit/>
          <w:trHeight w:val="397" w:hRule="atLeast"/>
          <w:jc w:val="center"/>
        </w:trPr>
        <w:tc>
          <w:tcPr>
            <w:tcW w:w="138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项目建设地点</w:t>
            </w:r>
          </w:p>
        </w:tc>
        <w:tc>
          <w:tcPr>
            <w:tcW w:w="5117"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符合环境功能区划</w:t>
            </w:r>
          </w:p>
        </w:tc>
        <w:tc>
          <w:tcPr>
            <w:tcW w:w="255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cantSplit/>
          <w:trHeight w:val="397" w:hRule="atLeast"/>
          <w:jc w:val="center"/>
        </w:trPr>
        <w:tc>
          <w:tcPr>
            <w:tcW w:w="13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17"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不符合环境功能区划，但不在保护区内</w:t>
            </w:r>
          </w:p>
        </w:tc>
        <w:tc>
          <w:tcPr>
            <w:tcW w:w="255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cantSplit/>
          <w:trHeight w:val="397" w:hRule="atLeast"/>
          <w:jc w:val="center"/>
        </w:trPr>
        <w:tc>
          <w:tcPr>
            <w:tcW w:w="13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17"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饮用水水源准保护区</w:t>
            </w:r>
          </w:p>
        </w:tc>
        <w:tc>
          <w:tcPr>
            <w:tcW w:w="255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cantSplit/>
          <w:trHeight w:val="397" w:hRule="atLeast"/>
          <w:jc w:val="center"/>
        </w:trPr>
        <w:tc>
          <w:tcPr>
            <w:tcW w:w="13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17"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位于自然保护区实验区/饮用水水源二级保护区</w:t>
            </w:r>
          </w:p>
        </w:tc>
        <w:tc>
          <w:tcPr>
            <w:tcW w:w="255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cantSplit/>
          <w:trHeight w:val="397" w:hRule="atLeast"/>
          <w:jc w:val="center"/>
        </w:trPr>
        <w:tc>
          <w:tcPr>
            <w:tcW w:w="13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17"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位于自然保护区缓冲区/位于自然保护区核心区/饮用水水源一级保护区</w:t>
            </w:r>
          </w:p>
        </w:tc>
        <w:tc>
          <w:tcPr>
            <w:tcW w:w="255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cantSplit/>
          <w:trHeight w:val="397" w:hRule="atLeast"/>
          <w:jc w:val="center"/>
        </w:trPr>
        <w:tc>
          <w:tcPr>
            <w:tcW w:w="13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lang w:eastAsia="zh-CN"/>
              </w:rPr>
              <w:t>受处罚次数</w:t>
            </w:r>
          </w:p>
        </w:tc>
        <w:tc>
          <w:tcPr>
            <w:tcW w:w="51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rPr>
              <w:t>两年内未受到过同类处罚</w:t>
            </w:r>
          </w:p>
        </w:tc>
        <w:tc>
          <w:tcPr>
            <w:tcW w:w="255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rPr>
              <w:t>1</w:t>
            </w:r>
          </w:p>
        </w:tc>
      </w:tr>
      <w:tr>
        <w:trPr>
          <w:cantSplit/>
          <w:trHeight w:val="397" w:hRule="atLeast"/>
          <w:jc w:val="center"/>
        </w:trPr>
        <w:tc>
          <w:tcPr>
            <w:tcW w:w="13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rPr>
              <w:t>两年内受到同类处罚1次</w:t>
            </w:r>
          </w:p>
        </w:tc>
        <w:tc>
          <w:tcPr>
            <w:tcW w:w="255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rPr>
              <w:t>3</w:t>
            </w:r>
          </w:p>
        </w:tc>
      </w:tr>
      <w:tr>
        <w:trPr>
          <w:cantSplit/>
          <w:trHeight w:val="397" w:hRule="atLeast"/>
          <w:jc w:val="center"/>
        </w:trPr>
        <w:tc>
          <w:tcPr>
            <w:tcW w:w="13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rPr>
              <w:t>两年内受到同类处罚2次以上</w:t>
            </w:r>
          </w:p>
        </w:tc>
        <w:tc>
          <w:tcPr>
            <w:tcW w:w="255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rPr>
              <w:t>5</w:t>
            </w:r>
          </w:p>
        </w:tc>
      </w:tr>
      <w:tr>
        <w:trPr>
          <w:cantSplit/>
          <w:trHeight w:val="397" w:hRule="atLeast"/>
          <w:jc w:val="center"/>
        </w:trPr>
        <w:tc>
          <w:tcPr>
            <w:tcW w:w="138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55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cantSplit/>
          <w:trHeight w:val="397" w:hRule="atLeast"/>
          <w:jc w:val="center"/>
        </w:trPr>
        <w:tc>
          <w:tcPr>
            <w:tcW w:w="13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5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cantSplit/>
          <w:trHeight w:val="397" w:hRule="atLeast"/>
          <w:jc w:val="center"/>
        </w:trPr>
        <w:tc>
          <w:tcPr>
            <w:tcW w:w="13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bookmarkStart w:id="23" w:name="_Hlk25071444"/>
          </w:p>
        </w:tc>
        <w:tc>
          <w:tcPr>
            <w:tcW w:w="51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55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cantSplit/>
          <w:trHeight w:val="397" w:hRule="atLeast"/>
          <w:jc w:val="center"/>
        </w:trPr>
        <w:tc>
          <w:tcPr>
            <w:tcW w:w="13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55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bookmarkEnd w:id="23"/>
          </w:p>
        </w:tc>
      </w:tr>
      <w:tr>
        <w:trPr>
          <w:cantSplit/>
          <w:trHeight w:val="90" w:hRule="atLeast"/>
          <w:jc w:val="center"/>
        </w:trPr>
        <w:tc>
          <w:tcPr>
            <w:tcW w:w="13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76" w:type="dxa"/>
            <w:gridSpan w:val="2"/>
            <w:vAlign w:val="center"/>
          </w:tcPr>
          <w:p>
            <w:pPr>
              <w:shd w:val="clear" w:color="auto" w:fill="auto"/>
              <w:snapToGrid w:val="0"/>
              <w:spacing w:before="0" w:beforeAutospacing="0" w:after="0" w:afterAutospacing="0" w:line="300" w:lineRule="exact"/>
              <w:ind w:left="0" w:right="0" w:firstLine="420" w:firstLineChars="20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对建设单位的处罚M值为200万元，N值为50万元；对人员的处罚M值为20万元，N值为5万元。对建设单位和对人员的处罚，分别套用计算公式裁定处罚金额。</w:t>
            </w: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5181"/>
        <w:gridCol w:w="2497"/>
      </w:tblGrid>
      <w:tr>
        <w:trPr>
          <w:cantSplit/>
          <w:trHeight w:val="283" w:hRule="atLeast"/>
          <w:jc w:val="center"/>
        </w:trPr>
        <w:tc>
          <w:tcPr>
            <w:tcW w:w="9060" w:type="dxa"/>
            <w:gridSpan w:val="3"/>
            <w:vAlign w:val="top"/>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（一）建设项目管理类</w:t>
            </w:r>
          </w:p>
        </w:tc>
      </w:tr>
      <w:tr>
        <w:trPr>
          <w:cantSplit/>
          <w:trHeight w:val="283" w:hRule="atLeast"/>
          <w:jc w:val="center"/>
        </w:trPr>
        <w:tc>
          <w:tcPr>
            <w:tcW w:w="13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78" w:type="dxa"/>
            <w:gridSpan w:val="2"/>
            <w:vAlign w:val="center"/>
          </w:tcPr>
          <w:p>
            <w:pPr>
              <w:shd w:val="clear" w:color="auto" w:fill="auto"/>
              <w:snapToGrid w:val="0"/>
              <w:spacing w:before="0" w:beforeAutospacing="0" w:after="0" w:afterAutospacing="0" w:line="300" w:lineRule="exact"/>
              <w:ind w:left="0" w:right="0"/>
              <w:jc w:val="center"/>
              <w:outlineLvl w:val="9"/>
              <w:rPr>
                <w:rFonts w:hint="default" w:ascii="Times New Roman" w:hAnsi="Times New Roman" w:cs="Times New Roman"/>
                <w:color w:val="auto"/>
                <w:sz w:val="20"/>
                <w:szCs w:val="20"/>
                <w:shd w:val="clear" w:color="auto" w:fill="auto"/>
              </w:rPr>
            </w:pPr>
            <w:bookmarkStart w:id="24" w:name="_Toc26474"/>
            <w:r>
              <w:rPr>
                <w:rFonts w:hint="default" w:ascii="Times New Roman" w:hAnsi="Times New Roman" w:cs="Times New Roman"/>
                <w:color w:val="auto"/>
                <w:sz w:val="20"/>
                <w:szCs w:val="20"/>
                <w:shd w:val="clear" w:color="auto" w:fill="auto"/>
              </w:rPr>
              <w:t>4</w:t>
            </w:r>
            <w:bookmarkEnd w:id="24"/>
          </w:p>
        </w:tc>
      </w:tr>
      <w:tr>
        <w:trPr>
          <w:cantSplit/>
          <w:trHeight w:val="1330" w:hRule="atLeast"/>
          <w:jc w:val="center"/>
        </w:trPr>
        <w:tc>
          <w:tcPr>
            <w:tcW w:w="13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78" w:type="dxa"/>
            <w:gridSpan w:val="2"/>
            <w:vAlign w:val="center"/>
          </w:tcPr>
          <w:p>
            <w:pPr>
              <w:shd w:val="clear" w:color="auto" w:fill="auto"/>
              <w:snapToGrid w:val="0"/>
              <w:spacing w:before="0" w:beforeAutospacing="0" w:after="0" w:afterAutospacing="0" w:line="300" w:lineRule="exact"/>
              <w:ind w:left="0" w:right="0" w:firstLine="420"/>
              <w:outlineLvl w:val="9"/>
              <w:rPr>
                <w:rFonts w:hint="default" w:ascii="Times New Roman" w:hAnsi="Times New Roman" w:cs="Times New Roman"/>
                <w:color w:val="auto"/>
                <w:sz w:val="20"/>
                <w:szCs w:val="20"/>
                <w:shd w:val="clear" w:color="auto" w:fill="auto"/>
              </w:rPr>
            </w:pPr>
            <w:bookmarkStart w:id="25" w:name="_Toc16881"/>
            <w:r>
              <w:rPr>
                <w:rFonts w:hint="default" w:ascii="Times New Roman" w:hAnsi="Times New Roman" w:cs="Times New Roman"/>
                <w:color w:val="auto"/>
                <w:sz w:val="20"/>
                <w:szCs w:val="20"/>
                <w:shd w:val="clear" w:color="auto" w:fill="auto"/>
              </w:rPr>
              <w:t>接受委托编制建设项目环境影响报告书、环境影响报告表的技术单位，违反有关环境影响评价标准和技术规范等规定，致使其编制的建设项目环境影响报告书、环境影响报告表存在基础资料明显不实，内容存在重大缺陷、遗漏或者虚假，环境影响评价结论不正确或者不合理等严重质量问题的</w:t>
            </w:r>
            <w:bookmarkEnd w:id="25"/>
          </w:p>
        </w:tc>
      </w:tr>
      <w:tr>
        <w:trPr>
          <w:cantSplit/>
          <w:trHeight w:val="5970" w:hRule="atLeast"/>
          <w:jc w:val="center"/>
        </w:trPr>
        <w:tc>
          <w:tcPr>
            <w:tcW w:w="13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78" w:type="dxa"/>
            <w:gridSpan w:val="2"/>
            <w:vAlign w:val="center"/>
          </w:tcPr>
          <w:p>
            <w:pPr>
              <w:pStyle w:val="19"/>
              <w:numPr>
                <w:numId w:val="0"/>
              </w:numPr>
              <w:shd w:val="clear" w:color="auto" w:fill="auto"/>
              <w:snapToGrid/>
              <w:spacing w:before="0" w:beforeAutospacing="0" w:after="0" w:afterAutospacing="0" w:line="300" w:lineRule="exact"/>
              <w:ind w:left="0" w:leftChars="0" w:right="0" w:firstLine="422" w:firstLineChars="200"/>
              <w:rPr>
                <w:rFonts w:hint="eastAsia" w:ascii="Times New Roman" w:hAnsi="Times New Roman" w:cs="Times New Roman"/>
                <w:b/>
                <w:bCs/>
                <w:color w:val="auto"/>
                <w:kern w:val="2"/>
                <w:sz w:val="21"/>
                <w:szCs w:val="21"/>
                <w:shd w:val="clear" w:color="auto" w:fill="auto"/>
                <w:lang w:val="en-US" w:eastAsia="zh-CN"/>
              </w:rPr>
            </w:pPr>
            <w:r>
              <w:rPr>
                <w:rFonts w:hint="default" w:ascii="Times New Roman" w:hAnsi="Times New Roman" w:cs="Times New Roman"/>
                <w:b/>
                <w:bCs/>
                <w:color w:val="auto"/>
                <w:kern w:val="2"/>
                <w:sz w:val="21"/>
                <w:szCs w:val="21"/>
                <w:shd w:val="clear" w:color="auto" w:fill="auto"/>
                <w:lang w:val="en-US" w:eastAsia="zh-CN"/>
              </w:rPr>
              <w:t>1.</w:t>
            </w:r>
            <w:r>
              <w:rPr>
                <w:rFonts w:hint="default" w:ascii="Times New Roman" w:hAnsi="Times New Roman" w:cs="Times New Roman"/>
                <w:b/>
                <w:bCs/>
                <w:color w:val="auto"/>
                <w:kern w:val="2"/>
                <w:sz w:val="21"/>
                <w:szCs w:val="21"/>
                <w:shd w:val="clear" w:color="auto" w:fill="auto"/>
              </w:rPr>
              <w:t>《中华人民共和国环境影响评价法》</w:t>
            </w:r>
            <w:r>
              <w:rPr>
                <w:rFonts w:hint="default" w:ascii="Times New Roman" w:hAnsi="Times New Roman" w:cs="Times New Roman"/>
                <w:b/>
                <w:bCs/>
                <w:color w:val="auto"/>
                <w:kern w:val="2"/>
                <w:sz w:val="21"/>
                <w:szCs w:val="21"/>
                <w:shd w:val="clear" w:color="auto" w:fill="auto"/>
                <w:lang w:val="en-US" w:eastAsia="zh-CN"/>
              </w:rPr>
              <w:t>第十九条第二款</w:t>
            </w:r>
            <w:r>
              <w:rPr>
                <w:rFonts w:hint="default" w:ascii="Times New Roman" w:hAnsi="Times New Roman" w:cs="Times New Roman"/>
                <w:b/>
                <w:bCs/>
                <w:color w:val="auto"/>
                <w:sz w:val="21"/>
                <w:szCs w:val="21"/>
                <w:shd w:val="clear" w:color="auto" w:fill="auto"/>
                <w:lang w:val="zh-CN" w:eastAsia="zh-CN"/>
              </w:rPr>
              <w:t> </w:t>
            </w:r>
            <w:r>
              <w:rPr>
                <w:rFonts w:hint="default" w:ascii="Times New Roman" w:hAnsi="Times New Roman" w:cs="Times New Roman"/>
                <w:b w:val="0"/>
                <w:bCs w:val="0"/>
                <w:color w:val="auto"/>
                <w:sz w:val="21"/>
                <w:szCs w:val="21"/>
                <w:shd w:val="clear" w:color="auto" w:fill="auto"/>
                <w:lang w:val="zh-CN" w:eastAsia="zh-CN"/>
              </w:rPr>
              <w:t>编制建设项目环境影响报告书、环境影响报告表应当遵守国家有关环境影响评价标准、技术规范等规定。</w:t>
            </w:r>
          </w:p>
          <w:p>
            <w:pPr>
              <w:pStyle w:val="19"/>
              <w:numPr>
                <w:numId w:val="0"/>
              </w:numPr>
              <w:shd w:val="clear" w:color="auto" w:fill="auto"/>
              <w:snapToGrid/>
              <w:spacing w:before="0" w:beforeAutospacing="0" w:after="0" w:afterAutospacing="0" w:line="300" w:lineRule="exact"/>
              <w:ind w:left="0" w:leftChars="0" w:right="0" w:firstLine="422" w:firstLineChars="200"/>
              <w:rPr>
                <w:rFonts w:hint="default" w:ascii="Times New Roman" w:hAnsi="Times New Roman" w:cs="Times New Roman"/>
                <w:color w:val="auto"/>
                <w:kern w:val="2"/>
                <w:sz w:val="21"/>
                <w:szCs w:val="21"/>
                <w:shd w:val="clear" w:color="auto" w:fill="auto"/>
              </w:rPr>
            </w:pPr>
            <w:r>
              <w:rPr>
                <w:rFonts w:hint="eastAsia" w:ascii="Times New Roman" w:hAnsi="Times New Roman" w:cs="Times New Roman"/>
                <w:b/>
                <w:bCs/>
                <w:color w:val="auto"/>
                <w:kern w:val="2"/>
                <w:sz w:val="21"/>
                <w:szCs w:val="21"/>
                <w:shd w:val="clear" w:color="auto" w:fill="auto"/>
                <w:lang w:val="en-US" w:eastAsia="zh-CN"/>
              </w:rPr>
              <w:t>2.</w:t>
            </w:r>
            <w:r>
              <w:rPr>
                <w:rFonts w:hint="default" w:ascii="Times New Roman" w:hAnsi="Times New Roman" w:cs="Times New Roman"/>
                <w:b/>
                <w:bCs/>
                <w:color w:val="auto"/>
                <w:kern w:val="2"/>
                <w:sz w:val="21"/>
                <w:szCs w:val="21"/>
                <w:shd w:val="clear" w:color="auto" w:fill="auto"/>
              </w:rPr>
              <w:t>《中华人民共和国环境影响评价法》第二十条第一款</w:t>
            </w:r>
            <w:r>
              <w:rPr>
                <w:rFonts w:hint="default" w:ascii="Times New Roman" w:hAnsi="Times New Roman" w:cs="Times New Roman"/>
                <w:b w:val="0"/>
                <w:bCs w:val="0"/>
                <w:color w:val="auto"/>
                <w:kern w:val="2"/>
                <w:sz w:val="21"/>
                <w:szCs w:val="21"/>
                <w:shd w:val="clear" w:color="auto" w:fill="auto"/>
                <w:lang w:val="en-US" w:eastAsia="zh-CN"/>
              </w:rPr>
              <w:t xml:space="preserve"> </w:t>
            </w:r>
            <w:r>
              <w:rPr>
                <w:rFonts w:hint="default" w:ascii="Times New Roman" w:hAnsi="Times New Roman" w:cs="Times New Roman"/>
                <w:color w:val="auto"/>
                <w:kern w:val="2"/>
                <w:sz w:val="21"/>
                <w:szCs w:val="21"/>
                <w:shd w:val="clear" w:color="auto" w:fill="auto"/>
              </w:rPr>
              <w:t>建设单位应当对建设项目环境影响报告书、环境影响报告表的内容和结论负责，接受委托编制建设项目环境影响报告书、环境影响报告表的技术单位对其编制的建设项目环境影响报告书、环境影响报告表承担相应责任。</w:t>
            </w:r>
          </w:p>
          <w:p>
            <w:pPr>
              <w:shd w:val="clear" w:color="auto" w:fill="auto"/>
              <w:snapToGrid w:val="0"/>
              <w:spacing w:before="0" w:beforeAutospacing="0" w:after="0" w:afterAutospacing="0" w:line="300" w:lineRule="exact"/>
              <w:ind w:left="0" w:right="0" w:firstLine="422" w:firstLineChars="200"/>
              <w:rPr>
                <w:rFonts w:hint="default" w:ascii="Times New Roman" w:hAnsi="Times New Roman" w:cs="Times New Roman"/>
                <w:color w:val="auto"/>
                <w:sz w:val="20"/>
                <w:szCs w:val="20"/>
                <w:shd w:val="clear" w:color="auto" w:fill="auto"/>
              </w:rPr>
            </w:pPr>
            <w:r>
              <w:rPr>
                <w:rFonts w:hint="eastAsia" w:ascii="Times New Roman" w:hAnsi="Times New Roman" w:cs="Times New Roman"/>
                <w:b/>
                <w:bCs/>
                <w:color w:val="auto"/>
                <w:sz w:val="20"/>
                <w:szCs w:val="20"/>
                <w:shd w:val="clear" w:color="auto" w:fill="auto"/>
                <w:lang w:eastAsia="zh-CN"/>
              </w:rPr>
              <w:t>3</w:t>
            </w:r>
            <w:r>
              <w:rPr>
                <w:rFonts w:hint="default" w:ascii="Times New Roman" w:hAnsi="Times New Roman" w:cs="Times New Roman"/>
                <w:b/>
                <w:bCs/>
                <w:color w:val="auto"/>
                <w:sz w:val="20"/>
                <w:szCs w:val="20"/>
                <w:shd w:val="clear" w:color="auto" w:fill="auto"/>
              </w:rPr>
              <w:t>.《中华人民共和国环境影响评价法》第二十八条</w:t>
            </w:r>
            <w:r>
              <w:rPr>
                <w:rFonts w:hint="default" w:ascii="Times New Roman" w:hAnsi="Times New Roman" w:cs="Times New Roman"/>
                <w:color w:val="auto"/>
                <w:sz w:val="20"/>
                <w:szCs w:val="20"/>
                <w:shd w:val="clear" w:color="auto" w:fill="auto"/>
              </w:rPr>
              <w:t xml:space="preserve"> 生态环境主管部门应当对建设项目投入生产或者使用后所产生的环境影响进行跟踪检查，对造成严重环境污染或者生态破坏的，应当查清原因、查明责任。对属于建设项目环境影响报告书、环境影响报告表存在基础资料明显不实，内容存在重大缺陷、遗漏或者虚假，环境影响评价结论不正确或者不合理等严重质量问题的，依照本法第三十二条的规定追究建设单位及其相关责任人员和接受委托编制建设项目环境影响报告书、环境影响报告表的技术单位及其相关人员的法律责任；属于审批部门工作人员失职、渎职，对依法不应批准的建设项目环境影响报告书、环境影响报告表予以批准的，依照本法第三十四条的规定追究其法律责任。</w:t>
            </w:r>
          </w:p>
          <w:p>
            <w:pPr>
              <w:shd w:val="clear" w:color="auto" w:fill="auto"/>
              <w:snapToGrid w:val="0"/>
              <w:spacing w:before="0" w:beforeAutospacing="0" w:after="0" w:afterAutospacing="0" w:line="300" w:lineRule="exact"/>
              <w:ind w:left="0" w:right="0" w:firstLine="422" w:firstLineChars="200"/>
              <w:rPr>
                <w:rFonts w:hint="default" w:ascii="Times New Roman" w:hAnsi="Times New Roman" w:cs="Times New Roman"/>
                <w:b w:val="0"/>
                <w:bCs w:val="0"/>
                <w:color w:val="auto"/>
                <w:sz w:val="20"/>
                <w:szCs w:val="20"/>
                <w:shd w:val="clear" w:color="auto" w:fill="auto"/>
              </w:rPr>
            </w:pPr>
            <w:r>
              <w:rPr>
                <w:rFonts w:hint="eastAsia" w:ascii="Times New Roman" w:hAnsi="Times New Roman" w:cs="Times New Roman"/>
                <w:b/>
                <w:bCs/>
                <w:color w:val="auto"/>
                <w:sz w:val="20"/>
                <w:szCs w:val="20"/>
                <w:shd w:val="clear" w:color="auto" w:fill="auto"/>
                <w:lang w:eastAsia="zh-CN"/>
              </w:rPr>
              <w:t>4</w:t>
            </w:r>
            <w:r>
              <w:rPr>
                <w:rFonts w:hint="default" w:ascii="Times New Roman" w:hAnsi="Times New Roman" w:cs="Times New Roman"/>
                <w:b/>
                <w:bCs/>
                <w:color w:val="auto"/>
                <w:sz w:val="20"/>
                <w:szCs w:val="20"/>
                <w:shd w:val="clear" w:color="auto" w:fill="auto"/>
              </w:rPr>
              <w:t>.《建设项目环境影响报告书（表）编制监督管理办法》第三条</w:t>
            </w:r>
            <w:r>
              <w:rPr>
                <w:rFonts w:hint="default" w:ascii="Times New Roman" w:hAnsi="Times New Roman" w:cs="Times New Roman"/>
                <w:b w:val="0"/>
                <w:bCs w:val="0"/>
                <w:color w:val="auto"/>
                <w:sz w:val="20"/>
                <w:szCs w:val="20"/>
                <w:shd w:val="clear" w:color="auto" w:fill="auto"/>
              </w:rPr>
              <w:t>建设单位应当对环境影响报告书（表）的内容和结论负责；技术单位对其编制的环境影响报告书（表）承担相应责任。</w:t>
            </w:r>
          </w:p>
          <w:p>
            <w:pPr>
              <w:shd w:val="clear" w:color="auto" w:fill="auto"/>
              <w:snapToGrid w:val="0"/>
              <w:spacing w:before="0" w:beforeAutospacing="0" w:after="0" w:afterAutospacing="0" w:line="300" w:lineRule="exact"/>
              <w:ind w:left="0" w:right="0" w:firstLine="422"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第八条</w:t>
            </w:r>
            <w:r>
              <w:rPr>
                <w:rFonts w:hint="default" w:ascii="Times New Roman" w:hAnsi="Times New Roman" w:cs="Times New Roman"/>
                <w:color w:val="auto"/>
                <w:sz w:val="20"/>
                <w:szCs w:val="20"/>
                <w:shd w:val="clear" w:color="auto" w:fill="auto"/>
              </w:rPr>
              <w:t xml:space="preserve"> 编制单位和编制人员应当坚持公正、科学、诚信的原则，遵守有关环境影响评价法律法规、标准和技术规范等规定，确保环境影响报告书（表）内容真实、客观、全面和规范。</w:t>
            </w:r>
          </w:p>
        </w:tc>
      </w:tr>
      <w:tr>
        <w:trPr>
          <w:cantSplit/>
          <w:trHeight w:val="90" w:hRule="atLeast"/>
          <w:jc w:val="center"/>
        </w:trPr>
        <w:tc>
          <w:tcPr>
            <w:tcW w:w="13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78" w:type="dxa"/>
            <w:gridSpan w:val="2"/>
            <w:vAlign w:val="center"/>
          </w:tcPr>
          <w:p>
            <w:pPr>
              <w:pStyle w:val="19"/>
              <w:shd w:val="clear" w:color="auto" w:fill="auto"/>
              <w:snapToGrid w:val="0"/>
              <w:spacing w:before="0" w:beforeAutospacing="0" w:after="0" w:afterAutospacing="0" w:line="300" w:lineRule="exact"/>
              <w:ind w:left="0" w:right="0" w:firstLine="422" w:firstLineChars="200"/>
              <w:jc w:val="both"/>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1.《中华人民共和国环境影响评价法》第三十二条第二款</w:t>
            </w:r>
            <w:r>
              <w:rPr>
                <w:rFonts w:hint="default" w:ascii="Times New Roman" w:hAnsi="Times New Roman" w:cs="Times New Roman"/>
                <w:color w:val="auto"/>
                <w:kern w:val="2"/>
                <w:sz w:val="21"/>
                <w:szCs w:val="21"/>
                <w:shd w:val="clear" w:color="auto" w:fill="auto"/>
              </w:rPr>
              <w:t xml:space="preserve"> 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设区的市级以上人民政府生态环境主管部门对技术单位处所收费用三倍以上五倍以下的罚款；情节严重的，禁止从事环境影响报告书、环境影响报告表编制工作；有违法所得的，没收违法所得。</w:t>
            </w:r>
          </w:p>
          <w:p>
            <w:pPr>
              <w:pStyle w:val="19"/>
              <w:shd w:val="clear" w:color="auto" w:fill="auto"/>
              <w:snapToGrid w:val="0"/>
              <w:spacing w:before="0" w:beforeAutospacing="0" w:after="0" w:afterAutospacing="0" w:line="300" w:lineRule="exact"/>
              <w:ind w:left="0" w:right="0" w:firstLine="422" w:firstLineChars="20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2.《建设项目环境影响报告书（表）编制监督管理办法》第二十七条</w:t>
            </w:r>
            <w:r>
              <w:rPr>
                <w:rFonts w:hint="default" w:ascii="Times New Roman" w:hAnsi="Times New Roman" w:cs="Times New Roman"/>
                <w:color w:val="auto"/>
                <w:sz w:val="21"/>
                <w:szCs w:val="21"/>
                <w:shd w:val="clear" w:color="auto" w:fill="auto"/>
              </w:rPr>
              <w:t xml:space="preserve"> 在监督检查过程中发现环境影响报告书（表）存在下列严重质量问题之一的，由市级以上生态环境主管部门依照《中华人民共和国环境影响评价法》第三十二条的规定，对建设单位及其相关人员、技术单位、编制人员予以处罚：</w:t>
            </w:r>
          </w:p>
          <w:p>
            <w:pPr>
              <w:pStyle w:val="19"/>
              <w:numPr>
                <w:numId w:val="0"/>
              </w:numPr>
              <w:shd w:val="clear" w:color="auto" w:fill="auto"/>
              <w:snapToGrid w:val="0"/>
              <w:spacing w:before="0" w:beforeAutospacing="0" w:after="0" w:afterAutospacing="0" w:line="300" w:lineRule="exact"/>
              <w:ind w:left="0" w:right="0" w:firstLine="420" w:firstLineChars="20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lang w:eastAsia="zh-CN"/>
              </w:rPr>
              <w:t>（一）</w:t>
            </w:r>
            <w:r>
              <w:rPr>
                <w:rFonts w:hint="default" w:ascii="Times New Roman" w:hAnsi="Times New Roman" w:cs="Times New Roman"/>
                <w:color w:val="auto"/>
                <w:sz w:val="21"/>
                <w:szCs w:val="21"/>
                <w:shd w:val="clear" w:color="auto" w:fill="auto"/>
              </w:rPr>
              <w:t xml:space="preserve">建设项目概况中的建设地点、主体工程及其生产工艺，或者改扩建和技术改造项目的现有工程基本情况、污染物排放及达标情况等描述不全或者错误的； </w:t>
            </w:r>
          </w:p>
          <w:p>
            <w:pPr>
              <w:pStyle w:val="19"/>
              <w:shd w:val="clear" w:color="auto" w:fill="auto"/>
              <w:snapToGrid w:val="0"/>
              <w:spacing w:before="0" w:beforeAutospacing="0" w:after="0" w:afterAutospacing="0" w:line="300" w:lineRule="exact"/>
              <w:ind w:left="0" w:right="0" w:firstLine="420" w:firstLineChars="20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（二）遗漏自然保护区、饮用水水源保护区或者以居住、医疗卫生、文化教育为主要功能的区域等环境保护目标的；</w:t>
            </w:r>
          </w:p>
          <w:p>
            <w:pPr>
              <w:shd w:val="clear" w:color="auto" w:fill="auto"/>
              <w:snapToGrid w:val="0"/>
              <w:spacing w:before="0" w:beforeAutospacing="0" w:after="0" w:afterAutospacing="0" w:line="300" w:lineRule="exact"/>
              <w:ind w:left="0" w:right="0" w:firstLine="420" w:firstLineChars="200"/>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（三）未开展环境影响评价范围内的相关环境要素现状调查与评价，或者编造相关内容、结果的；</w:t>
            </w:r>
          </w:p>
        </w:tc>
      </w:tr>
      <w:tr>
        <w:trPr>
          <w:cantSplit/>
          <w:trHeight w:val="283" w:hRule="atLeast"/>
          <w:jc w:val="center"/>
        </w:trPr>
        <w:tc>
          <w:tcPr>
            <w:tcW w:w="13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78" w:type="dxa"/>
            <w:gridSpan w:val="2"/>
            <w:vAlign w:val="top"/>
          </w:tcPr>
          <w:p>
            <w:pPr>
              <w:pStyle w:val="19"/>
              <w:shd w:val="clear" w:color="auto" w:fill="auto"/>
              <w:snapToGrid w:val="0"/>
              <w:spacing w:before="0" w:beforeAutospacing="0" w:after="0" w:afterAutospacing="0" w:line="300" w:lineRule="exact"/>
              <w:ind w:left="0" w:right="0" w:firstLine="482"/>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（四）未开展相关环境要素或者环境风险预测与评价，或者编造相关内容、结果的；</w:t>
            </w:r>
          </w:p>
          <w:p>
            <w:pPr>
              <w:pStyle w:val="19"/>
              <w:shd w:val="clear" w:color="auto" w:fill="auto"/>
              <w:snapToGrid w:val="0"/>
              <w:spacing w:before="0" w:beforeAutospacing="0" w:after="0" w:afterAutospacing="0" w:line="300" w:lineRule="exact"/>
              <w:ind w:left="0" w:right="0" w:firstLine="482"/>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（五）所提环境保护措施无法确保污染物排放达到国家和地方排放标准或者有效预防和控制生态破坏，未针对建设项目可能产生的或者原有环境污染和生态破坏提出有效防治措施的；</w:t>
            </w:r>
          </w:p>
          <w:p>
            <w:pPr>
              <w:pStyle w:val="19"/>
              <w:shd w:val="clear" w:color="auto" w:fill="auto"/>
              <w:snapToGrid w:val="0"/>
              <w:spacing w:before="0" w:beforeAutospacing="0" w:after="0" w:afterAutospacing="0" w:line="300" w:lineRule="exact"/>
              <w:ind w:left="0" w:right="0" w:firstLine="482"/>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（六）建设项目所在区域环境质量未达到国家或者地方环境质量标准，所提环境保护措施不能满足区域环境质量改善目标管理相关要求的；</w:t>
            </w:r>
          </w:p>
          <w:p>
            <w:pPr>
              <w:pStyle w:val="19"/>
              <w:shd w:val="clear" w:color="auto" w:fill="auto"/>
              <w:snapToGrid w:val="0"/>
              <w:spacing w:before="0" w:beforeAutospacing="0" w:after="0" w:afterAutospacing="0" w:line="300" w:lineRule="exact"/>
              <w:ind w:left="0" w:right="0" w:firstLine="420" w:firstLineChars="20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（七）建设项目类型及其选址、布局、规模等不符合环境保护法律法规和相关法定规划，但给出环境影响可行结论的；</w:t>
            </w:r>
          </w:p>
          <w:p>
            <w:pPr>
              <w:pStyle w:val="19"/>
              <w:shd w:val="clear" w:color="auto" w:fill="auto"/>
              <w:snapToGrid w:val="0"/>
              <w:spacing w:before="0" w:beforeAutospacing="0" w:after="0" w:afterAutospacing="0" w:line="300" w:lineRule="exact"/>
              <w:ind w:left="0" w:right="0" w:firstLine="420" w:firstLineChars="200"/>
              <w:rPr>
                <w:rFonts w:hint="default" w:ascii="Times New Roman" w:hAnsi="Times New Roman" w:cs="Times New Roman"/>
                <w:b/>
                <w:bCs/>
                <w:color w:val="auto"/>
                <w:kern w:val="2"/>
                <w:sz w:val="21"/>
                <w:szCs w:val="21"/>
                <w:shd w:val="clear" w:color="auto" w:fill="auto"/>
              </w:rPr>
            </w:pPr>
            <w:r>
              <w:rPr>
                <w:rFonts w:hint="default" w:ascii="Times New Roman" w:hAnsi="Times New Roman" w:cs="Times New Roman"/>
                <w:color w:val="auto"/>
                <w:sz w:val="21"/>
                <w:szCs w:val="21"/>
                <w:shd w:val="clear" w:color="auto" w:fill="auto"/>
              </w:rPr>
              <w:t>（八）其他基础资料明显不实，内容有重大缺陷、遗漏、虚假，或者环境影响评价结论不正确、不合理的。</w:t>
            </w:r>
          </w:p>
        </w:tc>
      </w:tr>
      <w:tr>
        <w:trPr>
          <w:cantSplit/>
          <w:trHeight w:val="283" w:hRule="atLeast"/>
          <w:jc w:val="center"/>
        </w:trPr>
        <w:tc>
          <w:tcPr>
            <w:tcW w:w="13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8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49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cantSplit/>
          <w:trHeight w:val="283" w:hRule="atLeast"/>
          <w:jc w:val="center"/>
        </w:trPr>
        <w:tc>
          <w:tcPr>
            <w:tcW w:w="1382"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81"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1"/>
                <w:shd w:val="clear" w:color="auto" w:fill="auto"/>
              </w:rPr>
              <w:t>违反上述8条中任意1项的</w:t>
            </w:r>
          </w:p>
        </w:tc>
        <w:tc>
          <w:tcPr>
            <w:tcW w:w="249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cantSplit/>
          <w:trHeight w:val="283" w:hRule="atLeast"/>
          <w:jc w:val="center"/>
        </w:trPr>
        <w:tc>
          <w:tcPr>
            <w:tcW w:w="138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81"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1"/>
                <w:shd w:val="clear" w:color="auto" w:fill="auto"/>
              </w:rPr>
              <w:t>违反上述8条中任意2至4项的</w:t>
            </w:r>
          </w:p>
        </w:tc>
        <w:tc>
          <w:tcPr>
            <w:tcW w:w="249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cantSplit/>
          <w:trHeight w:val="283" w:hRule="atLeast"/>
          <w:jc w:val="center"/>
        </w:trPr>
        <w:tc>
          <w:tcPr>
            <w:tcW w:w="138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81"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1"/>
                <w:shd w:val="clear" w:color="auto" w:fill="auto"/>
              </w:rPr>
              <w:t>违反上述8条中任意5项以上的</w:t>
            </w:r>
          </w:p>
        </w:tc>
        <w:tc>
          <w:tcPr>
            <w:tcW w:w="249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cantSplit/>
          <w:trHeight w:val="283" w:hRule="atLeast"/>
          <w:jc w:val="center"/>
        </w:trPr>
        <w:tc>
          <w:tcPr>
            <w:tcW w:w="1382"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项目应报批的环评文件类别</w:t>
            </w:r>
          </w:p>
        </w:tc>
        <w:tc>
          <w:tcPr>
            <w:tcW w:w="5181"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报告表</w:t>
            </w:r>
          </w:p>
        </w:tc>
        <w:tc>
          <w:tcPr>
            <w:tcW w:w="249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cantSplit/>
          <w:trHeight w:val="283" w:hRule="atLeast"/>
          <w:jc w:val="center"/>
        </w:trPr>
        <w:tc>
          <w:tcPr>
            <w:tcW w:w="138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8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报告书</w:t>
            </w:r>
            <w:r>
              <w:rPr>
                <w:rFonts w:hint="default" w:ascii="Times New Roman" w:hAnsi="Times New Roman" w:cs="Times New Roman"/>
                <w:color w:val="auto"/>
                <w:sz w:val="20"/>
                <w:szCs w:val="20"/>
                <w:shd w:val="clear" w:color="auto" w:fill="auto"/>
                <w:lang w:eastAsia="zh-CN"/>
              </w:rPr>
              <w:t>（非重点管理企业）</w:t>
            </w:r>
          </w:p>
        </w:tc>
        <w:tc>
          <w:tcPr>
            <w:tcW w:w="249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cantSplit/>
          <w:trHeight w:val="283" w:hRule="atLeast"/>
          <w:jc w:val="center"/>
        </w:trPr>
        <w:tc>
          <w:tcPr>
            <w:tcW w:w="138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8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报告书（钢铁、火电、危废集中处置</w:t>
            </w:r>
            <w:r>
              <w:rPr>
                <w:rFonts w:hint="eastAsia" w:ascii="Times New Roman" w:hAnsi="Times New Roman" w:cs="Times New Roman"/>
                <w:color w:val="auto"/>
                <w:sz w:val="20"/>
                <w:szCs w:val="20"/>
                <w:shd w:val="clear" w:color="auto" w:fill="auto"/>
                <w:lang w:eastAsia="zh-CN"/>
              </w:rPr>
              <w:t>、</w:t>
            </w:r>
            <w:r>
              <w:rPr>
                <w:rFonts w:hint="default" w:ascii="Times New Roman" w:hAnsi="Times New Roman" w:cs="Times New Roman"/>
                <w:color w:val="auto"/>
                <w:sz w:val="20"/>
                <w:szCs w:val="20"/>
                <w:shd w:val="clear" w:color="auto" w:fill="auto"/>
              </w:rPr>
              <w:t>化工、电镀、皮革、造纸、制浆、冶炼、放射性、印染染料、炼焦、炼油、矿山开采项目</w:t>
            </w:r>
            <w:r>
              <w:rPr>
                <w:rFonts w:hint="eastAsia" w:ascii="Times New Roman" w:hAnsi="Times New Roman" w:cs="Times New Roman"/>
                <w:color w:val="auto"/>
                <w:sz w:val="20"/>
                <w:szCs w:val="20"/>
                <w:shd w:val="clear" w:color="auto" w:fill="auto"/>
                <w:lang w:val="en-US" w:eastAsia="zh-CN"/>
              </w:rPr>
              <w:t>等</w:t>
            </w:r>
            <w:r>
              <w:rPr>
                <w:rFonts w:hint="default" w:ascii="Times New Roman" w:hAnsi="Times New Roman" w:cs="Times New Roman"/>
                <w:color w:val="auto"/>
                <w:sz w:val="20"/>
                <w:szCs w:val="20"/>
                <w:shd w:val="clear" w:color="auto" w:fill="auto"/>
              </w:rPr>
              <w:t>）</w:t>
            </w:r>
            <w:r>
              <w:rPr>
                <w:rFonts w:hint="default" w:ascii="Times New Roman" w:hAnsi="Times New Roman" w:cs="Times New Roman"/>
                <w:color w:val="auto"/>
                <w:sz w:val="20"/>
                <w:szCs w:val="20"/>
                <w:shd w:val="clear" w:color="auto" w:fill="auto"/>
                <w:lang w:eastAsia="zh-CN"/>
              </w:rPr>
              <w:t>（重点管理</w:t>
            </w:r>
            <w:r>
              <w:rPr>
                <w:rFonts w:hint="eastAsia" w:ascii="Times New Roman" w:hAnsi="Times New Roman" w:cs="Times New Roman"/>
                <w:color w:val="auto"/>
                <w:sz w:val="20"/>
                <w:szCs w:val="20"/>
                <w:shd w:val="clear" w:color="auto" w:fill="auto"/>
                <w:lang w:eastAsia="zh-CN"/>
              </w:rPr>
              <w:t>）</w:t>
            </w:r>
          </w:p>
        </w:tc>
        <w:tc>
          <w:tcPr>
            <w:tcW w:w="249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cantSplit/>
          <w:trHeight w:val="283" w:hRule="atLeast"/>
          <w:jc w:val="center"/>
        </w:trPr>
        <w:tc>
          <w:tcPr>
            <w:tcW w:w="1382"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技术单位</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规模</w:t>
            </w:r>
          </w:p>
        </w:tc>
        <w:tc>
          <w:tcPr>
            <w:tcW w:w="518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从业人员＜10人</w:t>
            </w:r>
          </w:p>
        </w:tc>
        <w:tc>
          <w:tcPr>
            <w:tcW w:w="249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cantSplit/>
          <w:trHeight w:val="283" w:hRule="atLeast"/>
          <w:jc w:val="center"/>
        </w:trPr>
        <w:tc>
          <w:tcPr>
            <w:tcW w:w="138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8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10人≤从业人员＜100人</w:t>
            </w:r>
          </w:p>
        </w:tc>
        <w:tc>
          <w:tcPr>
            <w:tcW w:w="249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cantSplit/>
          <w:trHeight w:val="283" w:hRule="atLeast"/>
          <w:jc w:val="center"/>
        </w:trPr>
        <w:tc>
          <w:tcPr>
            <w:tcW w:w="138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8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从业人员≥100人</w:t>
            </w:r>
          </w:p>
        </w:tc>
        <w:tc>
          <w:tcPr>
            <w:tcW w:w="249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cantSplit/>
          <w:trHeight w:val="283" w:hRule="atLeast"/>
          <w:jc w:val="center"/>
        </w:trPr>
        <w:tc>
          <w:tcPr>
            <w:tcW w:w="1382"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排放污染物类型</w:t>
            </w:r>
          </w:p>
        </w:tc>
        <w:tc>
          <w:tcPr>
            <w:tcW w:w="5181" w:type="dxa"/>
            <w:vAlign w:val="center"/>
          </w:tcPr>
          <w:p>
            <w:pPr>
              <w:shd w:val="clear" w:color="auto" w:fill="auto"/>
              <w:snapToGrid w:val="0"/>
              <w:spacing w:before="0" w:beforeAutospacing="0" w:after="0" w:afterAutospacing="0" w:line="300" w:lineRule="exact"/>
              <w:ind w:left="0" w:right="0"/>
              <w:jc w:val="center"/>
              <w:rPr>
                <w:rFonts w:hint="eastAsia"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生活废水/Ⅰ类一般工业固体废物</w:t>
            </w:r>
            <w:r>
              <w:rPr>
                <w:rFonts w:hint="eastAsia" w:ascii="Times New Roman" w:hAnsi="Times New Roman" w:cs="Times New Roman"/>
                <w:color w:val="auto"/>
                <w:sz w:val="20"/>
                <w:szCs w:val="20"/>
                <w:shd w:val="clear" w:color="auto" w:fill="auto"/>
                <w:lang w:val="en-US" w:eastAsia="zh-CN"/>
              </w:rPr>
              <w:t>/规模以下畜禽养殖废水</w:t>
            </w:r>
          </w:p>
        </w:tc>
        <w:tc>
          <w:tcPr>
            <w:tcW w:w="249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cantSplit/>
          <w:trHeight w:val="283" w:hRule="atLeast"/>
          <w:jc w:val="center"/>
        </w:trPr>
        <w:tc>
          <w:tcPr>
            <w:tcW w:w="138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8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农业生产、畜禽养殖废气/工业扬尘废气/机械、汽车修理废气/服务业废水</w:t>
            </w:r>
            <w:r>
              <w:rPr>
                <w:rFonts w:hint="eastAsia" w:ascii="Times New Roman" w:hAnsi="Times New Roman" w:cs="Times New Roman"/>
                <w:color w:val="auto"/>
                <w:sz w:val="20"/>
                <w:szCs w:val="20"/>
                <w:shd w:val="clear" w:color="auto" w:fill="auto"/>
                <w:lang w:val="en-US" w:eastAsia="zh-CN"/>
              </w:rPr>
              <w:t>/规模化畜禽养殖废水</w:t>
            </w:r>
          </w:p>
        </w:tc>
        <w:tc>
          <w:tcPr>
            <w:tcW w:w="249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cantSplit/>
          <w:trHeight w:val="283" w:hRule="atLeast"/>
          <w:jc w:val="center"/>
        </w:trPr>
        <w:tc>
          <w:tcPr>
            <w:tcW w:w="138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8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一般工业废气/含恶臭污染物的废气/医疗废气/实验室废气/一般工业废水/Ⅱ类一般工业固体废物</w:t>
            </w:r>
          </w:p>
        </w:tc>
        <w:tc>
          <w:tcPr>
            <w:tcW w:w="249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cantSplit/>
          <w:trHeight w:val="283" w:hRule="atLeast"/>
          <w:jc w:val="center"/>
        </w:trPr>
        <w:tc>
          <w:tcPr>
            <w:tcW w:w="138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8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火电、钢铁、石化、水泥、炼焦、有色、化工废气、烟尘/燃煤锅炉废气、烟尘/含其他有毒有害物质的废水、医疗废水</w:t>
            </w:r>
          </w:p>
        </w:tc>
        <w:tc>
          <w:tcPr>
            <w:tcW w:w="249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cantSplit/>
          <w:trHeight w:val="283" w:hRule="atLeast"/>
          <w:jc w:val="center"/>
        </w:trPr>
        <w:tc>
          <w:tcPr>
            <w:tcW w:w="138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8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含有毒有害物质的废气/含一类污染物或重金属、病原体、放射性物质的废水/危险废物</w:t>
            </w:r>
          </w:p>
        </w:tc>
        <w:tc>
          <w:tcPr>
            <w:tcW w:w="249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cantSplit/>
          <w:trHeight w:val="283" w:hRule="atLeast"/>
          <w:jc w:val="center"/>
        </w:trPr>
        <w:tc>
          <w:tcPr>
            <w:tcW w:w="1382"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受处罚次数</w:t>
            </w:r>
          </w:p>
        </w:tc>
        <w:tc>
          <w:tcPr>
            <w:tcW w:w="518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两年内未受过同类处罚</w:t>
            </w:r>
          </w:p>
        </w:tc>
        <w:tc>
          <w:tcPr>
            <w:tcW w:w="249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cantSplit/>
          <w:trHeight w:val="283" w:hRule="atLeast"/>
          <w:jc w:val="center"/>
        </w:trPr>
        <w:tc>
          <w:tcPr>
            <w:tcW w:w="138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8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两年内受过同类处罚</w:t>
            </w:r>
            <w:r>
              <w:rPr>
                <w:rFonts w:hint="default" w:ascii="Times New Roman" w:hAnsi="Times New Roman" w:cs="Times New Roman"/>
                <w:color w:val="auto"/>
                <w:sz w:val="20"/>
                <w:szCs w:val="20"/>
                <w:shd w:val="clear" w:color="auto" w:fill="auto"/>
                <w:lang w:val="en-US" w:eastAsia="zh-CN"/>
              </w:rPr>
              <w:t>1次</w:t>
            </w:r>
          </w:p>
        </w:tc>
        <w:tc>
          <w:tcPr>
            <w:tcW w:w="249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cantSplit/>
          <w:trHeight w:val="283" w:hRule="atLeast"/>
          <w:jc w:val="center"/>
        </w:trPr>
        <w:tc>
          <w:tcPr>
            <w:tcW w:w="138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8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两年内受过同类处罚</w:t>
            </w:r>
            <w:r>
              <w:rPr>
                <w:rFonts w:hint="default" w:ascii="Times New Roman" w:hAnsi="Times New Roman" w:cs="Times New Roman"/>
                <w:color w:val="auto"/>
                <w:sz w:val="20"/>
                <w:szCs w:val="20"/>
                <w:shd w:val="clear" w:color="auto" w:fill="auto"/>
                <w:lang w:val="en-US" w:eastAsia="zh-CN"/>
              </w:rPr>
              <w:t>2次以上</w:t>
            </w:r>
          </w:p>
        </w:tc>
        <w:tc>
          <w:tcPr>
            <w:tcW w:w="249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5</w:t>
            </w:r>
          </w:p>
        </w:tc>
      </w:tr>
      <w:tr>
        <w:trPr>
          <w:cantSplit/>
          <w:trHeight w:val="283" w:hRule="atLeast"/>
          <w:jc w:val="center"/>
        </w:trPr>
        <w:tc>
          <w:tcPr>
            <w:tcW w:w="1382"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8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49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cantSplit/>
          <w:trHeight w:val="283" w:hRule="atLeast"/>
          <w:jc w:val="center"/>
        </w:trPr>
        <w:tc>
          <w:tcPr>
            <w:tcW w:w="138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8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49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cantSplit/>
          <w:trHeight w:val="283" w:hRule="atLeast"/>
          <w:jc w:val="center"/>
        </w:trPr>
        <w:tc>
          <w:tcPr>
            <w:tcW w:w="138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8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49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cantSplit/>
          <w:trHeight w:val="283" w:hRule="atLeast"/>
          <w:jc w:val="center"/>
        </w:trPr>
        <w:tc>
          <w:tcPr>
            <w:tcW w:w="138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8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49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cantSplit/>
          <w:trHeight w:val="283" w:hRule="atLeast"/>
          <w:jc w:val="center"/>
        </w:trPr>
        <w:tc>
          <w:tcPr>
            <w:tcW w:w="13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78" w:type="dxa"/>
            <w:gridSpan w:val="2"/>
            <w:vAlign w:val="center"/>
          </w:tcPr>
          <w:p>
            <w:pPr>
              <w:shd w:val="clear" w:color="auto" w:fill="auto"/>
              <w:snapToGrid w:val="0"/>
              <w:spacing w:before="0" w:beforeAutospacing="0" w:after="0" w:afterAutospacing="0" w:line="30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spacing w:line="288" w:lineRule="auto"/>
        <w:rPr>
          <w:rFonts w:hint="default" w:ascii="Times New Roman" w:hAnsi="Times New Roman" w:cs="Times New Roman"/>
          <w:color w:val="auto"/>
          <w:sz w:val="10"/>
          <w:szCs w:val="10"/>
          <w:shd w:val="clear" w:color="auto" w:fill="auto"/>
        </w:rPr>
      </w:pPr>
      <w:r>
        <w:rPr>
          <w:rFonts w:hint="default" w:ascii="Times New Roman" w:hAnsi="Times New Roman" w:cs="Times New Roman"/>
          <w:color w:val="auto"/>
          <w:sz w:val="10"/>
          <w:szCs w:val="10"/>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2769"/>
        <w:gridCol w:w="2918"/>
        <w:gridCol w:w="2074"/>
      </w:tblGrid>
      <w:tr>
        <w:trPr>
          <w:trHeight w:val="283" w:hRule="atLeast"/>
          <w:jc w:val="center"/>
        </w:trPr>
        <w:tc>
          <w:tcPr>
            <w:tcW w:w="9060" w:type="dxa"/>
            <w:gridSpan w:val="4"/>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（一）建设项目管理类</w:t>
            </w:r>
          </w:p>
        </w:tc>
      </w:tr>
      <w:tr>
        <w:trPr>
          <w:trHeight w:val="283" w:hRule="atLeast"/>
          <w:jc w:val="center"/>
        </w:trPr>
        <w:tc>
          <w:tcPr>
            <w:tcW w:w="1299"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61" w:type="dxa"/>
            <w:gridSpan w:val="3"/>
            <w:vAlign w:val="center"/>
          </w:tcPr>
          <w:p>
            <w:pPr>
              <w:shd w:val="clear" w:color="auto" w:fill="auto"/>
              <w:wordWrap/>
              <w:adjustRightInd/>
              <w:snapToGrid w:val="0"/>
              <w:spacing w:before="0" w:beforeAutospacing="0" w:after="0" w:afterAutospacing="0" w:line="29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26" w:name="_Toc25732"/>
            <w:r>
              <w:rPr>
                <w:rFonts w:hint="default" w:ascii="Times New Roman" w:hAnsi="Times New Roman" w:cs="Times New Roman"/>
                <w:color w:val="auto"/>
                <w:sz w:val="20"/>
                <w:szCs w:val="20"/>
                <w:shd w:val="clear" w:color="auto" w:fill="auto"/>
              </w:rPr>
              <w:t>5</w:t>
            </w:r>
            <w:bookmarkEnd w:id="26"/>
          </w:p>
        </w:tc>
      </w:tr>
      <w:tr>
        <w:trPr>
          <w:trHeight w:val="283" w:hRule="atLeast"/>
          <w:jc w:val="center"/>
        </w:trPr>
        <w:tc>
          <w:tcPr>
            <w:tcW w:w="1299"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61" w:type="dxa"/>
            <w:gridSpan w:val="3"/>
            <w:vAlign w:val="top"/>
          </w:tcPr>
          <w:p>
            <w:pPr>
              <w:shd w:val="clear" w:color="auto" w:fill="auto"/>
              <w:wordWrap/>
              <w:adjustRightInd/>
              <w:snapToGrid w:val="0"/>
              <w:spacing w:before="0" w:beforeAutospacing="0" w:after="0" w:afterAutospacing="0" w:line="290" w:lineRule="exact"/>
              <w:ind w:left="0" w:right="0" w:firstLine="420" w:firstLineChars="200"/>
              <w:textAlignment w:val="auto"/>
              <w:outlineLvl w:val="9"/>
              <w:rPr>
                <w:rFonts w:hint="default" w:ascii="Times New Roman" w:hAnsi="Times New Roman" w:cs="Times New Roman"/>
                <w:color w:val="auto"/>
                <w:sz w:val="20"/>
                <w:szCs w:val="20"/>
                <w:shd w:val="clear" w:color="auto" w:fill="auto"/>
              </w:rPr>
            </w:pPr>
            <w:bookmarkStart w:id="27" w:name="_Toc262"/>
            <w:r>
              <w:rPr>
                <w:rFonts w:hint="default" w:ascii="Times New Roman" w:hAnsi="Times New Roman" w:cs="Times New Roman"/>
                <w:color w:val="auto"/>
                <w:sz w:val="20"/>
                <w:szCs w:val="20"/>
                <w:shd w:val="clear" w:color="auto" w:fill="auto"/>
              </w:rPr>
              <w:t>编制建设项目初步设计未落实防治环境污染和生态破坏的措施以及环境保护设施投资概算，或者未将环境保护设施建设纳入施工合同的</w:t>
            </w:r>
            <w:bookmarkEnd w:id="27"/>
          </w:p>
        </w:tc>
      </w:tr>
      <w:tr>
        <w:trPr>
          <w:trHeight w:val="283" w:hRule="atLeast"/>
          <w:jc w:val="center"/>
        </w:trPr>
        <w:tc>
          <w:tcPr>
            <w:tcW w:w="1299"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61" w:type="dxa"/>
            <w:gridSpan w:val="3"/>
            <w:vAlign w:val="top"/>
          </w:tcPr>
          <w:p>
            <w:pPr>
              <w:pStyle w:val="19"/>
              <w:shd w:val="clear" w:color="auto" w:fill="auto"/>
              <w:wordWrap/>
              <w:adjustRightInd/>
              <w:snapToGrid w:val="0"/>
              <w:spacing w:before="0" w:beforeAutospacing="0" w:after="0" w:afterAutospacing="0" w:line="290" w:lineRule="exact"/>
              <w:ind w:left="0" w:right="0" w:firstLine="482"/>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《建设项目环境保护管理条例》第十六条</w:t>
            </w:r>
            <w:r>
              <w:rPr>
                <w:rFonts w:hint="default" w:ascii="Times New Roman" w:hAnsi="Times New Roman" w:cs="Times New Roman"/>
                <w:color w:val="auto"/>
                <w:sz w:val="21"/>
                <w:szCs w:val="21"/>
                <w:shd w:val="clear" w:color="auto" w:fill="auto"/>
              </w:rPr>
              <w:t xml:space="preserve"> 建设项目的初步设计，应当按照环境保护设计规范的要求，编制环境保护篇章，落实防治环境污染和生态破坏的措施以及环境保护设施投资概算。</w:t>
            </w:r>
          </w:p>
          <w:p>
            <w:pPr>
              <w:pStyle w:val="19"/>
              <w:shd w:val="clear" w:color="auto" w:fill="auto"/>
              <w:wordWrap/>
              <w:adjustRightInd/>
              <w:snapToGrid w:val="0"/>
              <w:spacing w:before="0" w:beforeAutospacing="0" w:after="0" w:afterAutospacing="0" w:line="290" w:lineRule="exact"/>
              <w:ind w:left="0" w:right="0" w:firstLine="482"/>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建设单位应当将环境保护设施建设纳入施工合同，保证环境保护设施建设进度和资金，并在项目建设过程中同时组织实施环境影响报告书、环境影响报告表及其审批部门审批决定中提出的环境保护对策措施。</w:t>
            </w:r>
          </w:p>
        </w:tc>
      </w:tr>
      <w:tr>
        <w:trPr>
          <w:trHeight w:val="283" w:hRule="atLeast"/>
          <w:jc w:val="center"/>
        </w:trPr>
        <w:tc>
          <w:tcPr>
            <w:tcW w:w="1299"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61" w:type="dxa"/>
            <w:gridSpan w:val="3"/>
            <w:vAlign w:val="top"/>
          </w:tcPr>
          <w:p>
            <w:pPr>
              <w:pStyle w:val="19"/>
              <w:shd w:val="clear" w:color="auto" w:fill="auto"/>
              <w:wordWrap/>
              <w:adjustRightInd/>
              <w:snapToGrid w:val="0"/>
              <w:spacing w:before="0" w:beforeAutospacing="0" w:after="0" w:afterAutospacing="0" w:line="29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《建设项目环境保护管理条例》第二十二条第一款</w:t>
            </w:r>
            <w:r>
              <w:rPr>
                <w:rFonts w:hint="default" w:ascii="Times New Roman" w:hAnsi="Times New Roman" w:cs="Times New Roman"/>
                <w:color w:val="auto"/>
                <w:sz w:val="21"/>
                <w:szCs w:val="21"/>
                <w:shd w:val="clear" w:color="auto" w:fill="auto"/>
              </w:rPr>
              <w:t xml:space="preserve"> 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万元以下的罚款；逾期不改正的，处20万元以上100万元以下的罚款。</w:t>
            </w:r>
          </w:p>
        </w:tc>
      </w:tr>
      <w:tr>
        <w:trPr>
          <w:trHeight w:val="283" w:hRule="atLeast"/>
          <w:jc w:val="center"/>
        </w:trPr>
        <w:tc>
          <w:tcPr>
            <w:tcW w:w="1299"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687" w:type="dxa"/>
            <w:gridSpan w:val="2"/>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07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jc w:val="center"/>
        </w:trPr>
        <w:tc>
          <w:tcPr>
            <w:tcW w:w="1299"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2769" w:type="dxa"/>
            <w:vMerge w:val="restart"/>
            <w:vAlign w:val="center"/>
          </w:tcPr>
          <w:p>
            <w:pPr>
              <w:pStyle w:val="18"/>
              <w:shd w:val="clear" w:color="auto" w:fill="auto"/>
              <w:wordWrap/>
              <w:adjustRightInd/>
              <w:snapToGrid w:val="0"/>
              <w:spacing w:before="0" w:beforeAutospacing="0" w:after="0" w:afterAutospacing="0" w:line="290" w:lineRule="exact"/>
              <w:ind w:left="0" w:right="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1.未落实防治环境污染和生态破坏的措施；</w:t>
            </w:r>
          </w:p>
          <w:p>
            <w:pPr>
              <w:pStyle w:val="18"/>
              <w:shd w:val="clear" w:color="auto" w:fill="auto"/>
              <w:wordWrap/>
              <w:adjustRightInd/>
              <w:snapToGrid w:val="0"/>
              <w:spacing w:before="0" w:beforeAutospacing="0" w:after="0" w:afterAutospacing="0" w:line="290" w:lineRule="exact"/>
              <w:ind w:left="0" w:right="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2.未落实环境保护设施投资概算；</w:t>
            </w:r>
          </w:p>
          <w:p>
            <w:pPr>
              <w:pStyle w:val="19"/>
              <w:shd w:val="clear" w:color="auto" w:fill="auto"/>
              <w:wordWrap/>
              <w:adjustRightInd/>
              <w:snapToGrid w:val="0"/>
              <w:spacing w:before="0" w:beforeAutospacing="0" w:after="0" w:afterAutospacing="0" w:line="290" w:lineRule="exact"/>
              <w:ind w:left="0" w:right="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3.未将环境保护设施建设纳入施工合同的。</w:t>
            </w:r>
          </w:p>
        </w:tc>
        <w:tc>
          <w:tcPr>
            <w:tcW w:w="2918" w:type="dxa"/>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存在其中任意一项问题的</w:t>
            </w:r>
          </w:p>
        </w:tc>
        <w:tc>
          <w:tcPr>
            <w:tcW w:w="207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299"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2769" w:type="dxa"/>
            <w:vMerge w:val="continue"/>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p>
        </w:tc>
        <w:tc>
          <w:tcPr>
            <w:tcW w:w="2918" w:type="dxa"/>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存在其中任意两项问题的</w:t>
            </w:r>
          </w:p>
        </w:tc>
        <w:tc>
          <w:tcPr>
            <w:tcW w:w="207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299"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2769" w:type="dxa"/>
            <w:vMerge w:val="continue"/>
            <w:vAlign w:val="center"/>
          </w:tcPr>
          <w:p>
            <w:pPr>
              <w:pStyle w:val="19"/>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p>
        </w:tc>
        <w:tc>
          <w:tcPr>
            <w:tcW w:w="2918" w:type="dxa"/>
            <w:vAlign w:val="center"/>
          </w:tcPr>
          <w:p>
            <w:pPr>
              <w:pStyle w:val="19"/>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存在三项问题的</w:t>
            </w:r>
          </w:p>
        </w:tc>
        <w:tc>
          <w:tcPr>
            <w:tcW w:w="207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299"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项目应报批的环评文件类别</w:t>
            </w:r>
          </w:p>
        </w:tc>
        <w:tc>
          <w:tcPr>
            <w:tcW w:w="5687" w:type="dxa"/>
            <w:gridSpan w:val="2"/>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报告表</w:t>
            </w:r>
          </w:p>
        </w:tc>
        <w:tc>
          <w:tcPr>
            <w:tcW w:w="207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299"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687" w:type="dxa"/>
            <w:gridSpan w:val="2"/>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报告书</w:t>
            </w:r>
            <w:r>
              <w:rPr>
                <w:rFonts w:hint="default" w:ascii="Times New Roman" w:hAnsi="Times New Roman" w:cs="Times New Roman"/>
                <w:color w:val="auto"/>
                <w:sz w:val="20"/>
                <w:szCs w:val="20"/>
                <w:shd w:val="clear" w:color="auto" w:fill="auto"/>
                <w:lang w:eastAsia="zh-CN"/>
              </w:rPr>
              <w:t>（非重点管理企业）</w:t>
            </w:r>
          </w:p>
        </w:tc>
        <w:tc>
          <w:tcPr>
            <w:tcW w:w="207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299"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687" w:type="dxa"/>
            <w:gridSpan w:val="2"/>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报告书（钢铁、火电、危废集中处置</w:t>
            </w:r>
            <w:r>
              <w:rPr>
                <w:rFonts w:hint="eastAsia" w:ascii="Times New Roman" w:hAnsi="Times New Roman" w:cs="Times New Roman"/>
                <w:color w:val="auto"/>
                <w:sz w:val="20"/>
                <w:szCs w:val="20"/>
                <w:shd w:val="clear" w:color="auto" w:fill="auto"/>
                <w:lang w:eastAsia="zh-CN"/>
              </w:rPr>
              <w:t>、</w:t>
            </w:r>
            <w:r>
              <w:rPr>
                <w:rFonts w:hint="default" w:ascii="Times New Roman" w:hAnsi="Times New Roman" w:cs="Times New Roman"/>
                <w:color w:val="auto"/>
                <w:sz w:val="20"/>
                <w:szCs w:val="20"/>
                <w:shd w:val="clear" w:color="auto" w:fill="auto"/>
              </w:rPr>
              <w:t>化工、电镀、皮革、造纸、制浆、冶炼、放射性、印染染料、炼焦、炼油、矿山开采项目</w:t>
            </w:r>
            <w:r>
              <w:rPr>
                <w:rFonts w:hint="eastAsia" w:ascii="Times New Roman" w:hAnsi="Times New Roman" w:cs="Times New Roman"/>
                <w:color w:val="auto"/>
                <w:sz w:val="20"/>
                <w:szCs w:val="20"/>
                <w:shd w:val="clear" w:color="auto" w:fill="auto"/>
                <w:lang w:val="en-US" w:eastAsia="zh-CN"/>
              </w:rPr>
              <w:t>等</w:t>
            </w:r>
            <w:r>
              <w:rPr>
                <w:rFonts w:hint="default" w:ascii="Times New Roman" w:hAnsi="Times New Roman" w:cs="Times New Roman"/>
                <w:color w:val="auto"/>
                <w:sz w:val="20"/>
                <w:szCs w:val="20"/>
                <w:shd w:val="clear" w:color="auto" w:fill="auto"/>
              </w:rPr>
              <w:t>）</w:t>
            </w:r>
            <w:r>
              <w:rPr>
                <w:rFonts w:hint="default" w:ascii="Times New Roman" w:hAnsi="Times New Roman" w:cs="Times New Roman"/>
                <w:color w:val="auto"/>
                <w:sz w:val="20"/>
                <w:szCs w:val="20"/>
                <w:shd w:val="clear" w:color="auto" w:fill="auto"/>
                <w:lang w:eastAsia="zh-CN"/>
              </w:rPr>
              <w:t>（重点管理</w:t>
            </w:r>
            <w:r>
              <w:rPr>
                <w:rFonts w:hint="eastAsia" w:ascii="Times New Roman" w:hAnsi="Times New Roman" w:cs="Times New Roman"/>
                <w:color w:val="auto"/>
                <w:sz w:val="20"/>
                <w:szCs w:val="20"/>
                <w:shd w:val="clear" w:color="auto" w:fill="auto"/>
                <w:lang w:eastAsia="zh-CN"/>
              </w:rPr>
              <w:t>）</w:t>
            </w:r>
          </w:p>
        </w:tc>
        <w:tc>
          <w:tcPr>
            <w:tcW w:w="207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299"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地点</w:t>
            </w:r>
          </w:p>
        </w:tc>
        <w:tc>
          <w:tcPr>
            <w:tcW w:w="5687" w:type="dxa"/>
            <w:gridSpan w:val="2"/>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符合环境功能区划</w:t>
            </w:r>
          </w:p>
        </w:tc>
        <w:tc>
          <w:tcPr>
            <w:tcW w:w="207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299"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687" w:type="dxa"/>
            <w:gridSpan w:val="2"/>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不符合环境功能区划，但不在保护区内</w:t>
            </w:r>
          </w:p>
        </w:tc>
        <w:tc>
          <w:tcPr>
            <w:tcW w:w="207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jc w:val="center"/>
        </w:trPr>
        <w:tc>
          <w:tcPr>
            <w:tcW w:w="1299"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687" w:type="dxa"/>
            <w:gridSpan w:val="2"/>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饮用水水源准保护区</w:t>
            </w:r>
          </w:p>
        </w:tc>
        <w:tc>
          <w:tcPr>
            <w:tcW w:w="207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299"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687" w:type="dxa"/>
            <w:gridSpan w:val="2"/>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位于自然保护区实验区/饮用水水源二级保护区</w:t>
            </w:r>
          </w:p>
        </w:tc>
        <w:tc>
          <w:tcPr>
            <w:tcW w:w="207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jc w:val="center"/>
        </w:trPr>
        <w:tc>
          <w:tcPr>
            <w:tcW w:w="1299"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687" w:type="dxa"/>
            <w:gridSpan w:val="2"/>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位于自然保护区缓冲区/位于自然保护区核心区/饮用水水源一级保护区</w:t>
            </w:r>
          </w:p>
        </w:tc>
        <w:tc>
          <w:tcPr>
            <w:tcW w:w="207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299"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污染物类别</w:t>
            </w:r>
          </w:p>
        </w:tc>
        <w:tc>
          <w:tcPr>
            <w:tcW w:w="5687" w:type="dxa"/>
            <w:gridSpan w:val="2"/>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生活废水</w:t>
            </w:r>
            <w:r>
              <w:rPr>
                <w:rFonts w:hint="eastAsia" w:ascii="Times New Roman" w:hAnsi="Times New Roman" w:cs="Times New Roman"/>
                <w:color w:val="auto"/>
                <w:sz w:val="20"/>
                <w:szCs w:val="20"/>
                <w:shd w:val="clear" w:color="auto" w:fill="auto"/>
                <w:lang w:val="en-US" w:eastAsia="zh-CN"/>
              </w:rPr>
              <w:t>/规模以下畜禽养殖废水</w:t>
            </w:r>
            <w:r>
              <w:rPr>
                <w:rFonts w:hint="default" w:ascii="Times New Roman" w:hAnsi="Times New Roman" w:cs="Times New Roman"/>
                <w:color w:val="auto"/>
                <w:sz w:val="20"/>
                <w:szCs w:val="20"/>
                <w:shd w:val="clear" w:color="auto" w:fill="auto"/>
              </w:rPr>
              <w:t>/Ⅰ类一般工业固体废物</w:t>
            </w:r>
          </w:p>
        </w:tc>
        <w:tc>
          <w:tcPr>
            <w:tcW w:w="207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425" w:hRule="atLeast"/>
          <w:jc w:val="center"/>
        </w:trPr>
        <w:tc>
          <w:tcPr>
            <w:tcW w:w="1299"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687" w:type="dxa"/>
            <w:gridSpan w:val="2"/>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农业生产、畜禽养殖废气/工业扬尘废气/机械、汽车修理废气/服务业废水</w:t>
            </w:r>
            <w:r>
              <w:rPr>
                <w:rFonts w:hint="eastAsia" w:ascii="Times New Roman" w:hAnsi="Times New Roman" w:cs="Times New Roman"/>
                <w:color w:val="auto"/>
                <w:sz w:val="20"/>
                <w:szCs w:val="20"/>
                <w:shd w:val="clear" w:color="auto" w:fill="auto"/>
                <w:lang w:val="en-US" w:eastAsia="zh-CN"/>
              </w:rPr>
              <w:t>/规模化畜禽养殖废水</w:t>
            </w:r>
          </w:p>
        </w:tc>
        <w:tc>
          <w:tcPr>
            <w:tcW w:w="207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25" w:hRule="atLeast"/>
          <w:jc w:val="center"/>
        </w:trPr>
        <w:tc>
          <w:tcPr>
            <w:tcW w:w="1299"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687" w:type="dxa"/>
            <w:gridSpan w:val="2"/>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一般工业废气/含恶臭污染物的废气/医疗废气/实验室废气/一般工业废水/Ⅱ类一般工业固体废物</w:t>
            </w:r>
          </w:p>
        </w:tc>
        <w:tc>
          <w:tcPr>
            <w:tcW w:w="207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25" w:hRule="atLeast"/>
          <w:jc w:val="center"/>
        </w:trPr>
        <w:tc>
          <w:tcPr>
            <w:tcW w:w="1299"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687" w:type="dxa"/>
            <w:gridSpan w:val="2"/>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火电、钢铁、石化、水泥、炼焦、有色、化工废气、烟尘/燃煤锅炉废气、烟尘/含其他有毒有害物质的废水、医疗废水</w:t>
            </w:r>
          </w:p>
        </w:tc>
        <w:tc>
          <w:tcPr>
            <w:tcW w:w="207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425" w:hRule="atLeast"/>
          <w:jc w:val="center"/>
        </w:trPr>
        <w:tc>
          <w:tcPr>
            <w:tcW w:w="1299"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687" w:type="dxa"/>
            <w:gridSpan w:val="2"/>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含有毒有害物质的废气/含一类污染物或重金属、病原体、放射性物质的废水/危险废物</w:t>
            </w:r>
          </w:p>
        </w:tc>
        <w:tc>
          <w:tcPr>
            <w:tcW w:w="207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5</w:t>
            </w:r>
          </w:p>
        </w:tc>
      </w:tr>
      <w:tr>
        <w:trPr>
          <w:trHeight w:val="425" w:hRule="atLeast"/>
          <w:jc w:val="center"/>
        </w:trPr>
        <w:tc>
          <w:tcPr>
            <w:tcW w:w="1299"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687" w:type="dxa"/>
            <w:gridSpan w:val="2"/>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07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283" w:hRule="atLeast"/>
          <w:jc w:val="center"/>
        </w:trPr>
        <w:tc>
          <w:tcPr>
            <w:tcW w:w="1299"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687" w:type="dxa"/>
            <w:gridSpan w:val="2"/>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3天以下</w:t>
            </w:r>
          </w:p>
        </w:tc>
        <w:tc>
          <w:tcPr>
            <w:tcW w:w="207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283" w:hRule="atLeast"/>
          <w:jc w:val="center"/>
        </w:trPr>
        <w:tc>
          <w:tcPr>
            <w:tcW w:w="1299"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687" w:type="dxa"/>
            <w:gridSpan w:val="2"/>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07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283" w:hRule="atLeast"/>
          <w:jc w:val="center"/>
        </w:trPr>
        <w:tc>
          <w:tcPr>
            <w:tcW w:w="1299"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687" w:type="dxa"/>
            <w:gridSpan w:val="2"/>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07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283" w:hRule="atLeast"/>
          <w:jc w:val="center"/>
        </w:trPr>
        <w:tc>
          <w:tcPr>
            <w:tcW w:w="129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lang w:eastAsia="zh-CN"/>
              </w:rPr>
              <w:t>受处罚次数</w:t>
            </w:r>
          </w:p>
        </w:tc>
        <w:tc>
          <w:tcPr>
            <w:tcW w:w="56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rPr>
              <w:t>两年内未受到过同类处罚</w:t>
            </w:r>
          </w:p>
        </w:tc>
        <w:tc>
          <w:tcPr>
            <w:tcW w:w="2074"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rPr>
              <w:t>1</w:t>
            </w:r>
          </w:p>
        </w:tc>
      </w:tr>
      <w:tr>
        <w:trPr>
          <w:trHeight w:val="283"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rPr>
              <w:t>两年内受到同类处罚1次</w:t>
            </w:r>
          </w:p>
        </w:tc>
        <w:tc>
          <w:tcPr>
            <w:tcW w:w="2074"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rPr>
              <w:t>3</w:t>
            </w:r>
          </w:p>
        </w:tc>
      </w:tr>
      <w:tr>
        <w:trPr>
          <w:trHeight w:val="283"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rPr>
              <w:t>两年内受到同类处罚2次以上</w:t>
            </w:r>
          </w:p>
        </w:tc>
        <w:tc>
          <w:tcPr>
            <w:tcW w:w="2074"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rPr>
              <w:t>5</w:t>
            </w:r>
          </w:p>
        </w:tc>
      </w:tr>
      <w:tr>
        <w:trPr>
          <w:trHeight w:val="283" w:hRule="atLeast"/>
          <w:jc w:val="center"/>
        </w:trPr>
        <w:tc>
          <w:tcPr>
            <w:tcW w:w="1299"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687" w:type="dxa"/>
            <w:gridSpan w:val="2"/>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07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283" w:hRule="atLeast"/>
          <w:jc w:val="center"/>
        </w:trPr>
        <w:tc>
          <w:tcPr>
            <w:tcW w:w="1299"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687" w:type="dxa"/>
            <w:gridSpan w:val="2"/>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07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283" w:hRule="atLeast"/>
          <w:jc w:val="center"/>
        </w:trPr>
        <w:tc>
          <w:tcPr>
            <w:tcW w:w="1299"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687" w:type="dxa"/>
            <w:gridSpan w:val="2"/>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07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283" w:hRule="atLeast"/>
          <w:jc w:val="center"/>
        </w:trPr>
        <w:tc>
          <w:tcPr>
            <w:tcW w:w="1299"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687" w:type="dxa"/>
            <w:gridSpan w:val="2"/>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07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83" w:hRule="atLeast"/>
          <w:jc w:val="center"/>
        </w:trPr>
        <w:tc>
          <w:tcPr>
            <w:tcW w:w="129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61" w:type="dxa"/>
            <w:gridSpan w:val="3"/>
            <w:vAlign w:val="top"/>
          </w:tcPr>
          <w:p>
            <w:pPr>
              <w:shd w:val="clear" w:color="auto" w:fill="auto"/>
              <w:snapToGrid w:val="0"/>
              <w:spacing w:before="0" w:beforeAutospacing="0" w:after="0" w:afterAutospacing="0" w:line="300" w:lineRule="exact"/>
              <w:ind w:left="0" w:right="0" w:firstLine="42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首次发现违法行为M值为20万元，N值为5万元；逾期不改正的，M值为100万元，N值为20万元。</w:t>
            </w:r>
          </w:p>
        </w:tc>
      </w:tr>
    </w:tbl>
    <w:p>
      <w:pPr>
        <w:shd w:val="clear" w:color="auto" w:fill="auto"/>
        <w:snapToGrid w:val="0"/>
        <w:rPr>
          <w:rFonts w:hint="default" w:ascii="Times New Roman" w:hAnsi="Times New Roman" w:cs="Times New Roman"/>
          <w:color w:val="auto"/>
          <w:sz w:val="10"/>
          <w:szCs w:val="10"/>
          <w:shd w:val="clear" w:color="auto" w:fill="auto"/>
        </w:rPr>
      </w:pPr>
    </w:p>
    <w:p>
      <w:pPr>
        <w:shd w:val="clear" w:color="auto" w:fill="auto"/>
        <w:snapToGrid w:val="0"/>
        <w:rPr>
          <w:rFonts w:hint="default" w:ascii="Times New Roman" w:hAnsi="Times New Roman" w:cs="Times New Roman"/>
          <w:color w:val="auto"/>
          <w:sz w:val="10"/>
          <w:szCs w:val="10"/>
          <w:shd w:val="clear" w:color="auto" w:fill="auto"/>
        </w:rPr>
      </w:pPr>
      <w:r>
        <w:rPr>
          <w:rFonts w:hint="default" w:ascii="Times New Roman" w:hAnsi="Times New Roman" w:cs="Times New Roman"/>
          <w:color w:val="auto"/>
          <w:sz w:val="10"/>
          <w:szCs w:val="10"/>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5193"/>
        <w:gridCol w:w="2520"/>
      </w:tblGrid>
      <w:tr>
        <w:trPr>
          <w:trHeight w:val="227" w:hRule="atLeast"/>
          <w:jc w:val="center"/>
        </w:trPr>
        <w:tc>
          <w:tcPr>
            <w:tcW w:w="9060" w:type="dxa"/>
            <w:gridSpan w:val="3"/>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（一）建设项目管理类</w:t>
            </w:r>
          </w:p>
        </w:tc>
      </w:tr>
      <w:tr>
        <w:trPr>
          <w:trHeight w:val="227" w:hRule="atLeast"/>
          <w:jc w:val="center"/>
        </w:trPr>
        <w:tc>
          <w:tcPr>
            <w:tcW w:w="1347"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13" w:type="dxa"/>
            <w:gridSpan w:val="2"/>
            <w:vAlign w:val="center"/>
          </w:tcPr>
          <w:p>
            <w:pPr>
              <w:shd w:val="clear" w:color="auto" w:fill="auto"/>
              <w:wordWrap/>
              <w:adjustRightInd/>
              <w:snapToGrid w:val="0"/>
              <w:spacing w:before="0" w:beforeAutospacing="0" w:after="0" w:afterAutospacing="0" w:line="26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28" w:name="_Toc3774"/>
            <w:r>
              <w:rPr>
                <w:rFonts w:hint="default" w:ascii="Times New Roman" w:hAnsi="Times New Roman" w:cs="Times New Roman"/>
                <w:color w:val="auto"/>
                <w:sz w:val="20"/>
                <w:szCs w:val="20"/>
                <w:shd w:val="clear" w:color="auto" w:fill="auto"/>
              </w:rPr>
              <w:t>6</w:t>
            </w:r>
            <w:bookmarkEnd w:id="28"/>
          </w:p>
        </w:tc>
      </w:tr>
      <w:tr>
        <w:trPr>
          <w:trHeight w:val="227" w:hRule="atLeast"/>
          <w:jc w:val="center"/>
        </w:trPr>
        <w:tc>
          <w:tcPr>
            <w:tcW w:w="1347"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13" w:type="dxa"/>
            <w:gridSpan w:val="2"/>
            <w:vAlign w:val="center"/>
          </w:tcPr>
          <w:p>
            <w:pPr>
              <w:shd w:val="clear" w:color="auto" w:fill="auto"/>
              <w:wordWrap/>
              <w:adjustRightInd/>
              <w:snapToGrid w:val="0"/>
              <w:spacing w:before="0" w:beforeAutospacing="0" w:after="0" w:afterAutospacing="0" w:line="26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29" w:name="_Toc11276"/>
            <w:r>
              <w:rPr>
                <w:rFonts w:hint="default" w:ascii="Times New Roman" w:hAnsi="Times New Roman" w:cs="Times New Roman"/>
                <w:color w:val="auto"/>
                <w:sz w:val="20"/>
                <w:szCs w:val="20"/>
                <w:shd w:val="clear" w:color="auto" w:fill="auto"/>
              </w:rPr>
              <w:t>未依法开展环境影响后评价的</w:t>
            </w:r>
            <w:bookmarkEnd w:id="29"/>
          </w:p>
        </w:tc>
      </w:tr>
      <w:tr>
        <w:trPr>
          <w:trHeight w:val="227" w:hRule="atLeast"/>
          <w:jc w:val="center"/>
        </w:trPr>
        <w:tc>
          <w:tcPr>
            <w:tcW w:w="1347"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13" w:type="dxa"/>
            <w:gridSpan w:val="2"/>
            <w:vAlign w:val="top"/>
          </w:tcPr>
          <w:p>
            <w:pPr>
              <w:shd w:val="clear" w:color="auto" w:fill="auto"/>
              <w:wordWrap/>
              <w:adjustRightInd/>
              <w:snapToGrid w:val="0"/>
              <w:spacing w:before="0" w:beforeAutospacing="0" w:after="0" w:afterAutospacing="0" w:line="260" w:lineRule="exact"/>
              <w:ind w:left="0" w:right="0" w:firstLine="310" w:firstLineChars="147"/>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《建设项目环境保护管理条例》第十九条</w:t>
            </w:r>
            <w:r>
              <w:rPr>
                <w:rFonts w:hint="default" w:ascii="Times New Roman" w:hAnsi="Times New Roman" w:cs="Times New Roman"/>
                <w:color w:val="auto"/>
                <w:sz w:val="20"/>
                <w:szCs w:val="20"/>
                <w:shd w:val="clear" w:color="auto" w:fill="auto"/>
              </w:rPr>
              <w:t xml:space="preserve"> 编制环境影响报告书、环境影响报告表的建设项目，其配套建设的环境保护设施经验收合格，方可投入生产或者使用；未经验收或者验收不合格的，不得投入生产或者使用。</w:t>
            </w:r>
          </w:p>
          <w:p>
            <w:pPr>
              <w:pStyle w:val="19"/>
              <w:shd w:val="clear" w:color="auto" w:fill="auto"/>
              <w:wordWrap/>
              <w:adjustRightInd/>
              <w:snapToGrid w:val="0"/>
              <w:spacing w:before="0" w:beforeAutospacing="0" w:after="0" w:afterAutospacing="0" w:line="260" w:lineRule="exact"/>
              <w:ind w:left="0" w:right="0" w:firstLine="420" w:firstLineChars="20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前款规定的建设项目投入生产或者使用后，应当按照国务院环境保护行政主管部门的规定开展环境影响后评价。</w:t>
            </w:r>
          </w:p>
          <w:p>
            <w:pPr>
              <w:pStyle w:val="19"/>
              <w:shd w:val="clear" w:color="auto" w:fill="auto"/>
              <w:wordWrap/>
              <w:adjustRightInd/>
              <w:snapToGrid w:val="0"/>
              <w:spacing w:before="0" w:beforeAutospacing="0" w:after="0" w:afterAutospacing="0" w:line="260" w:lineRule="exact"/>
              <w:ind w:left="0" w:right="0" w:firstLine="422" w:firstLineChars="20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kern w:val="2"/>
                <w:sz w:val="21"/>
                <w:szCs w:val="21"/>
                <w:shd w:val="clear" w:color="auto" w:fill="auto"/>
              </w:rPr>
              <w:t xml:space="preserve">《建设项目环境影响后评价管理办法（试行）》第三条 </w:t>
            </w:r>
            <w:r>
              <w:rPr>
                <w:rFonts w:hint="default" w:ascii="Times New Roman" w:hAnsi="Times New Roman" w:cs="Times New Roman"/>
                <w:color w:val="auto"/>
                <w:sz w:val="21"/>
                <w:szCs w:val="21"/>
                <w:shd w:val="clear" w:color="auto" w:fill="auto"/>
              </w:rPr>
              <w:t>下列建设项目运行过程中产生不符合经审批的环境影响报告书情形的，应当开展环境影响后评价：（一）水利、水电、采掘、港口、铁路行业中实际环境影响程度和范围较大，且主要环境影响在项目建成运行一定时期后逐步显现的建设项目，以及其他行业中穿越重要生态环境敏感区的建设项目；（二）冶金、石化和化工行业中有重大环境风险，建设地点敏感，且持续排放重金属或者持久性有机污染物的建设项目；（三）审批环境影响报告书的环境保护主管部门认为应当开展环境影响后评价的其他建设项目。</w:t>
            </w:r>
          </w:p>
        </w:tc>
      </w:tr>
      <w:tr>
        <w:trPr>
          <w:trHeight w:val="227" w:hRule="atLeast"/>
          <w:jc w:val="center"/>
        </w:trPr>
        <w:tc>
          <w:tcPr>
            <w:tcW w:w="1347"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13" w:type="dxa"/>
            <w:gridSpan w:val="2"/>
            <w:vAlign w:val="top"/>
          </w:tcPr>
          <w:p>
            <w:pPr>
              <w:pStyle w:val="19"/>
              <w:shd w:val="clear" w:color="auto" w:fill="auto"/>
              <w:wordWrap/>
              <w:adjustRightInd/>
              <w:snapToGrid w:val="0"/>
              <w:spacing w:before="0" w:beforeAutospacing="0" w:after="0" w:afterAutospacing="0" w:line="26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《建设项目环境保护管理条例》第二十二条第一款</w:t>
            </w:r>
            <w:r>
              <w:rPr>
                <w:rFonts w:hint="default" w:ascii="Times New Roman" w:hAnsi="Times New Roman" w:cs="Times New Roman"/>
                <w:color w:val="auto"/>
                <w:sz w:val="21"/>
                <w:szCs w:val="21"/>
                <w:shd w:val="clear" w:color="auto" w:fill="auto"/>
              </w:rPr>
              <w:t xml:space="preserve"> 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万元以下的罚款；逾期不改正的，处20万元以上100万元以下的罚款。</w:t>
            </w:r>
          </w:p>
        </w:tc>
      </w:tr>
      <w:tr>
        <w:trPr>
          <w:trHeight w:val="227" w:hRule="atLeast"/>
          <w:jc w:val="center"/>
        </w:trPr>
        <w:tc>
          <w:tcPr>
            <w:tcW w:w="1347"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93"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20"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227" w:hRule="atLeast"/>
          <w:jc w:val="center"/>
        </w:trPr>
        <w:tc>
          <w:tcPr>
            <w:tcW w:w="1347" w:type="dxa"/>
            <w:vMerge w:val="restart"/>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93" w:type="dxa"/>
            <w:vAlign w:val="center"/>
          </w:tcPr>
          <w:p>
            <w:pPr>
              <w:widowControl/>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后评价已开展但不符合要求</w:t>
            </w:r>
          </w:p>
        </w:tc>
        <w:tc>
          <w:tcPr>
            <w:tcW w:w="2520"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227" w:hRule="atLeast"/>
          <w:jc w:val="center"/>
        </w:trPr>
        <w:tc>
          <w:tcPr>
            <w:tcW w:w="1347" w:type="dxa"/>
            <w:vMerge w:val="continue"/>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93" w:type="dxa"/>
            <w:vAlign w:val="center"/>
          </w:tcPr>
          <w:p>
            <w:pPr>
              <w:widowControl/>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未落实后评价提出的补救措施或者整改要求</w:t>
            </w:r>
          </w:p>
        </w:tc>
        <w:tc>
          <w:tcPr>
            <w:tcW w:w="2520"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227" w:hRule="atLeast"/>
          <w:jc w:val="center"/>
        </w:trPr>
        <w:tc>
          <w:tcPr>
            <w:tcW w:w="1347" w:type="dxa"/>
            <w:vMerge w:val="continue"/>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93" w:type="dxa"/>
            <w:vAlign w:val="center"/>
          </w:tcPr>
          <w:p>
            <w:pPr>
              <w:widowControl/>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未进行后评价或者在后评价中弄虚作假</w:t>
            </w:r>
          </w:p>
        </w:tc>
        <w:tc>
          <w:tcPr>
            <w:tcW w:w="2520"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27" w:hRule="atLeast"/>
          <w:jc w:val="center"/>
        </w:trPr>
        <w:tc>
          <w:tcPr>
            <w:tcW w:w="1347" w:type="dxa"/>
            <w:vMerge w:val="restart"/>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项目应报批的环评文件类别</w:t>
            </w:r>
          </w:p>
        </w:tc>
        <w:tc>
          <w:tcPr>
            <w:tcW w:w="5193" w:type="dxa"/>
            <w:vAlign w:val="center"/>
          </w:tcPr>
          <w:p>
            <w:pPr>
              <w:pStyle w:val="18"/>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报告表</w:t>
            </w:r>
          </w:p>
        </w:tc>
        <w:tc>
          <w:tcPr>
            <w:tcW w:w="2520"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227" w:hRule="atLeast"/>
          <w:jc w:val="center"/>
        </w:trPr>
        <w:tc>
          <w:tcPr>
            <w:tcW w:w="1347" w:type="dxa"/>
            <w:vMerge w:val="continue"/>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93"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报告书</w:t>
            </w:r>
            <w:r>
              <w:rPr>
                <w:rFonts w:hint="default" w:ascii="Times New Roman" w:hAnsi="Times New Roman" w:cs="Times New Roman"/>
                <w:color w:val="auto"/>
                <w:sz w:val="20"/>
                <w:szCs w:val="20"/>
                <w:shd w:val="clear" w:color="auto" w:fill="auto"/>
                <w:lang w:eastAsia="zh-CN"/>
              </w:rPr>
              <w:t>（非重点管理企业）</w:t>
            </w:r>
          </w:p>
        </w:tc>
        <w:tc>
          <w:tcPr>
            <w:tcW w:w="2520"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227" w:hRule="atLeast"/>
          <w:jc w:val="center"/>
        </w:trPr>
        <w:tc>
          <w:tcPr>
            <w:tcW w:w="1347" w:type="dxa"/>
            <w:vMerge w:val="continue"/>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93"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报告书（钢铁、火电、危废集中处置</w:t>
            </w:r>
            <w:r>
              <w:rPr>
                <w:rFonts w:hint="eastAsia" w:ascii="Times New Roman" w:hAnsi="Times New Roman" w:cs="Times New Roman"/>
                <w:color w:val="auto"/>
                <w:sz w:val="20"/>
                <w:szCs w:val="20"/>
                <w:shd w:val="clear" w:color="auto" w:fill="auto"/>
                <w:lang w:eastAsia="zh-CN"/>
              </w:rPr>
              <w:t>、</w:t>
            </w:r>
            <w:r>
              <w:rPr>
                <w:rFonts w:hint="default" w:ascii="Times New Roman" w:hAnsi="Times New Roman" w:cs="Times New Roman"/>
                <w:color w:val="auto"/>
                <w:sz w:val="20"/>
                <w:szCs w:val="20"/>
                <w:shd w:val="clear" w:color="auto" w:fill="auto"/>
              </w:rPr>
              <w:t>化工、电镀、皮革、造纸、制浆、冶炼、放射性、印染染料、炼焦、炼油、矿山开采项目</w:t>
            </w:r>
            <w:r>
              <w:rPr>
                <w:rFonts w:hint="eastAsia" w:ascii="Times New Roman" w:hAnsi="Times New Roman" w:cs="Times New Roman"/>
                <w:color w:val="auto"/>
                <w:sz w:val="20"/>
                <w:szCs w:val="20"/>
                <w:shd w:val="clear" w:color="auto" w:fill="auto"/>
                <w:lang w:val="en-US" w:eastAsia="zh-CN"/>
              </w:rPr>
              <w:t>等</w:t>
            </w:r>
            <w:r>
              <w:rPr>
                <w:rFonts w:hint="default" w:ascii="Times New Roman" w:hAnsi="Times New Roman" w:cs="Times New Roman"/>
                <w:color w:val="auto"/>
                <w:sz w:val="20"/>
                <w:szCs w:val="20"/>
                <w:shd w:val="clear" w:color="auto" w:fill="auto"/>
              </w:rPr>
              <w:t>）</w:t>
            </w:r>
            <w:r>
              <w:rPr>
                <w:rFonts w:hint="default" w:ascii="Times New Roman" w:hAnsi="Times New Roman" w:cs="Times New Roman"/>
                <w:color w:val="auto"/>
                <w:sz w:val="20"/>
                <w:szCs w:val="20"/>
                <w:shd w:val="clear" w:color="auto" w:fill="auto"/>
                <w:lang w:eastAsia="zh-CN"/>
              </w:rPr>
              <w:t>（重点管理</w:t>
            </w:r>
            <w:r>
              <w:rPr>
                <w:rFonts w:hint="eastAsia" w:ascii="Times New Roman" w:hAnsi="Times New Roman" w:cs="Times New Roman"/>
                <w:color w:val="auto"/>
                <w:sz w:val="20"/>
                <w:szCs w:val="20"/>
                <w:shd w:val="clear" w:color="auto" w:fill="auto"/>
                <w:lang w:eastAsia="zh-CN"/>
              </w:rPr>
              <w:t>）</w:t>
            </w:r>
          </w:p>
        </w:tc>
        <w:tc>
          <w:tcPr>
            <w:tcW w:w="2520"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27" w:hRule="atLeast"/>
          <w:jc w:val="center"/>
        </w:trPr>
        <w:tc>
          <w:tcPr>
            <w:tcW w:w="1347" w:type="dxa"/>
            <w:vMerge w:val="restart"/>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地点</w:t>
            </w:r>
          </w:p>
        </w:tc>
        <w:tc>
          <w:tcPr>
            <w:tcW w:w="5193"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符合环境功能区划</w:t>
            </w:r>
          </w:p>
        </w:tc>
        <w:tc>
          <w:tcPr>
            <w:tcW w:w="2520"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227" w:hRule="atLeast"/>
          <w:jc w:val="center"/>
        </w:trPr>
        <w:tc>
          <w:tcPr>
            <w:tcW w:w="1347" w:type="dxa"/>
            <w:vMerge w:val="continue"/>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93"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不符合环境功能区划，但不在保护区内</w:t>
            </w:r>
          </w:p>
        </w:tc>
        <w:tc>
          <w:tcPr>
            <w:tcW w:w="2520"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227" w:hRule="atLeast"/>
          <w:jc w:val="center"/>
        </w:trPr>
        <w:tc>
          <w:tcPr>
            <w:tcW w:w="1347" w:type="dxa"/>
            <w:vMerge w:val="continue"/>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93"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饮用水水源准保护区</w:t>
            </w:r>
          </w:p>
        </w:tc>
        <w:tc>
          <w:tcPr>
            <w:tcW w:w="2520"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227" w:hRule="atLeast"/>
          <w:jc w:val="center"/>
        </w:trPr>
        <w:tc>
          <w:tcPr>
            <w:tcW w:w="1347" w:type="dxa"/>
            <w:vMerge w:val="continue"/>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93"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位于自然保护区实验区/饮用水水源二级保护区</w:t>
            </w:r>
          </w:p>
        </w:tc>
        <w:tc>
          <w:tcPr>
            <w:tcW w:w="2520"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227" w:hRule="atLeast"/>
          <w:jc w:val="center"/>
        </w:trPr>
        <w:tc>
          <w:tcPr>
            <w:tcW w:w="1347" w:type="dxa"/>
            <w:vMerge w:val="continue"/>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93"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位于自然保护区缓冲区/位于自然保护区核心区/饮用水水源一级保护区</w:t>
            </w:r>
          </w:p>
        </w:tc>
        <w:tc>
          <w:tcPr>
            <w:tcW w:w="2520"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27" w:hRule="atLeast"/>
          <w:jc w:val="center"/>
        </w:trPr>
        <w:tc>
          <w:tcPr>
            <w:tcW w:w="1347" w:type="dxa"/>
            <w:vMerge w:val="restart"/>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rPr>
              <w:t>违法</w:t>
            </w:r>
            <w:r>
              <w:rPr>
                <w:rFonts w:hint="default" w:ascii="Times New Roman" w:hAnsi="Times New Roman" w:cs="Times New Roman"/>
                <w:b/>
                <w:bCs/>
                <w:color w:val="auto"/>
                <w:sz w:val="20"/>
                <w:szCs w:val="20"/>
                <w:shd w:val="clear" w:color="auto" w:fill="auto"/>
                <w:lang w:val="en-US"/>
              </w:rPr>
              <w:t>行为</w:t>
            </w:r>
          </w:p>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持续</w:t>
            </w:r>
            <w:r>
              <w:rPr>
                <w:rFonts w:hint="default" w:ascii="Times New Roman" w:hAnsi="Times New Roman" w:cs="Times New Roman"/>
                <w:b/>
                <w:bCs/>
                <w:color w:val="auto"/>
                <w:sz w:val="20"/>
                <w:szCs w:val="20"/>
                <w:shd w:val="clear" w:color="auto" w:fill="auto"/>
              </w:rPr>
              <w:t>时间</w:t>
            </w:r>
          </w:p>
        </w:tc>
        <w:tc>
          <w:tcPr>
            <w:tcW w:w="5193" w:type="dxa"/>
            <w:vAlign w:val="center"/>
          </w:tcPr>
          <w:p>
            <w:pPr>
              <w:widowControl w:val="0"/>
              <w:shd w:val="clear" w:color="auto" w:fill="auto"/>
              <w:wordWrap/>
              <w:adjustRightInd/>
              <w:snapToGrid w:val="0"/>
              <w:spacing w:before="0" w:beforeAutospacing="0" w:after="0" w:afterAutospacing="0" w:line="26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520"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227" w:hRule="atLeast"/>
          <w:jc w:val="center"/>
        </w:trPr>
        <w:tc>
          <w:tcPr>
            <w:tcW w:w="1347" w:type="dxa"/>
            <w:vMerge w:val="continue"/>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93" w:type="dxa"/>
            <w:vAlign w:val="center"/>
          </w:tcPr>
          <w:p>
            <w:pPr>
              <w:widowControl w:val="0"/>
              <w:shd w:val="clear" w:color="auto" w:fill="auto"/>
              <w:wordWrap/>
              <w:adjustRightInd/>
              <w:snapToGrid w:val="0"/>
              <w:spacing w:before="0" w:beforeAutospacing="0" w:after="0" w:afterAutospacing="0" w:line="26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520"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227" w:hRule="atLeast"/>
          <w:jc w:val="center"/>
        </w:trPr>
        <w:tc>
          <w:tcPr>
            <w:tcW w:w="1347" w:type="dxa"/>
            <w:vMerge w:val="continue"/>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93" w:type="dxa"/>
            <w:vAlign w:val="center"/>
          </w:tcPr>
          <w:p>
            <w:pPr>
              <w:widowControl w:val="0"/>
              <w:shd w:val="clear" w:color="auto" w:fill="auto"/>
              <w:wordWrap/>
              <w:adjustRightInd/>
              <w:snapToGrid w:val="0"/>
              <w:spacing w:before="0" w:beforeAutospacing="0" w:after="0" w:afterAutospacing="0" w:line="26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520"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227" w:hRule="atLeast"/>
          <w:jc w:val="center"/>
        </w:trPr>
        <w:tc>
          <w:tcPr>
            <w:tcW w:w="1347" w:type="dxa"/>
            <w:vMerge w:val="continue"/>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93" w:type="dxa"/>
            <w:vAlign w:val="center"/>
          </w:tcPr>
          <w:p>
            <w:pPr>
              <w:widowControl w:val="0"/>
              <w:shd w:val="clear" w:color="auto" w:fill="auto"/>
              <w:wordWrap/>
              <w:adjustRightInd/>
              <w:snapToGrid w:val="0"/>
              <w:spacing w:before="0" w:beforeAutospacing="0" w:after="0" w:afterAutospacing="0" w:line="26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520"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227" w:hRule="atLeast"/>
          <w:jc w:val="center"/>
        </w:trPr>
        <w:tc>
          <w:tcPr>
            <w:tcW w:w="1347" w:type="dxa"/>
            <w:vMerge w:val="continue"/>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93" w:type="dxa"/>
            <w:vAlign w:val="center"/>
          </w:tcPr>
          <w:p>
            <w:pPr>
              <w:widowControl w:val="0"/>
              <w:shd w:val="clear" w:color="auto" w:fill="auto"/>
              <w:wordWrap/>
              <w:adjustRightInd/>
              <w:snapToGrid w:val="0"/>
              <w:spacing w:before="0" w:beforeAutospacing="0" w:after="0" w:afterAutospacing="0" w:line="26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520"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27" w:hRule="atLeast"/>
          <w:jc w:val="center"/>
        </w:trPr>
        <w:tc>
          <w:tcPr>
            <w:tcW w:w="1347" w:type="dxa"/>
            <w:vMerge w:val="restart"/>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lang w:eastAsia="zh-CN"/>
              </w:rPr>
              <w:t>受处罚次数</w:t>
            </w:r>
          </w:p>
        </w:tc>
        <w:tc>
          <w:tcPr>
            <w:tcW w:w="5193"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eastAsia="宋体" w:cs="Times New Roman"/>
                <w:color w:val="auto"/>
                <w:kern w:val="2"/>
                <w:sz w:val="21"/>
                <w:szCs w:val="21"/>
                <w:shd w:val="clear" w:color="auto" w:fill="auto"/>
                <w:lang w:eastAsia="zh-CN"/>
              </w:rPr>
            </w:pPr>
            <w:r>
              <w:rPr>
                <w:rFonts w:hint="default" w:ascii="Times New Roman" w:hAnsi="Times New Roman" w:cs="Times New Roman"/>
                <w:color w:val="auto"/>
                <w:sz w:val="20"/>
                <w:szCs w:val="20"/>
              </w:rPr>
              <w:t>两年内未受到过同类处罚</w:t>
            </w:r>
          </w:p>
        </w:tc>
        <w:tc>
          <w:tcPr>
            <w:tcW w:w="2520"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rPr>
              <w:t>1</w:t>
            </w:r>
          </w:p>
        </w:tc>
      </w:tr>
      <w:tr>
        <w:trPr>
          <w:trHeight w:val="227" w:hRule="atLeast"/>
          <w:jc w:val="center"/>
        </w:trPr>
        <w:tc>
          <w:tcPr>
            <w:tcW w:w="1347" w:type="dxa"/>
            <w:vMerge w:val="continue"/>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93"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eastAsia="宋体" w:cs="Times New Roman"/>
                <w:color w:val="auto"/>
                <w:kern w:val="2"/>
                <w:sz w:val="21"/>
                <w:szCs w:val="21"/>
                <w:shd w:val="clear" w:color="auto" w:fill="auto"/>
                <w:lang w:eastAsia="zh-CN"/>
              </w:rPr>
            </w:pPr>
            <w:r>
              <w:rPr>
                <w:rFonts w:hint="default" w:ascii="Times New Roman" w:hAnsi="Times New Roman" w:cs="Times New Roman"/>
                <w:color w:val="auto"/>
                <w:sz w:val="20"/>
                <w:szCs w:val="20"/>
              </w:rPr>
              <w:t>两年内受到同类处罚1次</w:t>
            </w:r>
          </w:p>
        </w:tc>
        <w:tc>
          <w:tcPr>
            <w:tcW w:w="2520"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rPr>
              <w:t>3</w:t>
            </w:r>
          </w:p>
        </w:tc>
      </w:tr>
      <w:tr>
        <w:trPr>
          <w:trHeight w:val="227" w:hRule="atLeast"/>
          <w:jc w:val="center"/>
        </w:trPr>
        <w:tc>
          <w:tcPr>
            <w:tcW w:w="1347" w:type="dxa"/>
            <w:vMerge w:val="continue"/>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93"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eastAsia="宋体" w:cs="Times New Roman"/>
                <w:color w:val="auto"/>
                <w:kern w:val="2"/>
                <w:sz w:val="21"/>
                <w:szCs w:val="21"/>
                <w:shd w:val="clear" w:color="auto" w:fill="auto"/>
                <w:lang w:eastAsia="zh-CN"/>
              </w:rPr>
            </w:pPr>
            <w:r>
              <w:rPr>
                <w:rFonts w:hint="default" w:ascii="Times New Roman" w:hAnsi="Times New Roman" w:cs="Times New Roman"/>
                <w:color w:val="auto"/>
                <w:sz w:val="20"/>
                <w:szCs w:val="20"/>
              </w:rPr>
              <w:t>两年内受到同类处罚2次以上</w:t>
            </w:r>
          </w:p>
        </w:tc>
        <w:tc>
          <w:tcPr>
            <w:tcW w:w="2520"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rPr>
              <w:t>5</w:t>
            </w:r>
          </w:p>
        </w:tc>
      </w:tr>
      <w:tr>
        <w:trPr>
          <w:trHeight w:val="227" w:hRule="atLeast"/>
          <w:jc w:val="center"/>
        </w:trPr>
        <w:tc>
          <w:tcPr>
            <w:tcW w:w="1347" w:type="dxa"/>
            <w:vMerge w:val="restart"/>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227" w:hRule="atLeast"/>
          <w:jc w:val="center"/>
        </w:trPr>
        <w:tc>
          <w:tcPr>
            <w:tcW w:w="1347" w:type="dxa"/>
            <w:vMerge w:val="continue"/>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227" w:hRule="atLeast"/>
          <w:jc w:val="center"/>
        </w:trPr>
        <w:tc>
          <w:tcPr>
            <w:tcW w:w="1347" w:type="dxa"/>
            <w:vMerge w:val="continue"/>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227" w:hRule="atLeast"/>
          <w:jc w:val="center"/>
        </w:trPr>
        <w:tc>
          <w:tcPr>
            <w:tcW w:w="1347" w:type="dxa"/>
            <w:vMerge w:val="continue"/>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27" w:hRule="atLeast"/>
          <w:jc w:val="center"/>
        </w:trPr>
        <w:tc>
          <w:tcPr>
            <w:tcW w:w="1347" w:type="dxa"/>
            <w:vAlign w:val="center"/>
          </w:tcPr>
          <w:p>
            <w:pPr>
              <w:shd w:val="clear" w:color="auto" w:fill="auto"/>
              <w:wordWrap/>
              <w:adjustRightInd/>
              <w:snapToGrid w:val="0"/>
              <w:spacing w:before="0" w:beforeAutospacing="0" w:after="0" w:afterAutospacing="0" w:line="2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13" w:type="dxa"/>
            <w:gridSpan w:val="2"/>
            <w:vAlign w:val="center"/>
          </w:tcPr>
          <w:p>
            <w:pPr>
              <w:shd w:val="clear" w:color="auto" w:fill="auto"/>
              <w:wordWrap/>
              <w:adjustRightInd/>
              <w:snapToGrid w:val="0"/>
              <w:spacing w:before="0" w:beforeAutospacing="0" w:after="0" w:afterAutospacing="0" w:line="260" w:lineRule="exact"/>
              <w:ind w:left="0" w:right="0" w:firstLine="420"/>
              <w:jc w:val="left"/>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首次发现违法行为M值为20万元，N值为5万元；逾期不改正的，M值为100万元，N值为20万元。</w:t>
            </w:r>
          </w:p>
        </w:tc>
      </w:tr>
    </w:tbl>
    <w:p>
      <w:pPr>
        <w:shd w:val="clear" w:color="auto" w:fill="auto"/>
        <w:snapToGrid w:val="0"/>
        <w:rPr>
          <w:rFonts w:hint="default" w:ascii="Times New Roman" w:hAnsi="Times New Roman" w:cs="Times New Roman"/>
          <w:color w:val="auto"/>
          <w:sz w:val="10"/>
          <w:szCs w:val="10"/>
          <w:shd w:val="clear" w:color="auto" w:fill="auto"/>
        </w:rPr>
      </w:pP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5463"/>
        <w:gridCol w:w="2311"/>
      </w:tblGrid>
      <w:tr>
        <w:trPr>
          <w:trHeight w:val="340" w:hRule="atLeast"/>
          <w:jc w:val="center"/>
        </w:trPr>
        <w:tc>
          <w:tcPr>
            <w:tcW w:w="9060" w:type="dxa"/>
            <w:gridSpan w:val="3"/>
            <w:vAlign w:val="top"/>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（一）建设项目管理类</w:t>
            </w:r>
          </w:p>
        </w:tc>
      </w:tr>
      <w:tr>
        <w:trPr>
          <w:trHeight w:val="340" w:hRule="atLeast"/>
          <w:jc w:val="center"/>
        </w:trPr>
        <w:tc>
          <w:tcPr>
            <w:tcW w:w="128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4" w:type="dxa"/>
            <w:gridSpan w:val="2"/>
            <w:vAlign w:val="center"/>
          </w:tcPr>
          <w:p>
            <w:pPr>
              <w:shd w:val="clear" w:color="auto" w:fill="auto"/>
              <w:snapToGrid w:val="0"/>
              <w:spacing w:before="0" w:beforeAutospacing="0" w:after="0" w:afterAutospacing="0" w:line="300" w:lineRule="exact"/>
              <w:ind w:left="0" w:right="0"/>
              <w:jc w:val="center"/>
              <w:outlineLvl w:val="9"/>
              <w:rPr>
                <w:rFonts w:hint="default" w:ascii="Times New Roman" w:hAnsi="Times New Roman" w:cs="Times New Roman"/>
                <w:color w:val="auto"/>
                <w:sz w:val="20"/>
                <w:szCs w:val="20"/>
                <w:shd w:val="clear" w:color="auto" w:fill="auto"/>
              </w:rPr>
            </w:pPr>
            <w:bookmarkStart w:id="30" w:name="_Toc28721"/>
            <w:r>
              <w:rPr>
                <w:rFonts w:hint="default" w:ascii="Times New Roman" w:hAnsi="Times New Roman" w:cs="Times New Roman"/>
                <w:color w:val="auto"/>
                <w:sz w:val="20"/>
                <w:szCs w:val="20"/>
                <w:shd w:val="clear" w:color="auto" w:fill="auto"/>
              </w:rPr>
              <w:t>7</w:t>
            </w:r>
            <w:bookmarkEnd w:id="30"/>
          </w:p>
        </w:tc>
      </w:tr>
      <w:tr>
        <w:trPr>
          <w:trHeight w:val="340" w:hRule="atLeast"/>
          <w:jc w:val="center"/>
        </w:trPr>
        <w:tc>
          <w:tcPr>
            <w:tcW w:w="128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4" w:type="dxa"/>
            <w:gridSpan w:val="2"/>
            <w:vAlign w:val="top"/>
          </w:tcPr>
          <w:p>
            <w:pPr>
              <w:shd w:val="clear" w:color="auto" w:fill="auto"/>
              <w:snapToGrid w:val="0"/>
              <w:spacing w:before="0" w:beforeAutospacing="0" w:after="0" w:afterAutospacing="0" w:line="300" w:lineRule="exact"/>
              <w:ind w:left="0" w:right="0" w:firstLine="420"/>
              <w:outlineLvl w:val="9"/>
              <w:rPr>
                <w:rFonts w:hint="default" w:ascii="Times New Roman" w:hAnsi="Times New Roman" w:cs="Times New Roman"/>
                <w:color w:val="auto"/>
                <w:sz w:val="20"/>
                <w:szCs w:val="20"/>
                <w:shd w:val="clear" w:color="auto" w:fill="auto"/>
              </w:rPr>
            </w:pPr>
            <w:bookmarkStart w:id="31" w:name="_Toc16704"/>
            <w:r>
              <w:rPr>
                <w:rFonts w:hint="default" w:ascii="Times New Roman" w:hAnsi="Times New Roman" w:cs="Times New Roman"/>
                <w:color w:val="auto"/>
                <w:sz w:val="20"/>
                <w:szCs w:val="20"/>
                <w:shd w:val="clear" w:color="auto" w:fill="auto"/>
              </w:rPr>
              <w:t>未同时组织实施环境影响报告书、环境影响报告表及其审批部门审批决定中提出的环境保护对策措施的</w:t>
            </w:r>
            <w:bookmarkEnd w:id="31"/>
          </w:p>
        </w:tc>
      </w:tr>
      <w:tr>
        <w:trPr>
          <w:trHeight w:val="340" w:hRule="atLeast"/>
          <w:jc w:val="center"/>
        </w:trPr>
        <w:tc>
          <w:tcPr>
            <w:tcW w:w="128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4" w:type="dxa"/>
            <w:gridSpan w:val="2"/>
            <w:vAlign w:val="top"/>
          </w:tcPr>
          <w:p>
            <w:pPr>
              <w:pStyle w:val="19"/>
              <w:shd w:val="clear" w:color="auto" w:fill="auto"/>
              <w:snapToGrid w:val="0"/>
              <w:spacing w:before="0" w:beforeAutospacing="0" w:after="0" w:afterAutospacing="0" w:line="300" w:lineRule="exact"/>
              <w:ind w:left="0" w:right="0" w:firstLine="48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《建设项目环境保护管理条例》第十六条第二款</w:t>
            </w:r>
            <w:r>
              <w:rPr>
                <w:rFonts w:hint="default" w:ascii="Times New Roman" w:hAnsi="Times New Roman" w:cs="Times New Roman"/>
                <w:color w:val="auto"/>
                <w:sz w:val="21"/>
                <w:szCs w:val="21"/>
                <w:shd w:val="clear" w:color="auto" w:fill="auto"/>
              </w:rPr>
              <w:t xml:space="preserve"> 建设单位应当将环境保护设施建设纳入施工合同，保证环境保护设施建设进度和资金，并在项目建设过程中同时组织实施环境影响报告书、环境影响报告表及其审批部门审批决定中提出的环境保护对策措施。</w:t>
            </w:r>
          </w:p>
        </w:tc>
      </w:tr>
      <w:tr>
        <w:trPr>
          <w:trHeight w:val="340" w:hRule="atLeast"/>
          <w:jc w:val="center"/>
        </w:trPr>
        <w:tc>
          <w:tcPr>
            <w:tcW w:w="128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4" w:type="dxa"/>
            <w:gridSpan w:val="2"/>
            <w:vAlign w:val="top"/>
          </w:tcPr>
          <w:p>
            <w:pPr>
              <w:pStyle w:val="19"/>
              <w:shd w:val="clear" w:color="auto" w:fill="auto"/>
              <w:snapToGrid w:val="0"/>
              <w:spacing w:before="0" w:beforeAutospacing="0" w:after="0" w:afterAutospacing="0" w:line="30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《建设项目环境保护管理条例》第二十二条第二款</w:t>
            </w:r>
            <w:r>
              <w:rPr>
                <w:rFonts w:hint="default" w:ascii="Times New Roman" w:hAnsi="Times New Roman" w:cs="Times New Roman"/>
                <w:color w:val="auto"/>
                <w:sz w:val="21"/>
                <w:szCs w:val="21"/>
                <w:shd w:val="clear" w:color="auto" w:fill="auto"/>
              </w:rPr>
              <w:t xml:space="preserve"> 违反本条例规定，建设单位在项目建设过程中未同时组织实施环境影响报告书、环境影响报告表及其审批部门审批决定中提出的环境保护对策措施的，由建设项目所在地县级以上环境保护行政主管部门责令限期改正，处20万元以上100万元以下的罚款；逾期不改正的，责令停止建设。</w:t>
            </w:r>
          </w:p>
        </w:tc>
      </w:tr>
      <w:tr>
        <w:trPr>
          <w:trHeight w:val="465" w:hRule="atLeast"/>
          <w:jc w:val="center"/>
        </w:trPr>
        <w:tc>
          <w:tcPr>
            <w:tcW w:w="128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4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65" w:hRule="atLeast"/>
          <w:jc w:val="center"/>
        </w:trPr>
        <w:tc>
          <w:tcPr>
            <w:tcW w:w="1286" w:type="dxa"/>
            <w:vMerge w:val="restart"/>
            <w:vAlign w:val="center"/>
          </w:tcPr>
          <w:p>
            <w:pPr>
              <w:widowControl/>
              <w:shd w:val="clear" w:color="auto" w:fill="auto"/>
              <w:spacing w:before="0" w:beforeAutospacing="0" w:after="0" w:afterAutospacing="0" w:line="300" w:lineRule="exact"/>
              <w:ind w:left="0" w:right="0"/>
              <w:jc w:val="center"/>
              <w:textAlignment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★落实情形</w:t>
            </w:r>
          </w:p>
        </w:tc>
        <w:tc>
          <w:tcPr>
            <w:tcW w:w="5463" w:type="dxa"/>
            <w:vAlign w:val="center"/>
          </w:tcPr>
          <w:p>
            <w:pPr>
              <w:widowControl/>
              <w:shd w:val="clear" w:color="auto" w:fill="auto"/>
              <w:snapToGrid w:val="0"/>
              <w:spacing w:before="0" w:beforeAutospacing="0" w:after="0" w:afterAutospacing="0" w:line="300" w:lineRule="exact"/>
              <w:ind w:left="0" w:right="0"/>
              <w:jc w:val="center"/>
              <w:textAlignment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未落实施工期环境管理制度</w:t>
            </w:r>
          </w:p>
        </w:tc>
        <w:tc>
          <w:tcPr>
            <w:tcW w:w="2311" w:type="dxa"/>
            <w:vAlign w:val="center"/>
          </w:tcPr>
          <w:p>
            <w:pPr>
              <w:widowControl/>
              <w:shd w:val="clear" w:color="auto" w:fill="auto"/>
              <w:snapToGrid w:val="0"/>
              <w:spacing w:before="0" w:beforeAutospacing="0" w:after="0" w:afterAutospacing="0" w:line="300" w:lineRule="exact"/>
              <w:ind w:left="0" w:right="0"/>
              <w:jc w:val="center"/>
              <w:textAlignment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65" w:hRule="atLeast"/>
          <w:jc w:val="center"/>
        </w:trPr>
        <w:tc>
          <w:tcPr>
            <w:tcW w:w="128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63"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未落实施工期污染防治措施</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65" w:hRule="atLeast"/>
          <w:jc w:val="center"/>
        </w:trPr>
        <w:tc>
          <w:tcPr>
            <w:tcW w:w="128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63"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项目配套的其他环保辅助对策措施未按要求建设</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65" w:hRule="atLeast"/>
          <w:jc w:val="center"/>
        </w:trPr>
        <w:tc>
          <w:tcPr>
            <w:tcW w:w="128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63"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项目配套的大气、水、固体废物、危险废物、噪声、</w:t>
            </w:r>
            <w:r>
              <w:rPr>
                <w:rFonts w:hint="default" w:ascii="Times New Roman" w:hAnsi="Times New Roman" w:cs="Times New Roman"/>
                <w:color w:val="auto"/>
                <w:kern w:val="2"/>
                <w:sz w:val="21"/>
                <w:szCs w:val="21"/>
                <w:shd w:val="clear" w:color="auto" w:fill="auto"/>
                <w:lang w:val="en-US"/>
              </w:rPr>
              <w:t>土壤</w:t>
            </w:r>
            <w:r>
              <w:rPr>
                <w:rFonts w:hint="default" w:ascii="Times New Roman" w:hAnsi="Times New Roman" w:cs="Times New Roman"/>
                <w:color w:val="auto"/>
                <w:kern w:val="2"/>
                <w:sz w:val="21"/>
                <w:szCs w:val="21"/>
                <w:shd w:val="clear" w:color="auto" w:fill="auto"/>
                <w:lang/>
              </w:rPr>
              <w:t>、</w:t>
            </w:r>
            <w:r>
              <w:rPr>
                <w:rFonts w:hint="default" w:ascii="Times New Roman" w:hAnsi="Times New Roman" w:cs="Times New Roman"/>
                <w:color w:val="auto"/>
                <w:kern w:val="2"/>
                <w:sz w:val="21"/>
                <w:szCs w:val="21"/>
                <w:shd w:val="clear" w:color="auto" w:fill="auto"/>
              </w:rPr>
              <w:t>风险防范</w:t>
            </w:r>
            <w:r>
              <w:rPr>
                <w:rFonts w:hint="default" w:ascii="Times New Roman" w:hAnsi="Times New Roman" w:cs="Times New Roman"/>
                <w:color w:val="auto"/>
                <w:kern w:val="2"/>
                <w:sz w:val="21"/>
                <w:szCs w:val="21"/>
                <w:shd w:val="clear" w:color="auto" w:fill="auto"/>
                <w:lang w:val="en-US"/>
              </w:rPr>
              <w:t>等</w:t>
            </w:r>
            <w:r>
              <w:rPr>
                <w:rFonts w:hint="default" w:ascii="Times New Roman" w:hAnsi="Times New Roman" w:cs="Times New Roman"/>
                <w:color w:val="auto"/>
                <w:kern w:val="2"/>
                <w:sz w:val="21"/>
                <w:szCs w:val="21"/>
                <w:shd w:val="clear" w:color="auto" w:fill="auto"/>
              </w:rPr>
              <w:t>对策措施未按要求建设</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65" w:hRule="atLeast"/>
          <w:jc w:val="center"/>
        </w:trPr>
        <w:tc>
          <w:tcPr>
            <w:tcW w:w="128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63"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项目配套的</w:t>
            </w:r>
            <w:r>
              <w:rPr>
                <w:rFonts w:hint="default" w:ascii="Times New Roman" w:hAnsi="Times New Roman" w:cs="Times New Roman"/>
                <w:color w:val="auto"/>
                <w:sz w:val="21"/>
                <w:szCs w:val="21"/>
                <w:shd w:val="clear" w:color="auto" w:fill="auto"/>
              </w:rPr>
              <w:t>环保对策措施</w:t>
            </w:r>
            <w:r>
              <w:rPr>
                <w:rFonts w:hint="default" w:ascii="Times New Roman" w:hAnsi="Times New Roman" w:cs="Times New Roman"/>
                <w:color w:val="auto"/>
                <w:kern w:val="2"/>
                <w:sz w:val="21"/>
                <w:szCs w:val="21"/>
                <w:shd w:val="clear" w:color="auto" w:fill="auto"/>
              </w:rPr>
              <w:t>未建设</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65" w:hRule="atLeast"/>
          <w:jc w:val="center"/>
        </w:trPr>
        <w:tc>
          <w:tcPr>
            <w:tcW w:w="1286"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项目应报批的环评文件类别</w:t>
            </w:r>
          </w:p>
        </w:tc>
        <w:tc>
          <w:tcPr>
            <w:tcW w:w="5463"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报告表</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65" w:hRule="atLeast"/>
          <w:jc w:val="center"/>
        </w:trPr>
        <w:tc>
          <w:tcPr>
            <w:tcW w:w="128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报告书</w:t>
            </w:r>
            <w:r>
              <w:rPr>
                <w:rFonts w:hint="default" w:ascii="Times New Roman" w:hAnsi="Times New Roman" w:cs="Times New Roman"/>
                <w:color w:val="auto"/>
                <w:sz w:val="20"/>
                <w:szCs w:val="20"/>
                <w:shd w:val="clear" w:color="auto" w:fill="auto"/>
                <w:lang w:eastAsia="zh-CN"/>
              </w:rPr>
              <w:t>（非重点管理企业）</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65" w:hRule="atLeast"/>
          <w:jc w:val="center"/>
        </w:trPr>
        <w:tc>
          <w:tcPr>
            <w:tcW w:w="128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报告书（钢铁、火电、危废集中处置</w:t>
            </w:r>
            <w:r>
              <w:rPr>
                <w:rFonts w:hint="eastAsia" w:ascii="Times New Roman" w:hAnsi="Times New Roman" w:cs="Times New Roman"/>
                <w:color w:val="auto"/>
                <w:sz w:val="20"/>
                <w:szCs w:val="20"/>
                <w:shd w:val="clear" w:color="auto" w:fill="auto"/>
                <w:lang w:eastAsia="zh-CN"/>
              </w:rPr>
              <w:t>、</w:t>
            </w:r>
            <w:r>
              <w:rPr>
                <w:rFonts w:hint="default" w:ascii="Times New Roman" w:hAnsi="Times New Roman" w:cs="Times New Roman"/>
                <w:color w:val="auto"/>
                <w:sz w:val="20"/>
                <w:szCs w:val="20"/>
                <w:shd w:val="clear" w:color="auto" w:fill="auto"/>
              </w:rPr>
              <w:t>化工、电镀、皮革、造纸、制浆、冶炼、放射性、印染染料、炼焦、炼油、矿山开采项目</w:t>
            </w:r>
            <w:r>
              <w:rPr>
                <w:rFonts w:hint="eastAsia" w:ascii="Times New Roman" w:hAnsi="Times New Roman" w:cs="Times New Roman"/>
                <w:color w:val="auto"/>
                <w:sz w:val="20"/>
                <w:szCs w:val="20"/>
                <w:shd w:val="clear" w:color="auto" w:fill="auto"/>
                <w:lang w:val="en-US" w:eastAsia="zh-CN"/>
              </w:rPr>
              <w:t>等</w:t>
            </w:r>
            <w:r>
              <w:rPr>
                <w:rFonts w:hint="default" w:ascii="Times New Roman" w:hAnsi="Times New Roman" w:cs="Times New Roman"/>
                <w:color w:val="auto"/>
                <w:sz w:val="20"/>
                <w:szCs w:val="20"/>
                <w:shd w:val="clear" w:color="auto" w:fill="auto"/>
              </w:rPr>
              <w:t>）</w:t>
            </w:r>
            <w:r>
              <w:rPr>
                <w:rFonts w:hint="default" w:ascii="Times New Roman" w:hAnsi="Times New Roman" w:cs="Times New Roman"/>
                <w:color w:val="auto"/>
                <w:sz w:val="20"/>
                <w:szCs w:val="20"/>
                <w:shd w:val="clear" w:color="auto" w:fill="auto"/>
                <w:lang w:eastAsia="zh-CN"/>
              </w:rPr>
              <w:t>（重点管理</w:t>
            </w:r>
            <w:r>
              <w:rPr>
                <w:rFonts w:hint="eastAsia" w:ascii="Times New Roman" w:hAnsi="Times New Roman" w:cs="Times New Roman"/>
                <w:color w:val="auto"/>
                <w:sz w:val="20"/>
                <w:szCs w:val="20"/>
                <w:shd w:val="clear" w:color="auto" w:fill="auto"/>
                <w:lang w:eastAsia="zh-CN"/>
              </w:rPr>
              <w:t>）</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65" w:hRule="atLeast"/>
          <w:jc w:val="center"/>
        </w:trPr>
        <w:tc>
          <w:tcPr>
            <w:tcW w:w="1286"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情况</w:t>
            </w:r>
          </w:p>
        </w:tc>
        <w:tc>
          <w:tcPr>
            <w:tcW w:w="54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已开工建设但主体工程未建成的</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65" w:hRule="atLeast"/>
          <w:jc w:val="center"/>
        </w:trPr>
        <w:tc>
          <w:tcPr>
            <w:tcW w:w="128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主体工程已建成但尚未投入生产或者使用的</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65" w:hRule="atLeast"/>
          <w:jc w:val="center"/>
        </w:trPr>
        <w:tc>
          <w:tcPr>
            <w:tcW w:w="128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主体工程已投入生产或者使用的</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65" w:hRule="atLeast"/>
          <w:jc w:val="center"/>
        </w:trPr>
        <w:tc>
          <w:tcPr>
            <w:tcW w:w="1286"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污染物类别</w:t>
            </w:r>
          </w:p>
        </w:tc>
        <w:tc>
          <w:tcPr>
            <w:tcW w:w="54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生活废水</w:t>
            </w:r>
            <w:r>
              <w:rPr>
                <w:rFonts w:hint="eastAsia" w:ascii="Times New Roman" w:hAnsi="Times New Roman" w:cs="Times New Roman"/>
                <w:color w:val="auto"/>
                <w:sz w:val="20"/>
                <w:szCs w:val="20"/>
                <w:shd w:val="clear" w:color="auto" w:fill="auto"/>
                <w:lang w:val="en-US" w:eastAsia="zh-CN"/>
              </w:rPr>
              <w:t>/规模以下畜禽养殖废水</w:t>
            </w:r>
            <w:r>
              <w:rPr>
                <w:rFonts w:hint="default" w:ascii="Times New Roman" w:hAnsi="Times New Roman" w:cs="Times New Roman"/>
                <w:color w:val="auto"/>
                <w:sz w:val="20"/>
                <w:szCs w:val="20"/>
                <w:shd w:val="clear" w:color="auto" w:fill="auto"/>
              </w:rPr>
              <w:t>/Ⅰ类一般工业固体废物</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465" w:hRule="atLeast"/>
          <w:jc w:val="center"/>
        </w:trPr>
        <w:tc>
          <w:tcPr>
            <w:tcW w:w="128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农业生产、畜禽养殖废气/工业扬尘废气/机械、汽车修理废气/服务业废水</w:t>
            </w:r>
            <w:r>
              <w:rPr>
                <w:rFonts w:hint="eastAsia" w:ascii="Times New Roman" w:hAnsi="Times New Roman" w:cs="Times New Roman"/>
                <w:color w:val="auto"/>
                <w:sz w:val="20"/>
                <w:szCs w:val="20"/>
                <w:shd w:val="clear" w:color="auto" w:fill="auto"/>
                <w:lang w:val="en-US" w:eastAsia="zh-CN"/>
              </w:rPr>
              <w:t>/规模化畜禽养殖废水</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65" w:hRule="atLeast"/>
          <w:jc w:val="center"/>
        </w:trPr>
        <w:tc>
          <w:tcPr>
            <w:tcW w:w="128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一般工业废气/含恶臭污染物的废气/医疗废气/实验室废气/一般工业废水/Ⅱ类一般工业固体废物</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65" w:hRule="atLeast"/>
          <w:jc w:val="center"/>
        </w:trPr>
        <w:tc>
          <w:tcPr>
            <w:tcW w:w="128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火电、钢铁、石化、水泥、炼焦、有色、化工废气、烟尘/燃煤锅炉废气、烟尘/含其他有毒有害物质的废水、医疗废水</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465" w:hRule="atLeast"/>
          <w:jc w:val="center"/>
        </w:trPr>
        <w:tc>
          <w:tcPr>
            <w:tcW w:w="128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含有毒有害物质的废气/含一类污染物或重金属、病原体、放射性物质的废水/危险废物</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5</w:t>
            </w:r>
          </w:p>
        </w:tc>
      </w:tr>
      <w:tr>
        <w:trPr>
          <w:trHeight w:val="340" w:hRule="atLeast"/>
          <w:jc w:val="center"/>
        </w:trPr>
        <w:tc>
          <w:tcPr>
            <w:tcW w:w="1286"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地点</w:t>
            </w:r>
          </w:p>
        </w:tc>
        <w:tc>
          <w:tcPr>
            <w:tcW w:w="5463"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符合环境功能区划</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286" w:type="dxa"/>
            <w:vMerge w:val="continue"/>
            <w:vAlign w:val="top"/>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63"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不符合环境功能区划，但不在保护区内</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40" w:hRule="atLeast"/>
          <w:jc w:val="center"/>
        </w:trPr>
        <w:tc>
          <w:tcPr>
            <w:tcW w:w="1286" w:type="dxa"/>
            <w:vMerge w:val="continue"/>
            <w:vAlign w:val="top"/>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63"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饮用水水源准保护区</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286" w:type="dxa"/>
            <w:vMerge w:val="continue"/>
            <w:vAlign w:val="top"/>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63"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位于自然保护区实验区/饮用水水源二级保护区</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40" w:hRule="atLeast"/>
          <w:jc w:val="center"/>
        </w:trPr>
        <w:tc>
          <w:tcPr>
            <w:tcW w:w="1286" w:type="dxa"/>
            <w:vMerge w:val="continue"/>
            <w:vAlign w:val="top"/>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63"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位于自然保护区缓冲区/位于自然保护区核心区/饮用水水源一级保护区</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28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lang w:eastAsia="zh-CN"/>
              </w:rPr>
              <w:t>受处罚次数</w:t>
            </w:r>
          </w:p>
        </w:tc>
        <w:tc>
          <w:tcPr>
            <w:tcW w:w="54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rPr>
              <w:t>两年内未受到过同类处罚</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rPr>
              <w:t>1</w:t>
            </w:r>
          </w:p>
        </w:tc>
      </w:tr>
      <w:tr>
        <w:trPr>
          <w:trHeight w:val="340" w:hRule="atLeast"/>
          <w:jc w:val="center"/>
        </w:trPr>
        <w:tc>
          <w:tcPr>
            <w:tcW w:w="128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rPr>
              <w:t>两年内受到同类处罚1次</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rPr>
              <w:t>3</w:t>
            </w:r>
          </w:p>
        </w:tc>
      </w:tr>
      <w:tr>
        <w:trPr>
          <w:trHeight w:val="340" w:hRule="atLeast"/>
          <w:jc w:val="center"/>
        </w:trPr>
        <w:tc>
          <w:tcPr>
            <w:tcW w:w="128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rPr>
              <w:t>两年内受到同类处罚2次以上</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rPr>
              <w:t>5</w:t>
            </w:r>
          </w:p>
        </w:tc>
      </w:tr>
      <w:tr>
        <w:trPr>
          <w:trHeight w:val="340" w:hRule="atLeast"/>
          <w:jc w:val="center"/>
        </w:trPr>
        <w:tc>
          <w:tcPr>
            <w:tcW w:w="1286"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4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28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40" w:hRule="atLeast"/>
          <w:jc w:val="center"/>
        </w:trPr>
        <w:tc>
          <w:tcPr>
            <w:tcW w:w="128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40" w:hRule="atLeast"/>
          <w:jc w:val="center"/>
        </w:trPr>
        <w:tc>
          <w:tcPr>
            <w:tcW w:w="128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28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4" w:type="dxa"/>
            <w:gridSpan w:val="2"/>
            <w:vAlign w:val="top"/>
          </w:tcPr>
          <w:p>
            <w:pPr>
              <w:shd w:val="clear" w:color="auto" w:fill="auto"/>
              <w:snapToGrid w:val="0"/>
              <w:spacing w:before="0" w:beforeAutospacing="0" w:after="0" w:afterAutospacing="0" w:line="300" w:lineRule="exact"/>
              <w:ind w:left="0" w:right="0" w:firstLine="420"/>
              <w:jc w:val="center"/>
              <w:rPr>
                <w:rFonts w:hint="default" w:ascii="Times New Roman" w:hAnsi="Times New Roman" w:cs="Times New Roman"/>
                <w:color w:val="auto"/>
                <w:sz w:val="20"/>
                <w:szCs w:val="20"/>
                <w:shd w:val="clear" w:color="auto" w:fill="auto"/>
              </w:rPr>
            </w:pPr>
          </w:p>
        </w:tc>
      </w:tr>
    </w:tbl>
    <w:p>
      <w:pPr>
        <w:pStyle w:val="18"/>
        <w:shd w:val="clear" w:color="auto" w:fill="auto"/>
        <w:snapToGrid w:val="0"/>
        <w:rPr>
          <w:rFonts w:hint="default" w:ascii="Times New Roman" w:hAnsi="Times New Roman" w:cs="Times New Roman"/>
          <w:color w:val="auto"/>
          <w:sz w:val="21"/>
          <w:szCs w:val="21"/>
          <w:shd w:val="clear" w:color="auto" w:fill="auto"/>
        </w:rPr>
      </w:pPr>
    </w:p>
    <w:p>
      <w:pPr>
        <w:pStyle w:val="18"/>
        <w:shd w:val="clear" w:color="auto" w:fill="auto"/>
        <w:snapToGrid w:val="0"/>
        <w:rPr>
          <w:rFonts w:hint="default" w:ascii="Times New Roman" w:hAnsi="Times New Roman" w:cs="Times New Roman"/>
          <w:color w:val="auto"/>
          <w:sz w:val="10"/>
          <w:szCs w:val="10"/>
          <w:shd w:val="clear" w:color="auto" w:fill="auto"/>
        </w:rPr>
      </w:pPr>
      <w:r>
        <w:rPr>
          <w:rFonts w:hint="default" w:ascii="Times New Roman" w:hAnsi="Times New Roman" w:cs="Times New Roman"/>
          <w:color w:val="auto"/>
          <w:sz w:val="21"/>
          <w:szCs w:val="21"/>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5088"/>
        <w:gridCol w:w="2537"/>
      </w:tblGrid>
      <w:tr>
        <w:trPr>
          <w:trHeight w:val="397" w:hRule="atLeast"/>
          <w:jc w:val="center"/>
        </w:trPr>
        <w:tc>
          <w:tcPr>
            <w:tcW w:w="9060" w:type="dxa"/>
            <w:gridSpan w:val="3"/>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（一）建设项目管理类</w:t>
            </w:r>
          </w:p>
        </w:tc>
      </w:tr>
      <w:tr>
        <w:trPr>
          <w:trHeight w:val="397" w:hRule="atLeast"/>
          <w:jc w:val="center"/>
        </w:trPr>
        <w:tc>
          <w:tcPr>
            <w:tcW w:w="143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25" w:type="dxa"/>
            <w:gridSpan w:val="2"/>
            <w:vAlign w:val="center"/>
          </w:tcPr>
          <w:p>
            <w:pPr>
              <w:shd w:val="clear" w:color="auto" w:fill="auto"/>
              <w:snapToGrid w:val="0"/>
              <w:spacing w:before="0" w:beforeAutospacing="0" w:after="0" w:afterAutospacing="0" w:line="300" w:lineRule="exact"/>
              <w:ind w:left="0" w:right="0"/>
              <w:jc w:val="center"/>
              <w:outlineLvl w:val="9"/>
              <w:rPr>
                <w:rFonts w:hint="default" w:ascii="Times New Roman" w:hAnsi="Times New Roman" w:cs="Times New Roman"/>
                <w:color w:val="auto"/>
                <w:sz w:val="20"/>
                <w:szCs w:val="20"/>
                <w:shd w:val="clear" w:color="auto" w:fill="auto"/>
              </w:rPr>
            </w:pPr>
            <w:bookmarkStart w:id="32" w:name="_Toc24713"/>
            <w:r>
              <w:rPr>
                <w:rFonts w:hint="default" w:ascii="Times New Roman" w:hAnsi="Times New Roman" w:cs="Times New Roman"/>
                <w:color w:val="auto"/>
                <w:sz w:val="20"/>
                <w:szCs w:val="20"/>
                <w:shd w:val="clear" w:color="auto" w:fill="auto"/>
              </w:rPr>
              <w:t>8</w:t>
            </w:r>
            <w:bookmarkEnd w:id="32"/>
          </w:p>
        </w:tc>
      </w:tr>
      <w:tr>
        <w:trPr>
          <w:trHeight w:val="397" w:hRule="atLeast"/>
          <w:jc w:val="center"/>
        </w:trPr>
        <w:tc>
          <w:tcPr>
            <w:tcW w:w="143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25" w:type="dxa"/>
            <w:gridSpan w:val="2"/>
            <w:vAlign w:val="top"/>
          </w:tcPr>
          <w:p>
            <w:pPr>
              <w:shd w:val="clear" w:color="auto" w:fill="auto"/>
              <w:snapToGrid w:val="0"/>
              <w:spacing w:before="0" w:beforeAutospacing="0" w:after="0" w:afterAutospacing="0" w:line="300" w:lineRule="exact"/>
              <w:ind w:left="0" w:right="0" w:firstLine="420"/>
              <w:outlineLvl w:val="9"/>
              <w:rPr>
                <w:rFonts w:hint="default" w:ascii="Times New Roman" w:hAnsi="Times New Roman" w:cs="Times New Roman"/>
                <w:color w:val="auto"/>
                <w:sz w:val="20"/>
                <w:szCs w:val="20"/>
                <w:shd w:val="clear" w:color="auto" w:fill="auto"/>
              </w:rPr>
            </w:pPr>
            <w:bookmarkStart w:id="33" w:name="_Toc19069"/>
            <w:r>
              <w:rPr>
                <w:rFonts w:hint="default" w:ascii="Times New Roman" w:hAnsi="Times New Roman" w:cs="Times New Roman"/>
                <w:color w:val="auto"/>
                <w:sz w:val="20"/>
                <w:szCs w:val="20"/>
                <w:shd w:val="clear" w:color="auto" w:fill="auto"/>
              </w:rPr>
              <w:t>需要配套建设的环境保护设施未建成、未经验收或者验收不合格，建设项目即投入生产或使用的</w:t>
            </w:r>
            <w:bookmarkEnd w:id="33"/>
          </w:p>
        </w:tc>
      </w:tr>
      <w:tr>
        <w:trPr>
          <w:trHeight w:val="397" w:hRule="atLeast"/>
          <w:jc w:val="center"/>
        </w:trPr>
        <w:tc>
          <w:tcPr>
            <w:tcW w:w="143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25" w:type="dxa"/>
            <w:gridSpan w:val="2"/>
            <w:vAlign w:val="top"/>
          </w:tcPr>
          <w:p>
            <w:pPr>
              <w:pStyle w:val="19"/>
              <w:shd w:val="clear" w:color="auto" w:fill="auto"/>
              <w:snapToGrid w:val="0"/>
              <w:spacing w:before="0" w:beforeAutospacing="0" w:after="0" w:afterAutospacing="0" w:line="300" w:lineRule="exact"/>
              <w:ind w:left="0" w:right="0" w:firstLine="482"/>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1.《建设项目环境保护管理条例》第十五条</w:t>
            </w:r>
            <w:r>
              <w:rPr>
                <w:rFonts w:hint="default" w:ascii="Times New Roman" w:hAnsi="Times New Roman" w:cs="Times New Roman"/>
                <w:color w:val="auto"/>
                <w:kern w:val="2"/>
                <w:sz w:val="21"/>
                <w:szCs w:val="21"/>
                <w:shd w:val="clear" w:color="auto" w:fill="auto"/>
              </w:rPr>
              <w:t xml:space="preserve"> 建设项目需要配套建设的环境保护设施，必须与主体工程同时设计、同时施工、同时投产使用。</w:t>
            </w:r>
          </w:p>
          <w:p>
            <w:pPr>
              <w:pStyle w:val="19"/>
              <w:shd w:val="clear" w:color="auto" w:fill="auto"/>
              <w:snapToGrid w:val="0"/>
              <w:spacing w:before="0" w:beforeAutospacing="0" w:after="0" w:afterAutospacing="0" w:line="300" w:lineRule="exact"/>
              <w:ind w:left="0" w:right="0" w:firstLine="482"/>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2.《建设项目环境保护管理条例》第十九条第一款</w:t>
            </w:r>
            <w:r>
              <w:rPr>
                <w:rFonts w:hint="default" w:ascii="Times New Roman" w:hAnsi="Times New Roman" w:cs="Times New Roman"/>
                <w:b/>
                <w:bCs/>
                <w:color w:val="auto"/>
                <w:kern w:val="2"/>
                <w:sz w:val="21"/>
                <w:szCs w:val="21"/>
                <w:shd w:val="clear" w:color="auto" w:fill="auto"/>
                <w:lang w:val="en-US" w:eastAsia="zh-CN"/>
              </w:rPr>
              <w:t xml:space="preserve"> </w:t>
            </w:r>
            <w:r>
              <w:rPr>
                <w:rFonts w:hint="default" w:ascii="Times New Roman" w:hAnsi="Times New Roman" w:cs="Times New Roman"/>
                <w:color w:val="auto"/>
                <w:kern w:val="2"/>
                <w:sz w:val="21"/>
                <w:szCs w:val="21"/>
                <w:shd w:val="clear" w:color="auto" w:fill="auto"/>
              </w:rPr>
              <w:t>编制环境影响报告书、环境影响报告表的建设项目，其配套建设的环境保护设施经验收合格，方可投入生产或者使用；未经验收或者验收不合格的，不得投入生产或者使用。</w:t>
            </w:r>
          </w:p>
        </w:tc>
      </w:tr>
      <w:tr>
        <w:trPr>
          <w:trHeight w:val="397" w:hRule="atLeast"/>
          <w:jc w:val="center"/>
        </w:trPr>
        <w:tc>
          <w:tcPr>
            <w:tcW w:w="143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25" w:type="dxa"/>
            <w:gridSpan w:val="2"/>
            <w:vAlign w:val="top"/>
          </w:tcPr>
          <w:p>
            <w:pPr>
              <w:pStyle w:val="19"/>
              <w:shd w:val="clear" w:color="auto" w:fill="auto"/>
              <w:snapToGrid w:val="0"/>
              <w:spacing w:before="0" w:beforeAutospacing="0" w:after="0" w:afterAutospacing="0" w:line="300" w:lineRule="exact"/>
              <w:ind w:left="0" w:right="0" w:firstLine="482"/>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《建设项目环境保护管理条例》第二十三条第一款</w:t>
            </w:r>
            <w:r>
              <w:rPr>
                <w:rFonts w:hint="default" w:ascii="Times New Roman" w:hAnsi="Times New Roman" w:cs="Times New Roman"/>
                <w:color w:val="auto"/>
                <w:kern w:val="2"/>
                <w:sz w:val="21"/>
                <w:szCs w:val="21"/>
                <w:shd w:val="clear" w:color="auto" w:fill="auto"/>
              </w:rPr>
              <w:t xml:space="preserve"> 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tc>
      </w:tr>
      <w:tr>
        <w:trPr>
          <w:trHeight w:val="567" w:hRule="atLeast"/>
          <w:jc w:val="center"/>
        </w:trPr>
        <w:tc>
          <w:tcPr>
            <w:tcW w:w="143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8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567" w:hRule="atLeast"/>
          <w:jc w:val="center"/>
        </w:trPr>
        <w:tc>
          <w:tcPr>
            <w:tcW w:w="1435"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88"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污染防治设施已建成</w:t>
            </w:r>
            <w:r>
              <w:rPr>
                <w:rFonts w:hint="default" w:ascii="Times New Roman" w:hAnsi="Times New Roman" w:cs="Times New Roman"/>
                <w:color w:val="auto"/>
                <w:kern w:val="2"/>
                <w:sz w:val="21"/>
                <w:szCs w:val="21"/>
                <w:shd w:val="clear" w:color="auto" w:fill="auto"/>
                <w:lang w:eastAsia="zh-CN"/>
              </w:rPr>
              <w:t>，经</w:t>
            </w:r>
            <w:r>
              <w:rPr>
                <w:rFonts w:hint="default" w:ascii="Times New Roman" w:hAnsi="Times New Roman" w:cs="Times New Roman"/>
                <w:color w:val="auto"/>
                <w:kern w:val="2"/>
                <w:sz w:val="21"/>
                <w:szCs w:val="21"/>
                <w:shd w:val="clear" w:color="auto" w:fill="auto"/>
              </w:rPr>
              <w:t>验收不合格，主体工程投入生产或者使用的</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567" w:hRule="atLeast"/>
          <w:jc w:val="center"/>
        </w:trPr>
        <w:tc>
          <w:tcPr>
            <w:tcW w:w="143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88"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污染防治设施已建成未经验收，主体工程投入生产或者使用的</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567" w:hRule="atLeast"/>
          <w:jc w:val="center"/>
        </w:trPr>
        <w:tc>
          <w:tcPr>
            <w:tcW w:w="143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88"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污染防治设施已动工建设尚未建成，主体工程投入生产或者使用的</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567" w:hRule="atLeast"/>
          <w:jc w:val="center"/>
        </w:trPr>
        <w:tc>
          <w:tcPr>
            <w:tcW w:w="143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88"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污染防治设施尚未建设，主体工程投入生产或使用的</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567" w:hRule="atLeast"/>
          <w:jc w:val="center"/>
        </w:trPr>
        <w:tc>
          <w:tcPr>
            <w:tcW w:w="1435"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排放污染物类</w:t>
            </w:r>
            <w:r>
              <w:rPr>
                <w:rFonts w:hint="default" w:ascii="Times New Roman" w:hAnsi="Times New Roman" w:cs="Times New Roman"/>
                <w:b/>
                <w:bCs/>
                <w:color w:val="auto"/>
                <w:sz w:val="20"/>
                <w:szCs w:val="20"/>
                <w:shd w:val="clear" w:color="auto" w:fill="auto"/>
                <w:lang w:val="en-US"/>
              </w:rPr>
              <w:t>别</w:t>
            </w:r>
          </w:p>
        </w:tc>
        <w:tc>
          <w:tcPr>
            <w:tcW w:w="508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生活废水</w:t>
            </w:r>
            <w:r>
              <w:rPr>
                <w:rFonts w:hint="eastAsia" w:ascii="Times New Roman" w:hAnsi="Times New Roman" w:cs="Times New Roman"/>
                <w:color w:val="auto"/>
                <w:sz w:val="20"/>
                <w:szCs w:val="20"/>
                <w:shd w:val="clear" w:color="auto" w:fill="auto"/>
                <w:lang w:val="en-US" w:eastAsia="zh-CN"/>
              </w:rPr>
              <w:t>/规模以下畜禽养殖废水</w:t>
            </w:r>
            <w:r>
              <w:rPr>
                <w:rFonts w:hint="default" w:ascii="Times New Roman" w:hAnsi="Times New Roman" w:cs="Times New Roman"/>
                <w:color w:val="auto"/>
                <w:sz w:val="20"/>
                <w:szCs w:val="20"/>
                <w:shd w:val="clear" w:color="auto" w:fill="auto"/>
              </w:rPr>
              <w:t>/Ⅰ类一般工业固体废物</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567" w:hRule="atLeast"/>
          <w:jc w:val="center"/>
        </w:trPr>
        <w:tc>
          <w:tcPr>
            <w:tcW w:w="143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8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农业生产、畜禽养殖废气/工业扬尘废气/机械、汽车修理废气/服务业废水</w:t>
            </w:r>
            <w:r>
              <w:rPr>
                <w:rFonts w:hint="eastAsia" w:ascii="Times New Roman" w:hAnsi="Times New Roman" w:cs="Times New Roman"/>
                <w:color w:val="auto"/>
                <w:sz w:val="20"/>
                <w:szCs w:val="20"/>
                <w:shd w:val="clear" w:color="auto" w:fill="auto"/>
                <w:lang w:val="en-US" w:eastAsia="zh-CN"/>
              </w:rPr>
              <w:t>/规模化畜禽养殖废水</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567" w:hRule="atLeast"/>
          <w:jc w:val="center"/>
        </w:trPr>
        <w:tc>
          <w:tcPr>
            <w:tcW w:w="143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8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一般工业废气/含恶臭污染物的废气/医疗废气/实验室废气/一般工业废水/Ⅱ类一般工业固体废物</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567" w:hRule="atLeast"/>
          <w:jc w:val="center"/>
        </w:trPr>
        <w:tc>
          <w:tcPr>
            <w:tcW w:w="143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8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火电、钢铁、石化、水泥、炼焦、有色、化工废气、烟尘/燃煤锅炉废气、烟尘/含其他有毒有害物质的废水、医疗废水</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567" w:hRule="atLeast"/>
          <w:jc w:val="center"/>
        </w:trPr>
        <w:tc>
          <w:tcPr>
            <w:tcW w:w="143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8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含有毒有害物质的废气/含一类污染物或重金属、病原体、放射性物质的废水/危险废物</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567" w:hRule="atLeast"/>
          <w:jc w:val="center"/>
        </w:trPr>
        <w:tc>
          <w:tcPr>
            <w:tcW w:w="1435"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项目应报批的环评文件类别</w:t>
            </w:r>
          </w:p>
        </w:tc>
        <w:tc>
          <w:tcPr>
            <w:tcW w:w="5088"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报告表</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567" w:hRule="atLeast"/>
          <w:jc w:val="center"/>
        </w:trPr>
        <w:tc>
          <w:tcPr>
            <w:tcW w:w="143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8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报告书</w:t>
            </w:r>
            <w:r>
              <w:rPr>
                <w:rFonts w:hint="default" w:ascii="Times New Roman" w:hAnsi="Times New Roman" w:cs="Times New Roman"/>
                <w:color w:val="auto"/>
                <w:sz w:val="20"/>
                <w:szCs w:val="20"/>
                <w:shd w:val="clear" w:color="auto" w:fill="auto"/>
                <w:lang w:eastAsia="zh-CN"/>
              </w:rPr>
              <w:t>（非重点管理企业）</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567" w:hRule="atLeast"/>
          <w:jc w:val="center"/>
        </w:trPr>
        <w:tc>
          <w:tcPr>
            <w:tcW w:w="143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8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报告书（钢铁、火电、危废集中处置</w:t>
            </w:r>
            <w:r>
              <w:rPr>
                <w:rFonts w:hint="eastAsia" w:ascii="Times New Roman" w:hAnsi="Times New Roman" w:cs="Times New Roman"/>
                <w:color w:val="auto"/>
                <w:sz w:val="20"/>
                <w:szCs w:val="20"/>
                <w:shd w:val="clear" w:color="auto" w:fill="auto"/>
                <w:lang w:eastAsia="zh-CN"/>
              </w:rPr>
              <w:t>、</w:t>
            </w:r>
            <w:r>
              <w:rPr>
                <w:rFonts w:hint="default" w:ascii="Times New Roman" w:hAnsi="Times New Roman" w:cs="Times New Roman"/>
                <w:color w:val="auto"/>
                <w:sz w:val="20"/>
                <w:szCs w:val="20"/>
                <w:shd w:val="clear" w:color="auto" w:fill="auto"/>
              </w:rPr>
              <w:t>化工、电镀、皮革、造纸、制浆、冶炼、放射性、印染染料、炼焦、炼油、矿山开采项目</w:t>
            </w:r>
            <w:r>
              <w:rPr>
                <w:rFonts w:hint="eastAsia" w:ascii="Times New Roman" w:hAnsi="Times New Roman" w:cs="Times New Roman"/>
                <w:color w:val="auto"/>
                <w:sz w:val="20"/>
                <w:szCs w:val="20"/>
                <w:shd w:val="clear" w:color="auto" w:fill="auto"/>
                <w:lang w:val="en-US" w:eastAsia="zh-CN"/>
              </w:rPr>
              <w:t>等</w:t>
            </w:r>
            <w:r>
              <w:rPr>
                <w:rFonts w:hint="default" w:ascii="Times New Roman" w:hAnsi="Times New Roman" w:cs="Times New Roman"/>
                <w:color w:val="auto"/>
                <w:sz w:val="20"/>
                <w:szCs w:val="20"/>
                <w:shd w:val="clear" w:color="auto" w:fill="auto"/>
              </w:rPr>
              <w:t>）</w:t>
            </w:r>
            <w:r>
              <w:rPr>
                <w:rFonts w:hint="default" w:ascii="Times New Roman" w:hAnsi="Times New Roman" w:cs="Times New Roman"/>
                <w:color w:val="auto"/>
                <w:sz w:val="20"/>
                <w:szCs w:val="20"/>
                <w:shd w:val="clear" w:color="auto" w:fill="auto"/>
                <w:lang w:eastAsia="zh-CN"/>
              </w:rPr>
              <w:t>（重点管理</w:t>
            </w:r>
            <w:r>
              <w:rPr>
                <w:rFonts w:hint="eastAsia" w:ascii="Times New Roman" w:hAnsi="Times New Roman" w:cs="Times New Roman"/>
                <w:color w:val="auto"/>
                <w:sz w:val="20"/>
                <w:szCs w:val="20"/>
                <w:shd w:val="clear" w:color="auto" w:fill="auto"/>
                <w:lang w:eastAsia="zh-CN"/>
              </w:rPr>
              <w:t>）</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435"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地点</w:t>
            </w:r>
          </w:p>
        </w:tc>
        <w:tc>
          <w:tcPr>
            <w:tcW w:w="5088"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符合环境功能区划</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43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88"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不符合环境功能区划，但不在保护区内</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43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88"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饮用水水源准保护区</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43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88"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位于自然保护区实验区/饮用水水源二级保护区</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43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88"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位于自然保护区缓冲区/位于自然保护区核心区/饮用水水源一级保护区</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435"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rPr>
              <w:t>违法</w:t>
            </w:r>
            <w:r>
              <w:rPr>
                <w:rFonts w:hint="default" w:ascii="Times New Roman" w:hAnsi="Times New Roman" w:cs="Times New Roman"/>
                <w:b/>
                <w:bCs/>
                <w:color w:val="auto"/>
                <w:sz w:val="20"/>
                <w:szCs w:val="20"/>
                <w:shd w:val="clear" w:color="auto" w:fill="auto"/>
                <w:lang w:val="en-US"/>
              </w:rPr>
              <w:t>行为</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持续</w:t>
            </w:r>
            <w:r>
              <w:rPr>
                <w:rFonts w:hint="default" w:ascii="Times New Roman" w:hAnsi="Times New Roman" w:cs="Times New Roman"/>
                <w:b/>
                <w:bCs/>
                <w:color w:val="auto"/>
                <w:sz w:val="20"/>
                <w:szCs w:val="20"/>
                <w:shd w:val="clear" w:color="auto" w:fill="auto"/>
              </w:rPr>
              <w:t>时间</w:t>
            </w:r>
          </w:p>
        </w:tc>
        <w:tc>
          <w:tcPr>
            <w:tcW w:w="5088"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435" w:type="dxa"/>
            <w:vMerge w:val="continue"/>
            <w:vAlign w:val="top"/>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88"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435" w:type="dxa"/>
            <w:vMerge w:val="continue"/>
            <w:vAlign w:val="top"/>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88"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435" w:type="dxa"/>
            <w:vMerge w:val="continue"/>
            <w:vAlign w:val="top"/>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88"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435" w:type="dxa"/>
            <w:vMerge w:val="continue"/>
            <w:vAlign w:val="top"/>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88"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435"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lang w:eastAsia="zh-CN"/>
              </w:rPr>
              <w:t>受处罚次数</w:t>
            </w:r>
          </w:p>
        </w:tc>
        <w:tc>
          <w:tcPr>
            <w:tcW w:w="508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eastAsia="zh-CN"/>
              </w:rPr>
            </w:pPr>
            <w:r>
              <w:rPr>
                <w:rFonts w:hint="default" w:ascii="Times New Roman" w:hAnsi="Times New Roman" w:cs="Times New Roman"/>
                <w:color w:val="auto"/>
                <w:sz w:val="20"/>
                <w:szCs w:val="20"/>
              </w:rPr>
              <w:t>两年内未受到过同类处罚</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rPr>
              <w:t>1</w:t>
            </w:r>
          </w:p>
        </w:tc>
      </w:tr>
      <w:tr>
        <w:trPr>
          <w:trHeight w:val="397" w:hRule="atLeast"/>
          <w:jc w:val="center"/>
        </w:trPr>
        <w:tc>
          <w:tcPr>
            <w:tcW w:w="143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8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eastAsia="zh-CN"/>
              </w:rPr>
            </w:pPr>
            <w:r>
              <w:rPr>
                <w:rFonts w:hint="default" w:ascii="Times New Roman" w:hAnsi="Times New Roman" w:cs="Times New Roman"/>
                <w:color w:val="auto"/>
                <w:sz w:val="20"/>
                <w:szCs w:val="20"/>
              </w:rPr>
              <w:t>两年内受到同类处罚1次</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rPr>
              <w:t>3</w:t>
            </w:r>
          </w:p>
        </w:tc>
      </w:tr>
      <w:tr>
        <w:trPr>
          <w:trHeight w:val="397" w:hRule="atLeast"/>
          <w:jc w:val="center"/>
        </w:trPr>
        <w:tc>
          <w:tcPr>
            <w:tcW w:w="143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8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eastAsia="zh-CN"/>
              </w:rPr>
            </w:pPr>
            <w:r>
              <w:rPr>
                <w:rFonts w:hint="default" w:ascii="Times New Roman" w:hAnsi="Times New Roman" w:cs="Times New Roman"/>
                <w:color w:val="auto"/>
                <w:sz w:val="20"/>
                <w:szCs w:val="20"/>
              </w:rPr>
              <w:t>两年内受到同类处罚2次以上</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rPr>
              <w:t>5</w:t>
            </w:r>
          </w:p>
        </w:tc>
      </w:tr>
      <w:tr>
        <w:trPr>
          <w:trHeight w:val="397" w:hRule="atLeast"/>
          <w:jc w:val="center"/>
        </w:trPr>
        <w:tc>
          <w:tcPr>
            <w:tcW w:w="1435"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8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43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8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43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8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43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8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43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25" w:type="dxa"/>
            <w:gridSpan w:val="2"/>
            <w:vAlign w:val="top"/>
          </w:tcPr>
          <w:p>
            <w:pPr>
              <w:shd w:val="clear" w:color="auto" w:fill="auto"/>
              <w:snapToGrid w:val="0"/>
              <w:spacing w:before="0" w:beforeAutospacing="0" w:after="0" w:afterAutospacing="0" w:line="300" w:lineRule="exact"/>
              <w:ind w:left="0" w:right="0" w:firstLine="420" w:firstLineChars="20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对企业的处罚和对直接负责的主管人员和其他责任人员的处罚，分别套用计算公式裁定处罚金额。</w:t>
            </w:r>
          </w:p>
          <w:p>
            <w:pPr>
              <w:shd w:val="clear" w:color="auto" w:fill="auto"/>
              <w:snapToGrid w:val="0"/>
              <w:spacing w:before="0" w:beforeAutospacing="0" w:after="0" w:afterAutospacing="0" w:line="300" w:lineRule="exact"/>
              <w:ind w:left="0" w:right="0" w:firstLine="420" w:firstLineChars="20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对企业的处罚：首次发现违法行为M值为100万元，N值为20万元；逾期不改正的，M值为200万元，N值为100万元。</w:t>
            </w:r>
          </w:p>
          <w:p>
            <w:pPr>
              <w:shd w:val="clear" w:color="auto" w:fill="auto"/>
              <w:snapToGrid w:val="0"/>
              <w:spacing w:before="0" w:beforeAutospacing="0" w:after="0" w:afterAutospacing="0" w:line="300" w:lineRule="exact"/>
              <w:ind w:left="0" w:right="0" w:firstLine="420" w:firstLineChars="20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对直接负责的主管人员和其他责任人员的处罚：M值为20万元，N值为5万元。</w:t>
            </w: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z w:val="10"/>
          <w:szCs w:val="10"/>
          <w:shd w:val="clear" w:color="auto" w:fill="auto"/>
        </w:rPr>
      </w:pPr>
    </w:p>
    <w:p>
      <w:pPr>
        <w:shd w:val="clear" w:color="auto" w:fill="auto"/>
        <w:snapToGrid w:val="0"/>
        <w:rPr>
          <w:rFonts w:hint="default" w:ascii="Times New Roman" w:hAnsi="Times New Roman" w:cs="Times New Roman"/>
          <w:color w:val="auto"/>
          <w:sz w:val="10"/>
          <w:szCs w:val="10"/>
          <w:shd w:val="clear" w:color="auto" w:fill="auto"/>
        </w:rPr>
      </w:pP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5170"/>
        <w:gridCol w:w="2526"/>
      </w:tblGrid>
      <w:tr>
        <w:trPr>
          <w:trHeight w:val="397" w:hRule="atLeast"/>
          <w:jc w:val="center"/>
        </w:trPr>
        <w:tc>
          <w:tcPr>
            <w:tcW w:w="9060" w:type="dxa"/>
            <w:gridSpan w:val="3"/>
            <w:vAlign w:val="center"/>
          </w:tcPr>
          <w:p>
            <w:pPr>
              <w:shd w:val="clear" w:color="auto" w:fill="auto"/>
              <w:snapToGrid w:val="0"/>
              <w:spacing w:before="0" w:beforeAutospacing="0" w:after="0" w:afterAutospacing="0" w:line="34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（一）建设项目管理类</w:t>
            </w:r>
          </w:p>
        </w:tc>
      </w:tr>
      <w:tr>
        <w:trPr>
          <w:trHeight w:val="397" w:hRule="atLeast"/>
          <w:jc w:val="center"/>
        </w:trPr>
        <w:tc>
          <w:tcPr>
            <w:tcW w:w="1364" w:type="dxa"/>
            <w:vAlign w:val="center"/>
          </w:tcPr>
          <w:p>
            <w:pPr>
              <w:shd w:val="clear" w:color="auto" w:fill="auto"/>
              <w:snapToGrid w:val="0"/>
              <w:spacing w:before="0" w:beforeAutospacing="0" w:after="0" w:afterAutospacing="0" w:line="34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6" w:type="dxa"/>
            <w:gridSpan w:val="2"/>
            <w:vAlign w:val="center"/>
          </w:tcPr>
          <w:p>
            <w:pPr>
              <w:shd w:val="clear" w:color="auto" w:fill="auto"/>
              <w:snapToGrid w:val="0"/>
              <w:spacing w:before="0" w:beforeAutospacing="0" w:after="0" w:afterAutospacing="0" w:line="340" w:lineRule="exact"/>
              <w:ind w:left="0" w:right="0"/>
              <w:jc w:val="center"/>
              <w:outlineLvl w:val="9"/>
              <w:rPr>
                <w:rFonts w:hint="default" w:ascii="Times New Roman" w:hAnsi="Times New Roman" w:cs="Times New Roman"/>
                <w:color w:val="auto"/>
                <w:sz w:val="20"/>
                <w:szCs w:val="20"/>
                <w:shd w:val="clear" w:color="auto" w:fill="auto"/>
              </w:rPr>
            </w:pPr>
            <w:bookmarkStart w:id="34" w:name="_Toc30631"/>
            <w:r>
              <w:rPr>
                <w:rFonts w:hint="default" w:ascii="Times New Roman" w:hAnsi="Times New Roman" w:cs="Times New Roman"/>
                <w:color w:val="auto"/>
                <w:sz w:val="20"/>
                <w:szCs w:val="20"/>
                <w:shd w:val="clear" w:color="auto" w:fill="auto"/>
              </w:rPr>
              <w:t>9</w:t>
            </w:r>
            <w:bookmarkEnd w:id="34"/>
          </w:p>
        </w:tc>
      </w:tr>
      <w:tr>
        <w:trPr>
          <w:trHeight w:val="397" w:hRule="atLeast"/>
          <w:jc w:val="center"/>
        </w:trPr>
        <w:tc>
          <w:tcPr>
            <w:tcW w:w="1364" w:type="dxa"/>
            <w:vAlign w:val="center"/>
          </w:tcPr>
          <w:p>
            <w:pPr>
              <w:shd w:val="clear" w:color="auto" w:fill="auto"/>
              <w:snapToGrid w:val="0"/>
              <w:spacing w:before="0" w:beforeAutospacing="0" w:after="0" w:afterAutospacing="0" w:line="34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6" w:type="dxa"/>
            <w:gridSpan w:val="2"/>
            <w:vAlign w:val="center"/>
          </w:tcPr>
          <w:p>
            <w:pPr>
              <w:shd w:val="clear" w:color="auto" w:fill="auto"/>
              <w:snapToGrid w:val="0"/>
              <w:spacing w:before="0" w:beforeAutospacing="0" w:after="0" w:afterAutospacing="0" w:line="340" w:lineRule="exact"/>
              <w:ind w:left="0" w:right="0" w:firstLine="420"/>
              <w:jc w:val="center"/>
              <w:outlineLvl w:val="9"/>
              <w:rPr>
                <w:rFonts w:hint="default" w:ascii="Times New Roman" w:hAnsi="Times New Roman" w:cs="Times New Roman"/>
                <w:color w:val="auto"/>
                <w:sz w:val="20"/>
                <w:szCs w:val="20"/>
                <w:shd w:val="clear" w:color="auto" w:fill="auto"/>
              </w:rPr>
            </w:pPr>
            <w:bookmarkStart w:id="35" w:name="_Toc10183"/>
            <w:r>
              <w:rPr>
                <w:rFonts w:hint="default" w:ascii="Times New Roman" w:hAnsi="Times New Roman" w:cs="Times New Roman"/>
                <w:color w:val="auto"/>
                <w:sz w:val="20"/>
                <w:szCs w:val="20"/>
                <w:shd w:val="clear" w:color="auto" w:fill="auto"/>
              </w:rPr>
              <w:t>在环境保护设施验收中弄虚作假的</w:t>
            </w:r>
            <w:bookmarkEnd w:id="35"/>
          </w:p>
        </w:tc>
      </w:tr>
      <w:tr>
        <w:trPr>
          <w:trHeight w:val="397" w:hRule="atLeast"/>
          <w:jc w:val="center"/>
        </w:trPr>
        <w:tc>
          <w:tcPr>
            <w:tcW w:w="1364" w:type="dxa"/>
            <w:vAlign w:val="center"/>
          </w:tcPr>
          <w:p>
            <w:pPr>
              <w:shd w:val="clear" w:color="auto" w:fill="auto"/>
              <w:snapToGrid w:val="0"/>
              <w:spacing w:before="0" w:beforeAutospacing="0" w:after="0" w:afterAutospacing="0" w:line="34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6" w:type="dxa"/>
            <w:gridSpan w:val="2"/>
            <w:vAlign w:val="top"/>
          </w:tcPr>
          <w:p>
            <w:pPr>
              <w:pStyle w:val="19"/>
              <w:shd w:val="clear" w:color="auto" w:fill="auto"/>
              <w:snapToGrid w:val="0"/>
              <w:spacing w:before="0" w:beforeAutospacing="0" w:after="0" w:afterAutospacing="0" w:line="340" w:lineRule="exact"/>
              <w:ind w:left="0" w:right="0" w:firstLine="482"/>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《建设项目环境保护管理条例》第十七条第二款</w:t>
            </w:r>
            <w:r>
              <w:rPr>
                <w:rFonts w:hint="default" w:ascii="Times New Roman" w:hAnsi="Times New Roman" w:cs="Times New Roman"/>
                <w:color w:val="auto"/>
                <w:kern w:val="2"/>
                <w:sz w:val="21"/>
                <w:szCs w:val="21"/>
                <w:shd w:val="clear" w:color="auto" w:fill="auto"/>
              </w:rPr>
              <w:t xml:space="preserve"> 建设单位在环境保护设施验收过程中，应当如实查验、监测、记载建设项目环境保护设施的建设和调试情况，不得弄虚作假。</w:t>
            </w:r>
          </w:p>
        </w:tc>
      </w:tr>
      <w:tr>
        <w:trPr>
          <w:trHeight w:val="397" w:hRule="atLeast"/>
          <w:jc w:val="center"/>
        </w:trPr>
        <w:tc>
          <w:tcPr>
            <w:tcW w:w="1364" w:type="dxa"/>
            <w:vAlign w:val="center"/>
          </w:tcPr>
          <w:p>
            <w:pPr>
              <w:shd w:val="clear" w:color="auto" w:fill="auto"/>
              <w:snapToGrid w:val="0"/>
              <w:spacing w:before="0" w:beforeAutospacing="0" w:after="0" w:afterAutospacing="0" w:line="34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6" w:type="dxa"/>
            <w:gridSpan w:val="2"/>
            <w:vAlign w:val="top"/>
          </w:tcPr>
          <w:p>
            <w:pPr>
              <w:pStyle w:val="19"/>
              <w:shd w:val="clear" w:color="auto" w:fill="auto"/>
              <w:snapToGrid w:val="0"/>
              <w:spacing w:before="0" w:beforeAutospacing="0" w:after="0" w:afterAutospacing="0" w:line="34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《建设项目环境保护管理条例》第二十三条第一款</w:t>
            </w:r>
            <w:r>
              <w:rPr>
                <w:rFonts w:hint="default" w:ascii="Times New Roman" w:hAnsi="Times New Roman" w:cs="Times New Roman"/>
                <w:color w:val="auto"/>
                <w:kern w:val="2"/>
                <w:sz w:val="21"/>
                <w:szCs w:val="21"/>
                <w:shd w:val="clear" w:color="auto" w:fill="auto"/>
              </w:rPr>
              <w:t xml:space="preserve"> 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tc>
      </w:tr>
      <w:tr>
        <w:trPr>
          <w:trHeight w:val="709" w:hRule="atLeast"/>
          <w:jc w:val="center"/>
        </w:trPr>
        <w:tc>
          <w:tcPr>
            <w:tcW w:w="1364" w:type="dxa"/>
            <w:vAlign w:val="center"/>
          </w:tcPr>
          <w:p>
            <w:pPr>
              <w:shd w:val="clear" w:color="auto" w:fill="auto"/>
              <w:snapToGrid w:val="0"/>
              <w:spacing w:before="0" w:beforeAutospacing="0" w:after="0" w:afterAutospacing="0" w:line="34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70" w:type="dxa"/>
            <w:vAlign w:val="center"/>
          </w:tcPr>
          <w:p>
            <w:pPr>
              <w:shd w:val="clear" w:color="auto" w:fill="auto"/>
              <w:snapToGrid w:val="0"/>
              <w:spacing w:before="0" w:beforeAutospacing="0" w:after="0" w:afterAutospacing="0" w:line="34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26" w:type="dxa"/>
            <w:vAlign w:val="center"/>
          </w:tcPr>
          <w:p>
            <w:pPr>
              <w:shd w:val="clear" w:color="auto" w:fill="auto"/>
              <w:snapToGrid w:val="0"/>
              <w:spacing w:before="0" w:beforeAutospacing="0" w:after="0" w:afterAutospacing="0" w:line="34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709" w:hRule="atLeast"/>
          <w:jc w:val="center"/>
        </w:trPr>
        <w:tc>
          <w:tcPr>
            <w:tcW w:w="1364" w:type="dxa"/>
            <w:vMerge w:val="restart"/>
            <w:vAlign w:val="center"/>
          </w:tcPr>
          <w:p>
            <w:pPr>
              <w:shd w:val="clear" w:color="auto" w:fill="auto"/>
              <w:snapToGrid w:val="0"/>
              <w:spacing w:before="0" w:beforeAutospacing="0" w:after="0" w:afterAutospacing="0" w:line="34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70" w:type="dxa"/>
            <w:vAlign w:val="center"/>
          </w:tcPr>
          <w:p>
            <w:pPr>
              <w:pStyle w:val="18"/>
              <w:shd w:val="clear" w:color="auto" w:fill="auto"/>
              <w:snapToGrid w:val="0"/>
              <w:spacing w:before="0" w:beforeAutospacing="0" w:after="0" w:afterAutospacing="0" w:line="34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建设过程中造成重大环境污染未治理完成，或者造成重大生态破坏未恢复的；</w:t>
            </w:r>
          </w:p>
        </w:tc>
        <w:tc>
          <w:tcPr>
            <w:tcW w:w="2526" w:type="dxa"/>
            <w:vAlign w:val="center"/>
          </w:tcPr>
          <w:p>
            <w:pPr>
              <w:shd w:val="clear" w:color="auto" w:fill="auto"/>
              <w:snapToGrid w:val="0"/>
              <w:spacing w:before="0" w:beforeAutospacing="0" w:after="0" w:afterAutospacing="0" w:line="34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1</w:t>
            </w:r>
          </w:p>
        </w:tc>
      </w:tr>
      <w:tr>
        <w:trPr>
          <w:trHeight w:val="709" w:hRule="atLeast"/>
          <w:jc w:val="center"/>
        </w:trPr>
        <w:tc>
          <w:tcPr>
            <w:tcW w:w="1364" w:type="dxa"/>
            <w:vMerge w:val="continue"/>
            <w:vAlign w:val="center"/>
          </w:tcPr>
          <w:p>
            <w:pPr>
              <w:shd w:val="clear" w:color="auto" w:fill="auto"/>
              <w:snapToGrid w:val="0"/>
              <w:spacing w:before="0" w:beforeAutospacing="0" w:after="0" w:afterAutospacing="0" w:line="340" w:lineRule="exact"/>
              <w:ind w:left="0" w:right="0"/>
              <w:jc w:val="center"/>
              <w:rPr>
                <w:rFonts w:hint="default" w:ascii="Times New Roman" w:hAnsi="Times New Roman" w:cs="Times New Roman"/>
                <w:b/>
                <w:bCs/>
                <w:color w:val="auto"/>
                <w:sz w:val="20"/>
                <w:szCs w:val="20"/>
                <w:shd w:val="clear" w:color="auto" w:fill="auto"/>
              </w:rPr>
            </w:pPr>
          </w:p>
        </w:tc>
        <w:tc>
          <w:tcPr>
            <w:tcW w:w="5170" w:type="dxa"/>
            <w:vAlign w:val="center"/>
          </w:tcPr>
          <w:p>
            <w:pPr>
              <w:pStyle w:val="18"/>
              <w:shd w:val="clear" w:color="auto" w:fill="auto"/>
              <w:snapToGrid w:val="0"/>
              <w:spacing w:before="0" w:beforeAutospacing="0" w:after="0" w:afterAutospacing="0" w:line="34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纳入排污许可管理的建设项目，无证排污或者不按证排污的；</w:t>
            </w:r>
          </w:p>
        </w:tc>
        <w:tc>
          <w:tcPr>
            <w:tcW w:w="2526" w:type="dxa"/>
            <w:vAlign w:val="center"/>
          </w:tcPr>
          <w:p>
            <w:pPr>
              <w:shd w:val="clear" w:color="auto" w:fill="auto"/>
              <w:snapToGrid w:val="0"/>
              <w:spacing w:before="0" w:beforeAutospacing="0" w:after="0" w:afterAutospacing="0" w:line="34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eastAsia="zh-CN"/>
              </w:rPr>
              <w:t>2</w:t>
            </w:r>
          </w:p>
        </w:tc>
      </w:tr>
      <w:tr>
        <w:trPr>
          <w:trHeight w:val="709" w:hRule="atLeast"/>
          <w:jc w:val="center"/>
        </w:trPr>
        <w:tc>
          <w:tcPr>
            <w:tcW w:w="1364" w:type="dxa"/>
            <w:vMerge w:val="continue"/>
            <w:vAlign w:val="center"/>
          </w:tcPr>
          <w:p>
            <w:pPr>
              <w:shd w:val="clear" w:color="auto" w:fill="auto"/>
              <w:snapToGrid w:val="0"/>
              <w:spacing w:before="0" w:beforeAutospacing="0" w:after="0" w:afterAutospacing="0" w:line="340" w:lineRule="exact"/>
              <w:ind w:left="0" w:right="0"/>
              <w:jc w:val="center"/>
              <w:rPr>
                <w:rFonts w:hint="default" w:ascii="Times New Roman" w:hAnsi="Times New Roman" w:cs="Times New Roman"/>
                <w:b/>
                <w:bCs/>
                <w:color w:val="auto"/>
                <w:sz w:val="20"/>
                <w:szCs w:val="20"/>
                <w:shd w:val="clear" w:color="auto" w:fill="auto"/>
              </w:rPr>
            </w:pPr>
          </w:p>
        </w:tc>
        <w:tc>
          <w:tcPr>
            <w:tcW w:w="5170" w:type="dxa"/>
            <w:vAlign w:val="center"/>
          </w:tcPr>
          <w:p>
            <w:pPr>
              <w:pStyle w:val="18"/>
              <w:shd w:val="clear" w:color="auto" w:fill="auto"/>
              <w:snapToGrid w:val="0"/>
              <w:spacing w:before="0" w:beforeAutospacing="0" w:after="0" w:afterAutospacing="0" w:line="34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环境影响报告书（表）经批准后，该建设项目的性质、规模、地点、采用的生产工艺或者防治污染、防止生态破坏的措施发生重大变动，建设单位未重新报批环境影响报告书（表）或者环境影响报告书（表）未经批准的</w:t>
            </w:r>
          </w:p>
        </w:tc>
        <w:tc>
          <w:tcPr>
            <w:tcW w:w="2526" w:type="dxa"/>
            <w:vAlign w:val="center"/>
          </w:tcPr>
          <w:p>
            <w:pPr>
              <w:shd w:val="clear" w:color="auto" w:fill="auto"/>
              <w:snapToGrid w:val="0"/>
              <w:spacing w:before="0" w:beforeAutospacing="0" w:after="0" w:afterAutospacing="0" w:line="34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eastAsia="zh-CN"/>
              </w:rPr>
              <w:t>3</w:t>
            </w:r>
          </w:p>
        </w:tc>
      </w:tr>
      <w:tr>
        <w:trPr>
          <w:trHeight w:val="709" w:hRule="atLeast"/>
          <w:jc w:val="center"/>
        </w:trPr>
        <w:tc>
          <w:tcPr>
            <w:tcW w:w="1364" w:type="dxa"/>
            <w:vMerge w:val="continue"/>
            <w:vAlign w:val="center"/>
          </w:tcPr>
          <w:p>
            <w:pPr>
              <w:shd w:val="clear" w:color="auto" w:fill="auto"/>
              <w:snapToGrid w:val="0"/>
              <w:spacing w:before="0" w:beforeAutospacing="0" w:after="0" w:afterAutospacing="0" w:line="340" w:lineRule="exact"/>
              <w:ind w:left="0" w:right="0"/>
              <w:jc w:val="center"/>
              <w:rPr>
                <w:rFonts w:hint="default" w:ascii="Times New Roman" w:hAnsi="Times New Roman" w:cs="Times New Roman"/>
                <w:b/>
                <w:bCs/>
                <w:color w:val="auto"/>
                <w:sz w:val="20"/>
                <w:szCs w:val="20"/>
                <w:shd w:val="clear" w:color="auto" w:fill="auto"/>
              </w:rPr>
            </w:pPr>
          </w:p>
        </w:tc>
        <w:tc>
          <w:tcPr>
            <w:tcW w:w="5170" w:type="dxa"/>
            <w:vAlign w:val="center"/>
          </w:tcPr>
          <w:p>
            <w:pPr>
              <w:pStyle w:val="18"/>
              <w:shd w:val="clear" w:color="auto" w:fill="auto"/>
              <w:snapToGrid w:val="0"/>
              <w:spacing w:before="0" w:beforeAutospacing="0" w:after="0" w:afterAutospacing="0" w:line="34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未按环境影响报告书（表）及其审批部门审批决定要求建成环境保护设施，或者环境保护设施不能与主体工程同时投产或者使用的</w:t>
            </w:r>
            <w:r>
              <w:rPr>
                <w:rFonts w:hint="default" w:ascii="Times New Roman" w:hAnsi="Times New Roman" w:cs="Times New Roman"/>
                <w:color w:val="auto"/>
                <w:kern w:val="2"/>
                <w:sz w:val="21"/>
                <w:szCs w:val="21"/>
                <w:shd w:val="clear" w:color="auto" w:fill="auto"/>
                <w:lang w:val="en-US" w:eastAsia="zh-CN"/>
              </w:rPr>
              <w:t>/</w:t>
            </w:r>
            <w:r>
              <w:rPr>
                <w:rFonts w:hint="default" w:ascii="Times New Roman" w:hAnsi="Times New Roman" w:cs="Times New Roman"/>
                <w:color w:val="auto"/>
                <w:kern w:val="2"/>
                <w:sz w:val="21"/>
                <w:szCs w:val="21"/>
                <w:shd w:val="clear" w:color="auto" w:fill="auto"/>
              </w:rPr>
              <w:t>分期建设、分期投入生产或者使用依法应当分期验收的建设项目，其分期建设、分期投入生产或者使用的环境保护设施防治环境污染和生态破坏的能力不能满足其相应主体工程需要的</w:t>
            </w:r>
          </w:p>
        </w:tc>
        <w:tc>
          <w:tcPr>
            <w:tcW w:w="2526" w:type="dxa"/>
            <w:vAlign w:val="center"/>
          </w:tcPr>
          <w:p>
            <w:pPr>
              <w:shd w:val="clear" w:color="auto" w:fill="auto"/>
              <w:snapToGrid w:val="0"/>
              <w:spacing w:before="0" w:beforeAutospacing="0" w:after="0" w:afterAutospacing="0" w:line="34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eastAsia="zh-CN"/>
              </w:rPr>
              <w:t>4</w:t>
            </w:r>
          </w:p>
        </w:tc>
      </w:tr>
      <w:tr>
        <w:trPr>
          <w:trHeight w:val="709" w:hRule="atLeast"/>
          <w:jc w:val="center"/>
        </w:trPr>
        <w:tc>
          <w:tcPr>
            <w:tcW w:w="1364" w:type="dxa"/>
            <w:vMerge w:val="continue"/>
            <w:vAlign w:val="center"/>
          </w:tcPr>
          <w:p>
            <w:pPr>
              <w:shd w:val="clear" w:color="auto" w:fill="auto"/>
              <w:snapToGrid w:val="0"/>
              <w:spacing w:before="0" w:beforeAutospacing="0" w:after="0" w:afterAutospacing="0" w:line="340" w:lineRule="exact"/>
              <w:ind w:left="0" w:right="0"/>
              <w:jc w:val="center"/>
              <w:rPr>
                <w:rFonts w:hint="default" w:ascii="Times New Roman" w:hAnsi="Times New Roman" w:cs="Times New Roman"/>
                <w:b/>
                <w:bCs/>
                <w:color w:val="auto"/>
                <w:sz w:val="20"/>
                <w:szCs w:val="20"/>
                <w:shd w:val="clear" w:color="auto" w:fill="auto"/>
              </w:rPr>
            </w:pPr>
          </w:p>
        </w:tc>
        <w:tc>
          <w:tcPr>
            <w:tcW w:w="5170" w:type="dxa"/>
            <w:vAlign w:val="center"/>
          </w:tcPr>
          <w:p>
            <w:pPr>
              <w:pStyle w:val="18"/>
              <w:shd w:val="clear" w:color="auto" w:fill="auto"/>
              <w:snapToGrid w:val="0"/>
              <w:spacing w:before="0" w:beforeAutospacing="0" w:after="0" w:afterAutospacing="0" w:line="34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验收报告的基础资料数据明显不实，内容存在重大缺项、遗漏，或者验收结论不明确、不合理的</w:t>
            </w:r>
          </w:p>
        </w:tc>
        <w:tc>
          <w:tcPr>
            <w:tcW w:w="2526" w:type="dxa"/>
            <w:vAlign w:val="center"/>
          </w:tcPr>
          <w:p>
            <w:pPr>
              <w:shd w:val="clear" w:color="auto" w:fill="auto"/>
              <w:snapToGrid w:val="0"/>
              <w:spacing w:before="0" w:beforeAutospacing="0" w:after="0" w:afterAutospacing="0" w:line="34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5</w:t>
            </w:r>
          </w:p>
        </w:tc>
      </w:tr>
      <w:tr>
        <w:trPr>
          <w:trHeight w:val="709" w:hRule="atLeast"/>
          <w:jc w:val="center"/>
        </w:trPr>
        <w:tc>
          <w:tcPr>
            <w:tcW w:w="1364" w:type="dxa"/>
            <w:vMerge w:val="restart"/>
            <w:vAlign w:val="center"/>
          </w:tcPr>
          <w:p>
            <w:pPr>
              <w:shd w:val="clear" w:color="auto" w:fill="auto"/>
              <w:snapToGrid w:val="0"/>
              <w:spacing w:before="0" w:beforeAutospacing="0" w:after="0" w:afterAutospacing="0" w:line="34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项目应报批的环评文件类别</w:t>
            </w:r>
          </w:p>
        </w:tc>
        <w:tc>
          <w:tcPr>
            <w:tcW w:w="5170" w:type="dxa"/>
            <w:vAlign w:val="center"/>
          </w:tcPr>
          <w:p>
            <w:pPr>
              <w:pStyle w:val="18"/>
              <w:shd w:val="clear" w:color="auto" w:fill="auto"/>
              <w:snapToGrid w:val="0"/>
              <w:spacing w:before="0" w:beforeAutospacing="0" w:after="0" w:afterAutospacing="0" w:line="34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报告表</w:t>
            </w:r>
          </w:p>
        </w:tc>
        <w:tc>
          <w:tcPr>
            <w:tcW w:w="2526" w:type="dxa"/>
            <w:vAlign w:val="center"/>
          </w:tcPr>
          <w:p>
            <w:pPr>
              <w:shd w:val="clear" w:color="auto" w:fill="auto"/>
              <w:snapToGrid w:val="0"/>
              <w:spacing w:before="0" w:beforeAutospacing="0" w:after="0" w:afterAutospacing="0" w:line="34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709" w:hRule="atLeast"/>
          <w:jc w:val="center"/>
        </w:trPr>
        <w:tc>
          <w:tcPr>
            <w:tcW w:w="1364" w:type="dxa"/>
            <w:vMerge w:val="continue"/>
            <w:vAlign w:val="center"/>
          </w:tcPr>
          <w:p>
            <w:pPr>
              <w:shd w:val="clear" w:color="auto" w:fill="auto"/>
              <w:snapToGrid w:val="0"/>
              <w:spacing w:before="0" w:beforeAutospacing="0" w:after="0" w:afterAutospacing="0" w:line="340" w:lineRule="exact"/>
              <w:ind w:left="0" w:right="0"/>
              <w:jc w:val="center"/>
              <w:rPr>
                <w:rFonts w:hint="default" w:ascii="Times New Roman" w:hAnsi="Times New Roman" w:cs="Times New Roman"/>
                <w:b/>
                <w:bCs/>
                <w:color w:val="auto"/>
                <w:sz w:val="20"/>
                <w:szCs w:val="20"/>
                <w:shd w:val="clear" w:color="auto" w:fill="auto"/>
              </w:rPr>
            </w:pPr>
          </w:p>
        </w:tc>
        <w:tc>
          <w:tcPr>
            <w:tcW w:w="5170" w:type="dxa"/>
            <w:vAlign w:val="center"/>
          </w:tcPr>
          <w:p>
            <w:pPr>
              <w:shd w:val="clear" w:color="auto" w:fill="auto"/>
              <w:snapToGrid w:val="0"/>
              <w:spacing w:before="0" w:beforeAutospacing="0" w:after="0" w:afterAutospacing="0" w:line="34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报告书</w:t>
            </w:r>
            <w:r>
              <w:rPr>
                <w:rFonts w:hint="default" w:ascii="Times New Roman" w:hAnsi="Times New Roman" w:cs="Times New Roman"/>
                <w:color w:val="auto"/>
                <w:sz w:val="20"/>
                <w:szCs w:val="20"/>
                <w:shd w:val="clear" w:color="auto" w:fill="auto"/>
                <w:lang w:eastAsia="zh-CN"/>
              </w:rPr>
              <w:t>（非重点管理企业）</w:t>
            </w:r>
          </w:p>
        </w:tc>
        <w:tc>
          <w:tcPr>
            <w:tcW w:w="2526" w:type="dxa"/>
            <w:vAlign w:val="center"/>
          </w:tcPr>
          <w:p>
            <w:pPr>
              <w:shd w:val="clear" w:color="auto" w:fill="auto"/>
              <w:snapToGrid w:val="0"/>
              <w:spacing w:before="0" w:beforeAutospacing="0" w:after="0" w:afterAutospacing="0" w:line="34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709" w:hRule="atLeast"/>
          <w:jc w:val="center"/>
        </w:trPr>
        <w:tc>
          <w:tcPr>
            <w:tcW w:w="1364" w:type="dxa"/>
            <w:vMerge w:val="continue"/>
            <w:vAlign w:val="center"/>
          </w:tcPr>
          <w:p>
            <w:pPr>
              <w:shd w:val="clear" w:color="auto" w:fill="auto"/>
              <w:snapToGrid w:val="0"/>
              <w:spacing w:before="0" w:beforeAutospacing="0" w:after="0" w:afterAutospacing="0" w:line="340" w:lineRule="exact"/>
              <w:ind w:left="0" w:right="0"/>
              <w:jc w:val="center"/>
              <w:rPr>
                <w:rFonts w:hint="default" w:ascii="Times New Roman" w:hAnsi="Times New Roman" w:cs="Times New Roman"/>
                <w:b/>
                <w:bCs/>
                <w:color w:val="auto"/>
                <w:sz w:val="20"/>
                <w:szCs w:val="20"/>
                <w:shd w:val="clear" w:color="auto" w:fill="auto"/>
              </w:rPr>
            </w:pPr>
          </w:p>
        </w:tc>
        <w:tc>
          <w:tcPr>
            <w:tcW w:w="5170" w:type="dxa"/>
            <w:vAlign w:val="center"/>
          </w:tcPr>
          <w:p>
            <w:pPr>
              <w:shd w:val="clear" w:color="auto" w:fill="auto"/>
              <w:snapToGrid w:val="0"/>
              <w:spacing w:before="0" w:beforeAutospacing="0" w:after="0" w:afterAutospacing="0" w:line="34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报告书（钢铁、火电、危废集中处置</w:t>
            </w:r>
            <w:r>
              <w:rPr>
                <w:rFonts w:hint="eastAsia" w:ascii="Times New Roman" w:hAnsi="Times New Roman" w:cs="Times New Roman"/>
                <w:color w:val="auto"/>
                <w:sz w:val="20"/>
                <w:szCs w:val="20"/>
                <w:shd w:val="clear" w:color="auto" w:fill="auto"/>
                <w:lang w:eastAsia="zh-CN"/>
              </w:rPr>
              <w:t>、</w:t>
            </w:r>
            <w:r>
              <w:rPr>
                <w:rFonts w:hint="default" w:ascii="Times New Roman" w:hAnsi="Times New Roman" w:cs="Times New Roman"/>
                <w:color w:val="auto"/>
                <w:sz w:val="20"/>
                <w:szCs w:val="20"/>
                <w:shd w:val="clear" w:color="auto" w:fill="auto"/>
              </w:rPr>
              <w:t>化工、电镀、皮革、造纸、制浆、冶炼、放射性、印染染料、炼焦、炼油、矿山开采项目</w:t>
            </w:r>
            <w:r>
              <w:rPr>
                <w:rFonts w:hint="eastAsia" w:ascii="Times New Roman" w:hAnsi="Times New Roman" w:cs="Times New Roman"/>
                <w:color w:val="auto"/>
                <w:sz w:val="20"/>
                <w:szCs w:val="20"/>
                <w:shd w:val="clear" w:color="auto" w:fill="auto"/>
                <w:lang w:val="en-US" w:eastAsia="zh-CN"/>
              </w:rPr>
              <w:t>等</w:t>
            </w:r>
            <w:r>
              <w:rPr>
                <w:rFonts w:hint="default" w:ascii="Times New Roman" w:hAnsi="Times New Roman" w:cs="Times New Roman"/>
                <w:color w:val="auto"/>
                <w:sz w:val="20"/>
                <w:szCs w:val="20"/>
                <w:shd w:val="clear" w:color="auto" w:fill="auto"/>
              </w:rPr>
              <w:t>）</w:t>
            </w:r>
            <w:r>
              <w:rPr>
                <w:rFonts w:hint="default" w:ascii="Times New Roman" w:hAnsi="Times New Roman" w:cs="Times New Roman"/>
                <w:color w:val="auto"/>
                <w:sz w:val="20"/>
                <w:szCs w:val="20"/>
                <w:shd w:val="clear" w:color="auto" w:fill="auto"/>
                <w:lang w:eastAsia="zh-CN"/>
              </w:rPr>
              <w:t>（重点管理</w:t>
            </w:r>
            <w:r>
              <w:rPr>
                <w:rFonts w:hint="eastAsia" w:ascii="Times New Roman" w:hAnsi="Times New Roman" w:cs="Times New Roman"/>
                <w:color w:val="auto"/>
                <w:sz w:val="20"/>
                <w:szCs w:val="20"/>
                <w:shd w:val="clear" w:color="auto" w:fill="auto"/>
                <w:lang w:eastAsia="zh-CN"/>
              </w:rPr>
              <w:t>）</w:t>
            </w:r>
          </w:p>
        </w:tc>
        <w:tc>
          <w:tcPr>
            <w:tcW w:w="2526" w:type="dxa"/>
            <w:vAlign w:val="center"/>
          </w:tcPr>
          <w:p>
            <w:pPr>
              <w:shd w:val="clear" w:color="auto" w:fill="auto"/>
              <w:snapToGrid w:val="0"/>
              <w:spacing w:before="0" w:beforeAutospacing="0" w:after="0" w:afterAutospacing="0" w:line="34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4" w:type="dxa"/>
            <w:vMerge w:val="restart"/>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排放污染物类</w:t>
            </w:r>
            <w:r>
              <w:rPr>
                <w:rFonts w:hint="default" w:ascii="Times New Roman" w:hAnsi="Times New Roman" w:cs="Times New Roman"/>
                <w:b/>
                <w:bCs/>
                <w:color w:val="auto"/>
                <w:sz w:val="20"/>
                <w:szCs w:val="20"/>
                <w:shd w:val="clear" w:color="auto" w:fill="auto"/>
                <w:lang w:val="en-US"/>
              </w:rPr>
              <w:t>别</w:t>
            </w:r>
          </w:p>
        </w:tc>
        <w:tc>
          <w:tcPr>
            <w:tcW w:w="5170"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生活废水</w:t>
            </w:r>
            <w:r>
              <w:rPr>
                <w:rFonts w:hint="eastAsia" w:ascii="Times New Roman" w:hAnsi="Times New Roman" w:cs="Times New Roman"/>
                <w:color w:val="auto"/>
                <w:sz w:val="20"/>
                <w:szCs w:val="20"/>
                <w:shd w:val="clear" w:color="auto" w:fill="auto"/>
                <w:lang w:val="en-US" w:eastAsia="zh-CN"/>
              </w:rPr>
              <w:t>/规模以下畜禽养殖废水</w:t>
            </w:r>
            <w:r>
              <w:rPr>
                <w:rFonts w:hint="default" w:ascii="Times New Roman" w:hAnsi="Times New Roman" w:cs="Times New Roman"/>
                <w:color w:val="auto"/>
                <w:sz w:val="20"/>
                <w:szCs w:val="20"/>
                <w:shd w:val="clear" w:color="auto" w:fill="auto"/>
              </w:rPr>
              <w:t>/Ⅰ类一般工业固体废物</w:t>
            </w:r>
          </w:p>
        </w:tc>
        <w:tc>
          <w:tcPr>
            <w:tcW w:w="2526"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4" w:type="dxa"/>
            <w:vMerge w:val="continue"/>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70"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农业生产、畜禽养殖废气/工业扬尘废气/机械、汽车修理废气/服务业废水</w:t>
            </w:r>
            <w:r>
              <w:rPr>
                <w:rFonts w:hint="eastAsia" w:ascii="Times New Roman" w:hAnsi="Times New Roman" w:cs="Times New Roman"/>
                <w:color w:val="auto"/>
                <w:sz w:val="20"/>
                <w:szCs w:val="20"/>
                <w:shd w:val="clear" w:color="auto" w:fill="auto"/>
                <w:lang w:val="en-US" w:eastAsia="zh-CN"/>
              </w:rPr>
              <w:t>/规模化畜禽养殖废水</w:t>
            </w:r>
          </w:p>
        </w:tc>
        <w:tc>
          <w:tcPr>
            <w:tcW w:w="2526"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364" w:type="dxa"/>
            <w:vMerge w:val="continue"/>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70"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一般工业废气/含恶臭污染物的废气/医疗废气/实验室废气/一般工业废水/Ⅱ类一般工业固体废物</w:t>
            </w:r>
          </w:p>
        </w:tc>
        <w:tc>
          <w:tcPr>
            <w:tcW w:w="2526"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4" w:type="dxa"/>
            <w:vMerge w:val="continue"/>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70"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火电、钢铁、石化、水泥、炼焦、有色、化工废气、烟尘/燃煤锅炉废气、烟尘/含其他有毒有害物质的废水、医疗废水</w:t>
            </w:r>
          </w:p>
        </w:tc>
        <w:tc>
          <w:tcPr>
            <w:tcW w:w="2526"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64" w:type="dxa"/>
            <w:vMerge w:val="continue"/>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70"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含有毒有害物质的废气/含一类污染物或重金属、病原体、放射性物质的废水/危险废物</w:t>
            </w:r>
          </w:p>
        </w:tc>
        <w:tc>
          <w:tcPr>
            <w:tcW w:w="2526"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4" w:type="dxa"/>
            <w:vMerge w:val="restart"/>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地点</w:t>
            </w:r>
          </w:p>
        </w:tc>
        <w:tc>
          <w:tcPr>
            <w:tcW w:w="5170"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符合环境功能区划</w:t>
            </w:r>
          </w:p>
        </w:tc>
        <w:tc>
          <w:tcPr>
            <w:tcW w:w="2526"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4" w:type="dxa"/>
            <w:vMerge w:val="continue"/>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70"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不符合环境功能区划，但不在保护区内</w:t>
            </w:r>
          </w:p>
        </w:tc>
        <w:tc>
          <w:tcPr>
            <w:tcW w:w="2526"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364" w:type="dxa"/>
            <w:vMerge w:val="continue"/>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70"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饮用水水源准保护区</w:t>
            </w:r>
          </w:p>
        </w:tc>
        <w:tc>
          <w:tcPr>
            <w:tcW w:w="2526"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4" w:type="dxa"/>
            <w:vMerge w:val="continue"/>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70"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位于自然保护区实验区/饮用水水源二级保护区</w:t>
            </w:r>
          </w:p>
        </w:tc>
        <w:tc>
          <w:tcPr>
            <w:tcW w:w="2526"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64" w:type="dxa"/>
            <w:vMerge w:val="continue"/>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70"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位于自然保护区缓冲区/位于自然保护区核心区/饮用水水源一级保护区</w:t>
            </w:r>
          </w:p>
        </w:tc>
        <w:tc>
          <w:tcPr>
            <w:tcW w:w="2526"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17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52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36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7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3天以下</w:t>
            </w:r>
          </w:p>
        </w:tc>
        <w:tc>
          <w:tcPr>
            <w:tcW w:w="252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7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52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36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7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52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64" w:type="dxa"/>
            <w:vMerge w:val="restart"/>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lang w:eastAsia="zh-CN"/>
              </w:rPr>
              <w:t>受处罚次数</w:t>
            </w:r>
          </w:p>
        </w:tc>
        <w:tc>
          <w:tcPr>
            <w:tcW w:w="5170"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rPr>
              <w:t>两年内未受到过同类处罚</w:t>
            </w:r>
          </w:p>
        </w:tc>
        <w:tc>
          <w:tcPr>
            <w:tcW w:w="2526"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eastAsia"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rPr>
              <w:t>1</w:t>
            </w:r>
          </w:p>
        </w:tc>
      </w:tr>
      <w:tr>
        <w:trPr>
          <w:trHeight w:val="397" w:hRule="atLeast"/>
          <w:jc w:val="center"/>
        </w:trPr>
        <w:tc>
          <w:tcPr>
            <w:tcW w:w="1364" w:type="dxa"/>
            <w:vMerge w:val="continue"/>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70"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rPr>
              <w:t>两年内受到同类处罚1次</w:t>
            </w:r>
          </w:p>
        </w:tc>
        <w:tc>
          <w:tcPr>
            <w:tcW w:w="2526"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eastAsia"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rPr>
              <w:t>3</w:t>
            </w:r>
          </w:p>
        </w:tc>
      </w:tr>
      <w:tr>
        <w:trPr>
          <w:trHeight w:val="397" w:hRule="atLeast"/>
          <w:jc w:val="center"/>
        </w:trPr>
        <w:tc>
          <w:tcPr>
            <w:tcW w:w="1364" w:type="dxa"/>
            <w:vMerge w:val="continue"/>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70"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rPr>
              <w:t>两年内受到同类处罚2次以上</w:t>
            </w:r>
          </w:p>
        </w:tc>
        <w:tc>
          <w:tcPr>
            <w:tcW w:w="2526"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eastAsia"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rPr>
              <w:t>5</w:t>
            </w:r>
          </w:p>
        </w:tc>
      </w:tr>
      <w:tr>
        <w:trPr>
          <w:trHeight w:val="397" w:hRule="atLeast"/>
          <w:jc w:val="center"/>
        </w:trPr>
        <w:tc>
          <w:tcPr>
            <w:tcW w:w="1364" w:type="dxa"/>
            <w:vMerge w:val="restart"/>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70"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526"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4" w:type="dxa"/>
            <w:vMerge w:val="continue"/>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70"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26"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4" w:type="dxa"/>
            <w:vMerge w:val="continue"/>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70"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526"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64" w:type="dxa"/>
            <w:vMerge w:val="continue"/>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70"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526"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4" w:type="dxa"/>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6" w:type="dxa"/>
            <w:gridSpan w:val="2"/>
            <w:vAlign w:val="center"/>
          </w:tcPr>
          <w:p>
            <w:pPr>
              <w:widowControl w:val="0"/>
              <w:shd w:val="clear" w:color="auto" w:fill="auto"/>
              <w:wordWrap/>
              <w:adjustRightInd/>
              <w:snapToGrid w:val="0"/>
              <w:spacing w:before="0" w:beforeAutospacing="0" w:after="0" w:afterAutospacing="0" w:line="360" w:lineRule="exact"/>
              <w:ind w:left="0" w:right="0" w:firstLine="420" w:firstLineChars="200"/>
              <w:jc w:val="left"/>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对企业的处罚和对直接负责的主管人员和其他责任人员的处罚，分别套用计算公式裁定处罚金额。</w:t>
            </w:r>
          </w:p>
          <w:p>
            <w:pPr>
              <w:widowControl w:val="0"/>
              <w:shd w:val="clear" w:color="auto" w:fill="auto"/>
              <w:wordWrap/>
              <w:adjustRightInd/>
              <w:snapToGrid w:val="0"/>
              <w:spacing w:before="0" w:beforeAutospacing="0" w:after="0" w:afterAutospacing="0" w:line="360" w:lineRule="exact"/>
              <w:ind w:left="0" w:right="0" w:firstLine="420" w:firstLineChars="200"/>
              <w:jc w:val="left"/>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对企业的处罚：首次发现违法行为M值为100万元，N值为20万元；逾期不改正的，M值为200万元，N值为100万元。</w:t>
            </w:r>
          </w:p>
          <w:p>
            <w:pPr>
              <w:widowControl w:val="0"/>
              <w:shd w:val="clear" w:color="auto" w:fill="auto"/>
              <w:wordWrap/>
              <w:adjustRightInd/>
              <w:snapToGrid w:val="0"/>
              <w:spacing w:before="0" w:beforeAutospacing="0" w:after="0" w:afterAutospacing="0" w:line="360" w:lineRule="exact"/>
              <w:ind w:left="0" w:right="0" w:firstLine="420" w:firstLineChars="200"/>
              <w:jc w:val="left"/>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对直接负责的主管人员和其他责任人员的处罚：M值为20万元，N值为5万元。</w:t>
            </w: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z w:val="10"/>
          <w:szCs w:val="10"/>
          <w:shd w:val="clear" w:color="auto" w:fill="auto"/>
        </w:rPr>
      </w:pPr>
    </w:p>
    <w:p>
      <w:pPr>
        <w:shd w:val="clear" w:color="auto" w:fill="auto"/>
        <w:snapToGrid w:val="0"/>
        <w:rPr>
          <w:rFonts w:hint="default" w:ascii="Times New Roman" w:hAnsi="Times New Roman" w:cs="Times New Roman"/>
          <w:color w:val="auto"/>
          <w:sz w:val="10"/>
          <w:szCs w:val="10"/>
          <w:shd w:val="clear" w:color="auto" w:fill="auto"/>
        </w:rPr>
      </w:pP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5164"/>
        <w:gridCol w:w="2537"/>
      </w:tblGrid>
      <w:tr>
        <w:trPr>
          <w:trHeight w:val="312" w:hRule="atLeast"/>
          <w:jc w:val="center"/>
        </w:trPr>
        <w:tc>
          <w:tcPr>
            <w:tcW w:w="9060" w:type="dxa"/>
            <w:gridSpan w:val="3"/>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（一）建设项目管理类</w:t>
            </w:r>
          </w:p>
        </w:tc>
      </w:tr>
      <w:tr>
        <w:trPr>
          <w:trHeight w:val="312" w:hRule="atLeast"/>
          <w:jc w:val="center"/>
        </w:trPr>
        <w:tc>
          <w:tcPr>
            <w:tcW w:w="1359"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01" w:type="dxa"/>
            <w:gridSpan w:val="2"/>
            <w:vAlign w:val="center"/>
          </w:tcPr>
          <w:p>
            <w:pPr>
              <w:shd w:val="clear" w:color="auto" w:fill="auto"/>
              <w:wordWrap/>
              <w:adjustRightInd/>
              <w:snapToGrid w:val="0"/>
              <w:spacing w:before="0" w:beforeAutospacing="0" w:after="0" w:afterAutospacing="0" w:line="28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36" w:name="_Toc18047"/>
            <w:r>
              <w:rPr>
                <w:rFonts w:hint="default" w:ascii="Times New Roman" w:hAnsi="Times New Roman" w:cs="Times New Roman"/>
                <w:color w:val="auto"/>
                <w:sz w:val="20"/>
                <w:szCs w:val="20"/>
                <w:shd w:val="clear" w:color="auto" w:fill="auto"/>
              </w:rPr>
              <w:t>10</w:t>
            </w:r>
            <w:bookmarkEnd w:id="36"/>
          </w:p>
        </w:tc>
      </w:tr>
      <w:tr>
        <w:trPr>
          <w:trHeight w:val="312" w:hRule="atLeast"/>
          <w:jc w:val="center"/>
        </w:trPr>
        <w:tc>
          <w:tcPr>
            <w:tcW w:w="1359"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01" w:type="dxa"/>
            <w:gridSpan w:val="2"/>
            <w:vAlign w:val="center"/>
          </w:tcPr>
          <w:p>
            <w:pPr>
              <w:shd w:val="clear" w:color="auto" w:fill="auto"/>
              <w:wordWrap/>
              <w:adjustRightInd/>
              <w:snapToGrid w:val="0"/>
              <w:spacing w:before="0" w:beforeAutospacing="0" w:after="0" w:afterAutospacing="0" w:line="280" w:lineRule="exact"/>
              <w:ind w:left="0" w:right="0" w:firstLine="420"/>
              <w:jc w:val="center"/>
              <w:textAlignment w:val="auto"/>
              <w:outlineLvl w:val="9"/>
              <w:rPr>
                <w:rFonts w:hint="default" w:ascii="Times New Roman" w:hAnsi="Times New Roman" w:cs="Times New Roman"/>
                <w:color w:val="auto"/>
                <w:sz w:val="20"/>
                <w:szCs w:val="20"/>
                <w:shd w:val="clear" w:color="auto" w:fill="auto"/>
              </w:rPr>
            </w:pPr>
            <w:bookmarkStart w:id="37" w:name="_Toc6969"/>
            <w:r>
              <w:rPr>
                <w:rFonts w:hint="default" w:ascii="Times New Roman" w:hAnsi="Times New Roman" w:cs="Times New Roman"/>
                <w:color w:val="auto"/>
                <w:sz w:val="20"/>
                <w:szCs w:val="20"/>
                <w:shd w:val="clear" w:color="auto" w:fill="auto"/>
              </w:rPr>
              <w:t>建设单位未依法向社会公开环境保护设施验收报告的</w:t>
            </w:r>
            <w:bookmarkEnd w:id="37"/>
          </w:p>
        </w:tc>
      </w:tr>
      <w:tr>
        <w:trPr>
          <w:trHeight w:val="312" w:hRule="atLeast"/>
          <w:jc w:val="center"/>
        </w:trPr>
        <w:tc>
          <w:tcPr>
            <w:tcW w:w="1359"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01" w:type="dxa"/>
            <w:gridSpan w:val="2"/>
            <w:vAlign w:val="center"/>
          </w:tcPr>
          <w:p>
            <w:pPr>
              <w:pStyle w:val="19"/>
              <w:shd w:val="clear" w:color="auto" w:fill="auto"/>
              <w:wordWrap/>
              <w:adjustRightInd/>
              <w:snapToGrid w:val="0"/>
              <w:spacing w:beforeLines="30" w:beforeAutospacing="0" w:after="0" w:afterAutospacing="0" w:line="280" w:lineRule="exact"/>
              <w:ind w:left="0" w:right="0" w:firstLine="482"/>
              <w:jc w:val="left"/>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 xml:space="preserve">《建设项目环境保护管理条例》第十七条第三款 </w:t>
            </w:r>
            <w:r>
              <w:rPr>
                <w:rFonts w:hint="default" w:ascii="Times New Roman" w:hAnsi="Times New Roman" w:cs="Times New Roman"/>
                <w:color w:val="auto"/>
                <w:kern w:val="2"/>
                <w:sz w:val="21"/>
                <w:szCs w:val="21"/>
                <w:shd w:val="clear" w:color="auto" w:fill="auto"/>
              </w:rPr>
              <w:t>除按照国家规定需要保密的情形外，建设单位应当依法向社会公开验收报告。</w:t>
            </w:r>
          </w:p>
        </w:tc>
      </w:tr>
      <w:tr>
        <w:trPr>
          <w:trHeight w:val="312" w:hRule="atLeast"/>
          <w:jc w:val="center"/>
        </w:trPr>
        <w:tc>
          <w:tcPr>
            <w:tcW w:w="1359"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01" w:type="dxa"/>
            <w:gridSpan w:val="2"/>
            <w:vAlign w:val="center"/>
          </w:tcPr>
          <w:p>
            <w:pPr>
              <w:pStyle w:val="19"/>
              <w:shd w:val="clear" w:color="auto" w:fill="auto"/>
              <w:wordWrap/>
              <w:adjustRightInd/>
              <w:snapToGrid w:val="0"/>
              <w:spacing w:beforeLines="30" w:beforeAutospacing="0" w:after="0" w:afterAutospacing="0" w:line="280" w:lineRule="exact"/>
              <w:ind w:left="0" w:right="0" w:firstLine="420"/>
              <w:jc w:val="left"/>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 xml:space="preserve">《建设项目环境保护管理条例》第二十三条第二款 </w:t>
            </w:r>
            <w:r>
              <w:rPr>
                <w:rFonts w:hint="default" w:ascii="Times New Roman" w:hAnsi="Times New Roman" w:cs="Times New Roman"/>
                <w:color w:val="auto"/>
                <w:kern w:val="2"/>
                <w:sz w:val="21"/>
                <w:szCs w:val="21"/>
                <w:shd w:val="clear" w:color="auto" w:fill="auto"/>
              </w:rPr>
              <w:t>违反本条例规定，建设单位未依法向社会公开环境保护设施验收报告的，由县级以上环境保护行政主管部门责令公开，处5万元以上20万元以下的罚款，并予以公告。</w:t>
            </w:r>
          </w:p>
        </w:tc>
      </w:tr>
      <w:tr>
        <w:trPr>
          <w:trHeight w:val="312" w:hRule="atLeast"/>
          <w:jc w:val="center"/>
        </w:trPr>
        <w:tc>
          <w:tcPr>
            <w:tcW w:w="1359"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6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12" w:hRule="atLeast"/>
          <w:jc w:val="center"/>
        </w:trPr>
        <w:tc>
          <w:tcPr>
            <w:tcW w:w="1359"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64" w:type="dxa"/>
            <w:vAlign w:val="center"/>
          </w:tcPr>
          <w:p>
            <w:pPr>
              <w:pStyle w:val="18"/>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已公开，但未通过建设单位网站或其他便于公众知晓的方式公开的</w:t>
            </w:r>
          </w:p>
        </w:tc>
        <w:tc>
          <w:tcPr>
            <w:tcW w:w="25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12" w:hRule="atLeast"/>
          <w:jc w:val="center"/>
        </w:trPr>
        <w:tc>
          <w:tcPr>
            <w:tcW w:w="1359"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64" w:type="dxa"/>
            <w:vAlign w:val="center"/>
          </w:tcPr>
          <w:p>
            <w:pPr>
              <w:pStyle w:val="18"/>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已公开，但公开的验收报告</w:t>
            </w:r>
            <w:r>
              <w:rPr>
                <w:rFonts w:hint="default" w:ascii="Times New Roman" w:hAnsi="Times New Roman" w:cs="Times New Roman"/>
                <w:color w:val="auto"/>
                <w:kern w:val="2"/>
                <w:sz w:val="21"/>
                <w:szCs w:val="21"/>
                <w:shd w:val="clear" w:color="auto" w:fill="auto"/>
                <w:lang w:eastAsia="zh-CN"/>
              </w:rPr>
              <w:t>信息</w:t>
            </w:r>
            <w:r>
              <w:rPr>
                <w:rFonts w:hint="default" w:ascii="Times New Roman" w:hAnsi="Times New Roman" w:cs="Times New Roman"/>
                <w:color w:val="auto"/>
                <w:kern w:val="2"/>
                <w:sz w:val="21"/>
                <w:szCs w:val="21"/>
                <w:shd w:val="clear" w:color="auto" w:fill="auto"/>
              </w:rPr>
              <w:t>不全的</w:t>
            </w:r>
          </w:p>
        </w:tc>
        <w:tc>
          <w:tcPr>
            <w:tcW w:w="25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12" w:hRule="atLeast"/>
          <w:jc w:val="center"/>
        </w:trPr>
        <w:tc>
          <w:tcPr>
            <w:tcW w:w="1359"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64" w:type="dxa"/>
            <w:vAlign w:val="center"/>
          </w:tcPr>
          <w:p>
            <w:pPr>
              <w:pStyle w:val="18"/>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公开的验收报告弄虚作假或者未公开的</w:t>
            </w:r>
          </w:p>
        </w:tc>
        <w:tc>
          <w:tcPr>
            <w:tcW w:w="25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12" w:hRule="atLeast"/>
          <w:jc w:val="center"/>
        </w:trPr>
        <w:tc>
          <w:tcPr>
            <w:tcW w:w="1359"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rPr>
              <w:t>项目应报批的环评文件类别</w:t>
            </w:r>
          </w:p>
        </w:tc>
        <w:tc>
          <w:tcPr>
            <w:tcW w:w="516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报告表</w:t>
            </w:r>
          </w:p>
        </w:tc>
        <w:tc>
          <w:tcPr>
            <w:tcW w:w="25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12" w:hRule="atLeast"/>
          <w:jc w:val="center"/>
        </w:trPr>
        <w:tc>
          <w:tcPr>
            <w:tcW w:w="1359"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6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报告书（非重点管理企业）</w:t>
            </w:r>
          </w:p>
        </w:tc>
        <w:tc>
          <w:tcPr>
            <w:tcW w:w="25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12" w:hRule="atLeast"/>
          <w:jc w:val="center"/>
        </w:trPr>
        <w:tc>
          <w:tcPr>
            <w:tcW w:w="1359"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6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报告书（钢铁、火电、危废集中处置</w:t>
            </w:r>
            <w:r>
              <w:rPr>
                <w:rFonts w:hint="eastAsia" w:ascii="Times New Roman" w:hAnsi="Times New Roman" w:cs="Times New Roman"/>
                <w:color w:val="auto"/>
                <w:sz w:val="20"/>
                <w:szCs w:val="20"/>
                <w:shd w:val="clear" w:color="auto" w:fill="auto"/>
                <w:lang w:eastAsia="zh-CN"/>
              </w:rPr>
              <w:t>、</w:t>
            </w:r>
            <w:r>
              <w:rPr>
                <w:rFonts w:hint="default" w:ascii="Times New Roman" w:hAnsi="Times New Roman" w:cs="Times New Roman"/>
                <w:color w:val="auto"/>
                <w:sz w:val="20"/>
                <w:szCs w:val="20"/>
                <w:shd w:val="clear" w:color="auto" w:fill="auto"/>
              </w:rPr>
              <w:t>化工、电镀、皮革、造纸、制浆、冶炼、放射性、印染染料、炼焦、炼油、矿山开采项目</w:t>
            </w:r>
            <w:r>
              <w:rPr>
                <w:rFonts w:hint="eastAsia" w:ascii="Times New Roman" w:hAnsi="Times New Roman" w:cs="Times New Roman"/>
                <w:color w:val="auto"/>
                <w:sz w:val="20"/>
                <w:szCs w:val="20"/>
                <w:shd w:val="clear" w:color="auto" w:fill="auto"/>
                <w:lang w:val="en-US" w:eastAsia="zh-CN"/>
              </w:rPr>
              <w:t>等</w:t>
            </w:r>
            <w:r>
              <w:rPr>
                <w:rFonts w:hint="default" w:ascii="Times New Roman" w:hAnsi="Times New Roman" w:cs="Times New Roman"/>
                <w:color w:val="auto"/>
                <w:sz w:val="20"/>
                <w:szCs w:val="20"/>
                <w:shd w:val="clear" w:color="auto" w:fill="auto"/>
              </w:rPr>
              <w:t>）</w:t>
            </w:r>
            <w:r>
              <w:rPr>
                <w:rFonts w:hint="default" w:ascii="Times New Roman" w:hAnsi="Times New Roman" w:cs="Times New Roman"/>
                <w:color w:val="auto"/>
                <w:sz w:val="20"/>
                <w:szCs w:val="20"/>
                <w:shd w:val="clear" w:color="auto" w:fill="auto"/>
                <w:lang w:eastAsia="zh-CN"/>
              </w:rPr>
              <w:t>（重点管理</w:t>
            </w:r>
            <w:r>
              <w:rPr>
                <w:rFonts w:hint="eastAsia" w:ascii="Times New Roman" w:hAnsi="Times New Roman" w:cs="Times New Roman"/>
                <w:color w:val="auto"/>
                <w:sz w:val="20"/>
                <w:szCs w:val="20"/>
                <w:shd w:val="clear" w:color="auto" w:fill="auto"/>
                <w:lang w:eastAsia="zh-CN"/>
              </w:rPr>
              <w:t>）</w:t>
            </w:r>
          </w:p>
        </w:tc>
        <w:tc>
          <w:tcPr>
            <w:tcW w:w="25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5</w:t>
            </w:r>
          </w:p>
        </w:tc>
      </w:tr>
      <w:tr>
        <w:trPr>
          <w:trHeight w:val="312" w:hRule="atLeast"/>
          <w:jc w:val="center"/>
        </w:trPr>
        <w:tc>
          <w:tcPr>
            <w:tcW w:w="1359"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rPr>
              <w:t>排放污染物类型</w:t>
            </w:r>
          </w:p>
        </w:tc>
        <w:tc>
          <w:tcPr>
            <w:tcW w:w="516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生活废水</w:t>
            </w:r>
            <w:r>
              <w:rPr>
                <w:rFonts w:hint="eastAsia" w:ascii="Times New Roman" w:hAnsi="Times New Roman" w:cs="Times New Roman"/>
                <w:color w:val="auto"/>
                <w:sz w:val="20"/>
                <w:szCs w:val="20"/>
                <w:shd w:val="clear" w:color="auto" w:fill="auto"/>
                <w:lang w:val="en-US" w:eastAsia="zh-CN"/>
              </w:rPr>
              <w:t>/规模以下畜禽养殖废水</w:t>
            </w:r>
            <w:r>
              <w:rPr>
                <w:rFonts w:hint="default" w:ascii="Times New Roman" w:hAnsi="Times New Roman" w:cs="Times New Roman"/>
                <w:color w:val="auto"/>
                <w:sz w:val="20"/>
                <w:szCs w:val="20"/>
                <w:shd w:val="clear" w:color="auto" w:fill="auto"/>
              </w:rPr>
              <w:t>/Ⅰ类一般工业固体废物</w:t>
            </w:r>
          </w:p>
        </w:tc>
        <w:tc>
          <w:tcPr>
            <w:tcW w:w="25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312" w:hRule="atLeast"/>
          <w:jc w:val="center"/>
        </w:trPr>
        <w:tc>
          <w:tcPr>
            <w:tcW w:w="1359"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6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农业生产、畜禽养殖废气/工业扬尘废气/机械、汽车修理废气/服务业废水</w:t>
            </w:r>
            <w:r>
              <w:rPr>
                <w:rFonts w:hint="eastAsia" w:ascii="Times New Roman" w:hAnsi="Times New Roman" w:cs="Times New Roman"/>
                <w:color w:val="auto"/>
                <w:sz w:val="20"/>
                <w:szCs w:val="20"/>
                <w:shd w:val="clear" w:color="auto" w:fill="auto"/>
                <w:lang w:val="en-US" w:eastAsia="zh-CN"/>
              </w:rPr>
              <w:t>/规模化畜禽养殖废水</w:t>
            </w:r>
          </w:p>
        </w:tc>
        <w:tc>
          <w:tcPr>
            <w:tcW w:w="25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12" w:hRule="atLeast"/>
          <w:jc w:val="center"/>
        </w:trPr>
        <w:tc>
          <w:tcPr>
            <w:tcW w:w="1359"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6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一般工业废气/含恶臭污染物的废气/医疗废气/实验室废气/一般工业废水/Ⅱ类一般工业固体废物</w:t>
            </w:r>
          </w:p>
        </w:tc>
        <w:tc>
          <w:tcPr>
            <w:tcW w:w="25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12" w:hRule="atLeast"/>
          <w:jc w:val="center"/>
        </w:trPr>
        <w:tc>
          <w:tcPr>
            <w:tcW w:w="1359"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6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火电、钢铁、石化、水泥、炼焦、有色、化工废气、烟尘/燃煤锅炉废气、烟尘/含其他有毒有害物质的废水、医疗废水</w:t>
            </w:r>
          </w:p>
        </w:tc>
        <w:tc>
          <w:tcPr>
            <w:tcW w:w="25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12" w:hRule="atLeast"/>
          <w:jc w:val="center"/>
        </w:trPr>
        <w:tc>
          <w:tcPr>
            <w:tcW w:w="1359"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6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含有毒有害物质的废气/含一类污染物或重金属、病原体、放射性物质的废水/危险废物</w:t>
            </w:r>
          </w:p>
        </w:tc>
        <w:tc>
          <w:tcPr>
            <w:tcW w:w="25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5</w:t>
            </w:r>
          </w:p>
        </w:tc>
      </w:tr>
      <w:tr>
        <w:trPr>
          <w:trHeight w:val="312" w:hRule="atLeast"/>
          <w:jc w:val="center"/>
        </w:trPr>
        <w:tc>
          <w:tcPr>
            <w:tcW w:w="1359"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rPr>
              <w:t>违法</w:t>
            </w:r>
            <w:r>
              <w:rPr>
                <w:rFonts w:hint="default" w:ascii="Times New Roman" w:hAnsi="Times New Roman" w:cs="Times New Roman"/>
                <w:b/>
                <w:bCs/>
                <w:color w:val="auto"/>
                <w:sz w:val="20"/>
                <w:szCs w:val="20"/>
                <w:shd w:val="clear" w:color="auto" w:fill="auto"/>
                <w:lang w:val="en-US"/>
              </w:rPr>
              <w:t>行为</w:t>
            </w:r>
          </w:p>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持续</w:t>
            </w:r>
            <w:r>
              <w:rPr>
                <w:rFonts w:hint="default" w:ascii="Times New Roman" w:hAnsi="Times New Roman" w:cs="Times New Roman"/>
                <w:b/>
                <w:bCs/>
                <w:color w:val="auto"/>
                <w:sz w:val="20"/>
                <w:szCs w:val="20"/>
                <w:shd w:val="clear" w:color="auto" w:fill="auto"/>
              </w:rPr>
              <w:t>时间</w:t>
            </w:r>
          </w:p>
        </w:tc>
        <w:tc>
          <w:tcPr>
            <w:tcW w:w="516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5天</w:t>
            </w:r>
            <w:r>
              <w:rPr>
                <w:rFonts w:hint="default" w:ascii="Times New Roman" w:hAnsi="Times New Roman" w:cs="Times New Roman"/>
                <w:color w:val="auto"/>
                <w:sz w:val="20"/>
                <w:szCs w:val="20"/>
                <w:shd w:val="clear" w:color="auto" w:fill="auto"/>
                <w:lang w:eastAsia="zh-CN"/>
              </w:rPr>
              <w:t>以下</w:t>
            </w:r>
          </w:p>
        </w:tc>
        <w:tc>
          <w:tcPr>
            <w:tcW w:w="25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12" w:hRule="atLeast"/>
          <w:jc w:val="center"/>
        </w:trPr>
        <w:tc>
          <w:tcPr>
            <w:tcW w:w="1359"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6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5天以上10天</w:t>
            </w:r>
            <w:r>
              <w:rPr>
                <w:rFonts w:hint="default" w:ascii="Times New Roman" w:hAnsi="Times New Roman" w:cs="Times New Roman"/>
                <w:color w:val="auto"/>
                <w:sz w:val="20"/>
                <w:szCs w:val="20"/>
                <w:shd w:val="clear" w:color="auto" w:fill="auto"/>
                <w:lang w:eastAsia="zh-CN"/>
              </w:rPr>
              <w:t>以下</w:t>
            </w:r>
          </w:p>
        </w:tc>
        <w:tc>
          <w:tcPr>
            <w:tcW w:w="25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12" w:hRule="atLeast"/>
          <w:jc w:val="center"/>
        </w:trPr>
        <w:tc>
          <w:tcPr>
            <w:tcW w:w="1359"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6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10天以上20天</w:t>
            </w:r>
            <w:r>
              <w:rPr>
                <w:rFonts w:hint="default" w:ascii="Times New Roman" w:hAnsi="Times New Roman" w:cs="Times New Roman"/>
                <w:color w:val="auto"/>
                <w:sz w:val="20"/>
                <w:szCs w:val="20"/>
                <w:shd w:val="clear" w:color="auto" w:fill="auto"/>
                <w:lang w:eastAsia="zh-CN"/>
              </w:rPr>
              <w:t>以下</w:t>
            </w:r>
          </w:p>
        </w:tc>
        <w:tc>
          <w:tcPr>
            <w:tcW w:w="25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12" w:hRule="atLeast"/>
          <w:jc w:val="center"/>
        </w:trPr>
        <w:tc>
          <w:tcPr>
            <w:tcW w:w="1359"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6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20天以上1个月</w:t>
            </w:r>
            <w:r>
              <w:rPr>
                <w:rFonts w:hint="default" w:ascii="Times New Roman" w:hAnsi="Times New Roman" w:cs="Times New Roman"/>
                <w:color w:val="auto"/>
                <w:sz w:val="20"/>
                <w:szCs w:val="20"/>
                <w:shd w:val="clear" w:color="auto" w:fill="auto"/>
                <w:lang w:eastAsia="zh-CN"/>
              </w:rPr>
              <w:t>以下</w:t>
            </w:r>
          </w:p>
        </w:tc>
        <w:tc>
          <w:tcPr>
            <w:tcW w:w="25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12" w:hRule="atLeast"/>
          <w:jc w:val="center"/>
        </w:trPr>
        <w:tc>
          <w:tcPr>
            <w:tcW w:w="1359"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6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1个月以上</w:t>
            </w:r>
          </w:p>
        </w:tc>
        <w:tc>
          <w:tcPr>
            <w:tcW w:w="25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12" w:hRule="atLeast"/>
          <w:jc w:val="center"/>
        </w:trPr>
        <w:tc>
          <w:tcPr>
            <w:tcW w:w="1359"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lang w:eastAsia="zh-CN"/>
              </w:rPr>
              <w:t>受处罚次数</w:t>
            </w:r>
          </w:p>
        </w:tc>
        <w:tc>
          <w:tcPr>
            <w:tcW w:w="516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rPr>
              <w:t>两年内未受到过同类处罚</w:t>
            </w:r>
          </w:p>
        </w:tc>
        <w:tc>
          <w:tcPr>
            <w:tcW w:w="25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rPr>
              <w:t>1</w:t>
            </w:r>
          </w:p>
        </w:tc>
      </w:tr>
      <w:tr>
        <w:trPr>
          <w:trHeight w:val="312" w:hRule="atLeast"/>
          <w:jc w:val="center"/>
        </w:trPr>
        <w:tc>
          <w:tcPr>
            <w:tcW w:w="1359"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6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rPr>
              <w:t>两年内受到同类处罚1次</w:t>
            </w:r>
          </w:p>
        </w:tc>
        <w:tc>
          <w:tcPr>
            <w:tcW w:w="25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rPr>
              <w:t>3</w:t>
            </w:r>
          </w:p>
        </w:tc>
      </w:tr>
      <w:tr>
        <w:trPr>
          <w:trHeight w:val="312" w:hRule="atLeast"/>
          <w:jc w:val="center"/>
        </w:trPr>
        <w:tc>
          <w:tcPr>
            <w:tcW w:w="1359"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6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rPr>
              <w:t>两年内受到同类处罚2次以上</w:t>
            </w:r>
          </w:p>
        </w:tc>
        <w:tc>
          <w:tcPr>
            <w:tcW w:w="25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rPr>
              <w:t>5</w:t>
            </w:r>
          </w:p>
        </w:tc>
      </w:tr>
      <w:tr>
        <w:trPr>
          <w:trHeight w:val="312" w:hRule="atLeast"/>
          <w:jc w:val="center"/>
        </w:trPr>
        <w:tc>
          <w:tcPr>
            <w:tcW w:w="1359"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6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12" w:hRule="atLeast"/>
          <w:jc w:val="center"/>
        </w:trPr>
        <w:tc>
          <w:tcPr>
            <w:tcW w:w="1359"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6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12" w:hRule="atLeast"/>
          <w:jc w:val="center"/>
        </w:trPr>
        <w:tc>
          <w:tcPr>
            <w:tcW w:w="1359"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6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12" w:hRule="atLeast"/>
          <w:jc w:val="center"/>
        </w:trPr>
        <w:tc>
          <w:tcPr>
            <w:tcW w:w="1359"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6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12" w:hRule="atLeast"/>
          <w:jc w:val="center"/>
        </w:trPr>
        <w:tc>
          <w:tcPr>
            <w:tcW w:w="1359"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01" w:type="dxa"/>
            <w:gridSpan w:val="2"/>
            <w:vAlign w:val="center"/>
          </w:tcPr>
          <w:p>
            <w:pPr>
              <w:shd w:val="clear" w:color="auto" w:fill="auto"/>
              <w:wordWrap/>
              <w:adjustRightInd/>
              <w:snapToGrid w:val="0"/>
              <w:spacing w:before="0" w:beforeAutospacing="0" w:after="0" w:afterAutospacing="0" w:line="280" w:lineRule="exact"/>
              <w:ind w:left="0" w:right="0" w:firstLine="420"/>
              <w:jc w:val="center"/>
              <w:textAlignment w:val="auto"/>
              <w:rPr>
                <w:rFonts w:hint="default" w:ascii="Times New Roman" w:hAnsi="Times New Roman" w:cs="Times New Roman"/>
                <w:color w:val="auto"/>
                <w:sz w:val="20"/>
                <w:szCs w:val="20"/>
                <w:shd w:val="clear" w:color="auto" w:fill="auto"/>
              </w:rPr>
            </w:pPr>
          </w:p>
        </w:tc>
      </w:tr>
    </w:tbl>
    <w:p>
      <w:pPr>
        <w:pStyle w:val="18"/>
        <w:shd w:val="clear" w:color="auto" w:fill="auto"/>
        <w:snapToGrid w:val="0"/>
        <w:rPr>
          <w:rFonts w:hint="default" w:ascii="Times New Roman" w:hAnsi="Times New Roman" w:cs="Times New Roman"/>
          <w:color w:val="auto"/>
          <w:sz w:val="21"/>
          <w:szCs w:val="21"/>
          <w:shd w:val="clear" w:color="auto" w:fill="auto"/>
        </w:rPr>
      </w:pPr>
    </w:p>
    <w:p>
      <w:pPr>
        <w:pStyle w:val="18"/>
        <w:shd w:val="clear" w:color="auto" w:fill="auto"/>
        <w:snapToGrid w:val="0"/>
        <w:rPr>
          <w:rFonts w:hint="default" w:ascii="Times New Roman" w:hAnsi="Times New Roman" w:cs="Times New Roman"/>
          <w:color w:val="auto"/>
          <w:sz w:val="21"/>
          <w:szCs w:val="21"/>
          <w:shd w:val="clear" w:color="auto" w:fill="auto"/>
        </w:rPr>
      </w:pPr>
    </w:p>
    <w:p>
      <w:pPr>
        <w:pStyle w:val="18"/>
        <w:shd w:val="clear" w:color="auto" w:fill="auto"/>
        <w:snapToGrid w:val="0"/>
        <w:rPr>
          <w:rFonts w:hint="default" w:ascii="Times New Roman" w:hAnsi="Times New Roman" w:cs="Times New Roman"/>
          <w:color w:val="auto"/>
          <w:sz w:val="21"/>
          <w:szCs w:val="21"/>
          <w:shd w:val="clear" w:color="auto" w:fill="auto"/>
        </w:rPr>
      </w:pPr>
    </w:p>
    <w:p>
      <w:pPr>
        <w:shd w:val="clear" w:color="auto" w:fill="auto"/>
        <w:snapToGrid w:val="0"/>
        <w:spacing w:line="570" w:lineRule="exact"/>
        <w:ind w:firstLine="640" w:firstLineChars="200"/>
        <w:outlineLvl w:val="1"/>
        <w:rPr>
          <w:rFonts w:ascii="Times New Roman" w:hAnsi="Times New Roman" w:eastAsia="方正楷体_GBK" w:cs="Times New Roman"/>
          <w:color w:val="auto"/>
          <w:sz w:val="32"/>
          <w:szCs w:val="32"/>
          <w:shd w:val="clear" w:color="auto" w:fill="auto"/>
        </w:rPr>
      </w:pPr>
      <w:bookmarkStart w:id="38" w:name="_Toc6067"/>
      <w:bookmarkStart w:id="39" w:name="_Toc4052"/>
      <w:bookmarkStart w:id="40" w:name="_Toc25240282"/>
      <w:r>
        <w:rPr>
          <w:rFonts w:ascii="Times New Roman" w:hAnsi="Times New Roman" w:eastAsia="方正楷体_GBK" w:cs="Times New Roman"/>
          <w:color w:val="auto"/>
          <w:sz w:val="32"/>
          <w:szCs w:val="32"/>
          <w:shd w:val="clear" w:color="auto" w:fill="auto"/>
        </w:rPr>
        <w:t>（二）大气污染防治类</w:t>
      </w:r>
      <w:bookmarkEnd w:id="38"/>
      <w:bookmarkEnd w:id="39"/>
      <w:bookmarkEnd w:id="40"/>
    </w:p>
    <w:p>
      <w:pPr>
        <w:numPr>
          <w:ilvl w:val="0"/>
          <w:numId w:val="5"/>
        </w:numPr>
        <w:shd w:val="clear" w:color="auto" w:fill="auto"/>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以拒绝进入现场等方式拒不接受生态环境主管部门及其环境执法机构或者其他负有大气环境保护监督管理职责的部门的监督检查，或者在接受监督检查时弄虚作假的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未依法取得排污许可证排放大气污染物的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超过大气污染物排放标准排放大气污染物的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超过重点大气污染物排放总量控制指标排放大气污染物的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通过逃避监管的方式排放大气污染物的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侵占、损毁或者擅自移动、改变大气环境质量监测设施或者大气污染物排放自动监测设备的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未按照规定对所排放的工业废气和有毒有害大气污染物进行监测并保存原始监测记录的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未按照规定安装、使用大气污染物排放自动监测设备或者未按照规定与生态环境主管部门的监控设备联网，并保证监测设备正常运行的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重点排污单位不公开或者不如实公开自动监测数据的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未按照规定设置大气污染物排放口的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燃用不符合质量标准的煤炭、石油焦的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在禁燃区内新建、扩建燃用高污染燃料的设施，或者未按照规定停止燃用高污染燃料的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在城市集中供热管网覆盖地区新建、扩建分散燃煤供热锅炉的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未按照规定拆除已建成的不能达标排放的燃煤供热锅炉的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生产、进口、销售或者使用不符合规定标准或者要求的锅炉的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产生含挥发性有机物废气的生产和服务活动，未在密闭空间或者设备中进行，未按照规定安装、使用污染防治设施，或者未采取减少废气排放措施的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工业涂装企业未使用低挥发性有机物含量涂料或者未建立、保存台账的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石油、化工以及其他生产和使用有机溶剂的企业，未采取措施对管道、设备进行日常维护、维修，减少物料泄漏或者对泄漏的物料未及时收集处理的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储油储气库、加油加气站和油罐车、气罐车等，未按照国家有关规定安装并正常使用油气回收装置的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钢铁、建材、有色金属、石油、化工、制药、矿产开采等企业，未采取集中收集处理、密闭、围挡、遮盖、清扫、洒水等措施，控制、减少粉尘和气态污染物排放的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工业生产、垃圾填埋或者其他活动中产生的可燃性气体未回收利用，不具备回收利用条件未进行防治污染处理，或者可燃性气体回收利用装置不能正常作业，未及时修复或者更新的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生产超过污染物排放标准的机动车、非道路移动机械的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机动车、非道路移动机械生产企业对发动机、污染控制装置弄虚作假、以次充好，冒充排放检验合格产品出厂销售的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机动车生产、进口企业未按照规定向社会公布其生产、进口机动车车型的排放检验信息或者污染控制技术信息的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伪造机动车、非道路移动机械排放检验结果或者出具虚假排放检验报告的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未密闭煤炭、煤矸石、煤渣、煤灰、水泥、石灰、石膏、砂土等易产生扬尘的物料的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对不能密闭的易产生扬尘的物料，未设置不低于堆放物高度的严密围挡，或者未采取有效覆盖措施防治扬尘污染的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装卸物料未采取密闭或者喷淋等方式控制扬尘排放的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存放煤炭、煤矸石、煤渣、煤灰等物料，未采取防燃措施的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码头、矿山、填埋场和消纳场未采取有效措施防治扬尘污染的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排放有毒有害大气污染物名录中所列有毒有害大气污染物的企业事业单位，未按照规定建设环境风险预警体系或者对排放口和周边环境进行定期监测、排查环境安全隐患并采取有效措施防范环境风险的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向大气排放持久性有机污染物的企业事业单位和其他生产经营者以及废弃物焚烧设施的运营单位，未按照国家有关规定采取有利于减少污染物排放的技术方法和工艺，配备净化装置并保持正常运行的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未采取措施防止排放恶臭气体的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造成大气污染事故的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在省辖市城市建成区内，新建每小时二十蒸吨以下的燃烧煤炭、重油、渣油以及直接燃用生物质的锅炉，其他地区新建每小时十蒸吨以下的燃烧煤炭、重油、渣油以及直接燃用生物质的锅炉的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排污单位未按照规定对不经过大气污染物排放口集中排放的大气污染物采取必要的污染防治措施的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在人口密集区域和其他需要特殊保护的区域及其周边，新建、改建和扩建石化、焦化、制药、油漆、塑料、橡胶、造纸、饲料等生产项目的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在人口密集区和其他需要特殊保护的区域及其周边从事产生恶臭气体的生产经营活动的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未建立科学有效的回收利用和安全处置制度，随意排放、抛洒或者丢弃消耗臭氧层物质的</w:t>
      </w:r>
      <w:r>
        <w:rPr>
          <w:rFonts w:hint="eastAsia" w:ascii="Times New Roman" w:hAnsi="Times New Roman" w:eastAsia="方正仿宋_GBK" w:cs="Times New Roman"/>
          <w:color w:val="auto"/>
          <w:sz w:val="32"/>
          <w:szCs w:val="32"/>
          <w:shd w:val="clear" w:color="auto" w:fill="auto"/>
          <w:lang w:eastAsia="zh-CN"/>
        </w:rPr>
        <w:t>；</w:t>
      </w:r>
    </w:p>
    <w:p>
      <w:pPr>
        <w:numPr>
          <w:ilvl w:val="0"/>
          <w:numId w:val="5"/>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矿产资源开采和加工企业未按照规定采取抑尘措施和落实矿山地质环境恢复治理有关规定的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4</w:t>
      </w:r>
      <w:r>
        <w:rPr>
          <w:rFonts w:hint="default" w:ascii="Times New Roman" w:hAnsi="Times New Roman" w:eastAsia="方正仿宋_GBK" w:cs="Times New Roman"/>
          <w:color w:val="auto"/>
          <w:sz w:val="32"/>
          <w:szCs w:val="32"/>
          <w:shd w:val="clear" w:color="auto" w:fill="auto"/>
          <w:lang w:val="en-US" w:eastAsia="zh-CN"/>
        </w:rPr>
        <w:t>1</w:t>
      </w:r>
      <w:r>
        <w:rPr>
          <w:rFonts w:ascii="Times New Roman" w:hAnsi="Times New Roman" w:eastAsia="方正仿宋_GBK" w:cs="Times New Roman"/>
          <w:color w:val="auto"/>
          <w:sz w:val="32"/>
          <w:szCs w:val="32"/>
          <w:shd w:val="clear" w:color="auto" w:fill="auto"/>
        </w:rPr>
        <w:t>. 在禁止使用高排放非道路移动机械的区域使用高排放非道路移动机械的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hint="default" w:ascii="Times New Roman" w:hAnsi="Times New Roman" w:eastAsia="方正仿宋_GBK" w:cs="Times New Roman"/>
          <w:color w:val="auto"/>
          <w:sz w:val="32"/>
          <w:szCs w:val="32"/>
          <w:shd w:val="clear" w:color="auto" w:fill="auto"/>
        </w:rPr>
      </w:pP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rPr>
          <w:rFonts w:hint="default" w:ascii="Times New Roman" w:hAnsi="Times New Roman" w:eastAsia="方正仿宋_GBK" w:cs="Times New Roman"/>
          <w:color w:val="auto"/>
          <w:sz w:val="32"/>
          <w:szCs w:val="32"/>
          <w:shd w:val="clear" w:color="auto" w:fill="auto"/>
        </w:rPr>
      </w:pP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rPr>
          <w:rFonts w:hint="default" w:ascii="Times New Roman" w:hAnsi="Times New Roman" w:eastAsia="方正仿宋_GBK" w:cs="Times New Roman"/>
          <w:color w:val="auto"/>
          <w:sz w:val="32"/>
          <w:szCs w:val="32"/>
          <w:shd w:val="clear" w:color="auto" w:fill="auto"/>
        </w:rPr>
      </w:pP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rPr>
          <w:rFonts w:hint="default" w:ascii="Times New Roman" w:hAnsi="Times New Roman" w:eastAsia="方正仿宋_GBK" w:cs="Times New Roman"/>
          <w:color w:val="auto"/>
          <w:sz w:val="32"/>
          <w:szCs w:val="32"/>
          <w:shd w:val="clear" w:color="auto" w:fill="auto"/>
        </w:rPr>
      </w:pP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rPr>
          <w:rFonts w:hint="default" w:ascii="Times New Roman" w:hAnsi="Times New Roman" w:eastAsia="方正仿宋_GBK" w:cs="Times New Roman"/>
          <w:color w:val="auto"/>
          <w:sz w:val="32"/>
          <w:szCs w:val="32"/>
          <w:shd w:val="clear" w:color="auto" w:fill="auto"/>
        </w:rPr>
      </w:pP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rPr>
          <w:rFonts w:hint="default" w:ascii="Times New Roman" w:hAnsi="Times New Roman" w:eastAsia="方正仿宋_GBK" w:cs="Times New Roman"/>
          <w:color w:val="auto"/>
          <w:sz w:val="32"/>
          <w:szCs w:val="32"/>
          <w:shd w:val="clear" w:color="auto" w:fill="auto"/>
        </w:rPr>
      </w:pP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rPr>
          <w:rFonts w:hint="default" w:ascii="Times New Roman" w:hAnsi="Times New Roman" w:eastAsia="方正仿宋_GBK" w:cs="Times New Roman"/>
          <w:color w:val="auto"/>
          <w:sz w:val="32"/>
          <w:szCs w:val="32"/>
          <w:shd w:val="clear" w:color="auto" w:fill="auto"/>
        </w:rPr>
      </w:pP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br w:type="page"/>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 w:lineRule="exact"/>
        <w:rPr>
          <w:rFonts w:hint="default" w:ascii="Times New Roman" w:hAnsi="Times New Roman" w:cs="Times New Roman"/>
          <w:color w:val="auto"/>
          <w:sz w:val="10"/>
          <w:szCs w:val="10"/>
          <w:shd w:val="clear" w:color="auto" w:fill="auto"/>
        </w:rPr>
      </w:pP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5273"/>
        <w:gridCol w:w="2513"/>
      </w:tblGrid>
      <w:tr>
        <w:trPr>
          <w:trHeight w:val="369" w:hRule="atLeast"/>
          <w:jc w:val="center"/>
        </w:trPr>
        <w:tc>
          <w:tcPr>
            <w:tcW w:w="9060" w:type="dxa"/>
            <w:gridSpan w:val="3"/>
            <w:vAlign w:val="top"/>
          </w:tcPr>
          <w:p>
            <w:pPr>
              <w:shd w:val="clear" w:color="auto" w:fill="auto"/>
              <w:snapToGrid w:val="0"/>
              <w:spacing w:before="0" w:beforeAutospacing="0" w:after="0" w:afterAutospacing="0" w:line="30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69" w:hRule="atLeast"/>
          <w:jc w:val="center"/>
        </w:trPr>
        <w:tc>
          <w:tcPr>
            <w:tcW w:w="127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86" w:type="dxa"/>
            <w:gridSpan w:val="2"/>
            <w:vAlign w:val="center"/>
          </w:tcPr>
          <w:p>
            <w:pPr>
              <w:shd w:val="clear" w:color="auto" w:fill="auto"/>
              <w:snapToGrid w:val="0"/>
              <w:spacing w:before="0" w:beforeAutospacing="0" w:after="0" w:afterAutospacing="0" w:line="300" w:lineRule="exact"/>
              <w:ind w:left="0" w:right="0"/>
              <w:jc w:val="center"/>
              <w:outlineLvl w:val="9"/>
              <w:rPr>
                <w:rFonts w:hint="default" w:ascii="Times New Roman" w:hAnsi="Times New Roman" w:cs="Times New Roman"/>
                <w:color w:val="auto"/>
                <w:sz w:val="20"/>
                <w:szCs w:val="20"/>
                <w:shd w:val="clear" w:color="auto" w:fill="auto"/>
              </w:rPr>
            </w:pPr>
            <w:bookmarkStart w:id="41" w:name="_Toc2396"/>
            <w:r>
              <w:rPr>
                <w:rFonts w:hint="default" w:ascii="Times New Roman" w:hAnsi="Times New Roman" w:cs="Times New Roman"/>
                <w:color w:val="auto"/>
                <w:sz w:val="20"/>
                <w:szCs w:val="20"/>
                <w:shd w:val="clear" w:color="auto" w:fill="auto"/>
              </w:rPr>
              <w:t>1</w:t>
            </w:r>
            <w:bookmarkEnd w:id="41"/>
          </w:p>
        </w:tc>
      </w:tr>
      <w:tr>
        <w:trPr>
          <w:trHeight w:val="369" w:hRule="atLeast"/>
          <w:jc w:val="center"/>
        </w:trPr>
        <w:tc>
          <w:tcPr>
            <w:tcW w:w="127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86" w:type="dxa"/>
            <w:gridSpan w:val="2"/>
            <w:vAlign w:val="top"/>
          </w:tcPr>
          <w:p>
            <w:pPr>
              <w:shd w:val="clear" w:color="auto" w:fill="auto"/>
              <w:snapToGrid w:val="0"/>
              <w:spacing w:before="0" w:beforeAutospacing="0" w:after="0" w:afterAutospacing="0" w:line="300" w:lineRule="exact"/>
              <w:ind w:left="0" w:right="0" w:firstLine="420" w:firstLineChars="200"/>
              <w:outlineLvl w:val="9"/>
              <w:rPr>
                <w:rFonts w:hint="default" w:ascii="Times New Roman" w:hAnsi="Times New Roman" w:cs="Times New Roman"/>
                <w:color w:val="auto"/>
                <w:sz w:val="20"/>
                <w:szCs w:val="20"/>
                <w:shd w:val="clear" w:color="auto" w:fill="auto"/>
              </w:rPr>
            </w:pPr>
            <w:bookmarkStart w:id="42" w:name="_Toc18350"/>
            <w:r>
              <w:rPr>
                <w:rFonts w:hint="default" w:ascii="Times New Roman" w:hAnsi="Times New Roman" w:cs="Times New Roman"/>
                <w:color w:val="auto"/>
                <w:sz w:val="20"/>
                <w:szCs w:val="20"/>
                <w:shd w:val="clear" w:color="auto" w:fill="auto"/>
              </w:rPr>
              <w:t>以拒绝进入现场等方式拒不接受生态环境主管部门及其环境执法机构或者其他负有大气环境保护监督管理职责的部门的监督检查，或者在接受监督检查时弄虚作假的</w:t>
            </w:r>
            <w:bookmarkEnd w:id="42"/>
          </w:p>
        </w:tc>
      </w:tr>
      <w:tr>
        <w:trPr>
          <w:trHeight w:val="369" w:hRule="atLeast"/>
          <w:jc w:val="center"/>
        </w:trPr>
        <w:tc>
          <w:tcPr>
            <w:tcW w:w="127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86" w:type="dxa"/>
            <w:gridSpan w:val="2"/>
            <w:vAlign w:val="top"/>
          </w:tcPr>
          <w:p>
            <w:pPr>
              <w:pStyle w:val="19"/>
              <w:shd w:val="clear" w:color="auto" w:fill="auto"/>
              <w:snapToGrid w:val="0"/>
              <w:spacing w:before="0" w:beforeAutospacing="0" w:after="0" w:afterAutospacing="0" w:line="300" w:lineRule="exact"/>
              <w:ind w:left="0" w:right="0" w:firstLine="482"/>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《中华人民共和国大气污染防治法》第二十九条</w:t>
            </w:r>
            <w:r>
              <w:rPr>
                <w:rFonts w:hint="default" w:ascii="Times New Roman" w:hAnsi="Times New Roman" w:cs="Times New Roman"/>
                <w:color w:val="auto"/>
                <w:sz w:val="21"/>
                <w:szCs w:val="21"/>
                <w:shd w:val="clear" w:color="auto" w:fill="auto"/>
              </w:rPr>
              <w:t xml:space="preserve">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tc>
      </w:tr>
      <w:tr>
        <w:trPr>
          <w:trHeight w:val="369" w:hRule="atLeast"/>
          <w:jc w:val="center"/>
        </w:trPr>
        <w:tc>
          <w:tcPr>
            <w:tcW w:w="127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86" w:type="dxa"/>
            <w:gridSpan w:val="2"/>
            <w:vAlign w:val="top"/>
          </w:tcPr>
          <w:p>
            <w:pPr>
              <w:pStyle w:val="19"/>
              <w:shd w:val="clear" w:color="auto" w:fill="auto"/>
              <w:snapToGrid w:val="0"/>
              <w:spacing w:before="0" w:beforeAutospacing="0" w:after="0" w:afterAutospacing="0" w:line="30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《中华人民共和国大气污染防治法》第九十八条</w:t>
            </w:r>
            <w:r>
              <w:rPr>
                <w:rFonts w:hint="default" w:ascii="Times New Roman" w:hAnsi="Times New Roman" w:cs="Times New Roman"/>
                <w:color w:val="auto"/>
                <w:sz w:val="21"/>
                <w:szCs w:val="21"/>
                <w:shd w:val="clear" w:color="auto" w:fill="auto"/>
              </w:rPr>
              <w:t xml:space="preserve"> 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tc>
      </w:tr>
      <w:tr>
        <w:trPr>
          <w:trHeight w:val="369" w:hRule="atLeast"/>
          <w:jc w:val="center"/>
        </w:trPr>
        <w:tc>
          <w:tcPr>
            <w:tcW w:w="127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27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jc w:val="center"/>
        </w:trPr>
        <w:tc>
          <w:tcPr>
            <w:tcW w:w="127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★拒</w:t>
            </w:r>
            <w:r>
              <w:rPr>
                <w:rFonts w:hint="default" w:ascii="Times New Roman" w:hAnsi="Times New Roman" w:cs="Times New Roman"/>
                <w:b/>
                <w:bCs/>
                <w:color w:val="auto"/>
                <w:sz w:val="20"/>
                <w:szCs w:val="20"/>
                <w:shd w:val="clear" w:color="auto" w:fill="auto"/>
                <w:lang w:eastAsia="zh-CN"/>
              </w:rPr>
              <w:t>不配合</w:t>
            </w:r>
            <w:r>
              <w:rPr>
                <w:rFonts w:hint="default" w:ascii="Times New Roman" w:hAnsi="Times New Roman" w:cs="Times New Roman"/>
                <w:b/>
                <w:bCs/>
                <w:color w:val="auto"/>
                <w:sz w:val="20"/>
                <w:szCs w:val="20"/>
                <w:shd w:val="clear" w:color="auto" w:fill="auto"/>
              </w:rPr>
              <w:t>检查情形</w:t>
            </w:r>
          </w:p>
        </w:tc>
        <w:tc>
          <w:tcPr>
            <w:tcW w:w="5273" w:type="dxa"/>
            <w:vAlign w:val="center"/>
          </w:tcPr>
          <w:p>
            <w:pPr>
              <w:pStyle w:val="18"/>
              <w:shd w:val="clear" w:color="auto" w:fill="auto"/>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迟滞10分钟以上30分钟以</w:t>
            </w:r>
            <w:r>
              <w:rPr>
                <w:rFonts w:hint="default" w:ascii="Times New Roman" w:hAnsi="Times New Roman" w:cs="Times New Roman"/>
                <w:color w:val="auto"/>
                <w:sz w:val="21"/>
                <w:szCs w:val="21"/>
                <w:shd w:val="clear" w:color="auto" w:fill="auto"/>
                <w:lang w:eastAsia="zh-CN"/>
              </w:rPr>
              <w:t>下</w:t>
            </w:r>
          </w:p>
        </w:tc>
        <w:tc>
          <w:tcPr>
            <w:tcW w:w="25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7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1"/>
                <w:szCs w:val="21"/>
                <w:shd w:val="clear" w:color="auto" w:fill="auto"/>
                <w:lang w:eastAsia="zh-CN"/>
              </w:rPr>
            </w:pPr>
            <w:r>
              <w:rPr>
                <w:rFonts w:hint="default" w:ascii="Times New Roman" w:hAnsi="Times New Roman" w:cs="Times New Roman"/>
                <w:color w:val="auto"/>
                <w:sz w:val="21"/>
                <w:szCs w:val="21"/>
                <w:shd w:val="clear" w:color="auto" w:fill="auto"/>
              </w:rPr>
              <w:t>迟滞30分钟以</w:t>
            </w:r>
            <w:r>
              <w:rPr>
                <w:rFonts w:hint="default" w:ascii="Times New Roman" w:hAnsi="Times New Roman" w:cs="Times New Roman"/>
                <w:color w:val="auto"/>
                <w:sz w:val="21"/>
                <w:szCs w:val="21"/>
                <w:shd w:val="clear" w:color="auto" w:fill="auto"/>
                <w:lang w:eastAsia="zh-CN"/>
              </w:rPr>
              <w:t>上</w:t>
            </w:r>
          </w:p>
        </w:tc>
        <w:tc>
          <w:tcPr>
            <w:tcW w:w="25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27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阻碍或隐匿部分资料</w:t>
            </w:r>
          </w:p>
        </w:tc>
        <w:tc>
          <w:tcPr>
            <w:tcW w:w="25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27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围堵、滞留执法人员或拒绝提供资料</w:t>
            </w:r>
          </w:p>
        </w:tc>
        <w:tc>
          <w:tcPr>
            <w:tcW w:w="25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27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暴力抗法</w:t>
            </w:r>
          </w:p>
        </w:tc>
        <w:tc>
          <w:tcPr>
            <w:tcW w:w="25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27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rPr>
              <w:t>★弄虚作假情形</w:t>
            </w:r>
          </w:p>
        </w:tc>
        <w:tc>
          <w:tcPr>
            <w:tcW w:w="527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提供假信息</w:t>
            </w:r>
          </w:p>
        </w:tc>
        <w:tc>
          <w:tcPr>
            <w:tcW w:w="2513" w:type="dxa"/>
            <w:vAlign w:val="center"/>
          </w:tcPr>
          <w:p>
            <w:pPr>
              <w:shd w:val="clear" w:color="auto" w:fill="auto"/>
              <w:snapToGrid w:val="0"/>
              <w:spacing w:before="0" w:beforeAutospacing="0" w:after="0" w:afterAutospacing="0" w:line="300" w:lineRule="exact"/>
              <w:ind w:left="0" w:right="0"/>
              <w:jc w:val="center"/>
              <w:rPr>
                <w:rFonts w:hint="eastAsia"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3</w:t>
            </w:r>
          </w:p>
        </w:tc>
      </w:tr>
      <w:tr>
        <w:trPr>
          <w:trHeight w:val="369" w:hRule="atLeast"/>
          <w:jc w:val="center"/>
        </w:trPr>
        <w:tc>
          <w:tcPr>
            <w:tcW w:w="1274" w:type="dxa"/>
            <w:vMerge w:val="continue"/>
            <w:vAlign w:val="center"/>
          </w:tcPr>
          <w:p>
            <w:pPr>
              <w:shd w:val="clear" w:color="auto" w:fill="auto"/>
              <w:snapToGrid w:val="0"/>
              <w:spacing w:before="0" w:beforeAutospacing="0" w:after="0" w:afterAutospacing="0" w:line="300" w:lineRule="exact"/>
              <w:ind w:left="0" w:right="0"/>
              <w:jc w:val="both"/>
              <w:rPr>
                <w:rFonts w:hint="default" w:ascii="Times New Roman" w:hAnsi="Times New Roman" w:cs="Times New Roman"/>
                <w:b/>
                <w:bCs/>
                <w:color w:val="auto"/>
                <w:sz w:val="20"/>
                <w:szCs w:val="20"/>
                <w:shd w:val="clear" w:color="auto" w:fill="auto"/>
                <w:lang w:eastAsia="zh-CN"/>
              </w:rPr>
            </w:pPr>
          </w:p>
        </w:tc>
        <w:tc>
          <w:tcPr>
            <w:tcW w:w="527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伪造现场或证据</w:t>
            </w:r>
          </w:p>
        </w:tc>
        <w:tc>
          <w:tcPr>
            <w:tcW w:w="25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274" w:type="dxa"/>
            <w:vMerge w:val="restart"/>
            <w:vAlign w:val="center"/>
          </w:tcPr>
          <w:p>
            <w:pPr>
              <w:shd w:val="clear" w:color="auto" w:fill="auto"/>
              <w:snapToGrid w:val="0"/>
              <w:spacing w:before="0" w:beforeAutospacing="0" w:after="0" w:afterAutospacing="0" w:line="300" w:lineRule="exact"/>
              <w:ind w:left="0" w:right="0"/>
              <w:jc w:val="both"/>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27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7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27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27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00" w:lineRule="exact"/>
              <w:ind w:left="0" w:right="0" w:firstLine="2100" w:firstLineChars="1000"/>
              <w:jc w:val="both"/>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大型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27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管理类别</w:t>
            </w:r>
          </w:p>
        </w:tc>
        <w:tc>
          <w:tcPr>
            <w:tcW w:w="527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登记管理</w:t>
            </w:r>
          </w:p>
        </w:tc>
        <w:tc>
          <w:tcPr>
            <w:tcW w:w="25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369" w:hRule="atLeast"/>
          <w:jc w:val="center"/>
        </w:trPr>
        <w:tc>
          <w:tcPr>
            <w:tcW w:w="127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简化管理</w:t>
            </w:r>
          </w:p>
        </w:tc>
        <w:tc>
          <w:tcPr>
            <w:tcW w:w="25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27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重点管理</w:t>
            </w:r>
          </w:p>
        </w:tc>
        <w:tc>
          <w:tcPr>
            <w:tcW w:w="25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27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273" w:type="dxa"/>
            <w:vAlign w:val="center"/>
          </w:tcPr>
          <w:p>
            <w:pPr>
              <w:shd w:val="clear" w:color="auto" w:fill="auto"/>
              <w:snapToGrid w:val="0"/>
              <w:spacing w:before="0" w:beforeAutospacing="0" w:after="0" w:afterAutospacing="0" w:line="30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5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7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0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5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27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0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5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27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86" w:type="dxa"/>
            <w:gridSpan w:val="2"/>
            <w:vAlign w:val="center"/>
          </w:tcPr>
          <w:p>
            <w:pPr>
              <w:shd w:val="clear" w:color="auto" w:fill="auto"/>
              <w:snapToGrid w:val="0"/>
              <w:spacing w:before="0" w:beforeAutospacing="0" w:after="0" w:afterAutospacing="0" w:line="300" w:lineRule="exact"/>
              <w:ind w:left="0" w:right="0" w:firstLine="420"/>
              <w:jc w:val="center"/>
              <w:rPr>
                <w:rFonts w:hint="default" w:ascii="Times New Roman" w:hAnsi="Times New Roman" w:cs="Times New Roman"/>
                <w:color w:val="auto"/>
                <w:sz w:val="20"/>
                <w:szCs w:val="20"/>
                <w:shd w:val="clear" w:color="auto" w:fill="auto"/>
              </w:rPr>
            </w:pPr>
          </w:p>
        </w:tc>
      </w:tr>
    </w:tbl>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5153"/>
        <w:gridCol w:w="2531"/>
      </w:tblGrid>
      <w:tr>
        <w:trPr>
          <w:trHeight w:val="90" w:hRule="atLeast"/>
          <w:jc w:val="center"/>
        </w:trPr>
        <w:tc>
          <w:tcPr>
            <w:tcW w:w="9060" w:type="dxa"/>
            <w:gridSpan w:val="3"/>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40" w:hRule="atLeast"/>
          <w:jc w:val="center"/>
        </w:trPr>
        <w:tc>
          <w:tcPr>
            <w:tcW w:w="1376"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84" w:type="dxa"/>
            <w:gridSpan w:val="2"/>
            <w:vAlign w:val="center"/>
          </w:tcPr>
          <w:p>
            <w:pPr>
              <w:shd w:val="clear" w:color="auto" w:fill="auto"/>
              <w:wordWrap/>
              <w:adjustRightInd/>
              <w:snapToGrid w:val="0"/>
              <w:spacing w:before="0" w:beforeAutospacing="0" w:after="0" w:afterAutospacing="0" w:line="360" w:lineRule="exact"/>
              <w:ind w:left="0" w:right="0"/>
              <w:jc w:val="center"/>
              <w:textAlignment w:val="auto"/>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40" w:hRule="atLeast"/>
          <w:jc w:val="center"/>
        </w:trPr>
        <w:tc>
          <w:tcPr>
            <w:tcW w:w="1376"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84" w:type="dxa"/>
            <w:gridSpan w:val="2"/>
            <w:vAlign w:val="center"/>
          </w:tcPr>
          <w:p>
            <w:pPr>
              <w:shd w:val="clear" w:color="auto" w:fill="auto"/>
              <w:wordWrap/>
              <w:adjustRightInd/>
              <w:snapToGrid w:val="0"/>
              <w:spacing w:before="0" w:beforeAutospacing="0" w:after="0" w:afterAutospacing="0" w:line="360" w:lineRule="exact"/>
              <w:ind w:left="0" w:right="0"/>
              <w:jc w:val="center"/>
              <w:textAlignment w:val="auto"/>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未依法取得排污许可证排放大气污染物的</w:t>
            </w:r>
          </w:p>
        </w:tc>
      </w:tr>
      <w:tr>
        <w:trPr>
          <w:trHeight w:val="340" w:hRule="atLeast"/>
          <w:jc w:val="center"/>
        </w:trPr>
        <w:tc>
          <w:tcPr>
            <w:tcW w:w="1376"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84" w:type="dxa"/>
            <w:gridSpan w:val="2"/>
            <w:vAlign w:val="top"/>
          </w:tcPr>
          <w:p>
            <w:pPr>
              <w:pStyle w:val="19"/>
              <w:shd w:val="clear" w:color="auto" w:fill="auto"/>
              <w:wordWrap/>
              <w:adjustRightInd/>
              <w:snapToGrid w:val="0"/>
              <w:spacing w:before="0" w:beforeAutospacing="0" w:after="0" w:afterAutospacing="0" w:line="36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《中华人民共和国大气污染防治法》第十九条</w:t>
            </w:r>
            <w:r>
              <w:rPr>
                <w:rFonts w:hint="default" w:ascii="Times New Roman" w:hAnsi="Times New Roman" w:cs="Times New Roman"/>
                <w:color w:val="auto"/>
                <w:sz w:val="21"/>
                <w:szCs w:val="21"/>
                <w:shd w:val="clear" w:color="auto" w:fill="auto"/>
              </w:rPr>
              <w:t xml:space="preserve"> 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w:t>
            </w:r>
          </w:p>
        </w:tc>
      </w:tr>
      <w:tr>
        <w:trPr>
          <w:trHeight w:val="340" w:hRule="atLeast"/>
          <w:jc w:val="center"/>
        </w:trPr>
        <w:tc>
          <w:tcPr>
            <w:tcW w:w="1376"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84" w:type="dxa"/>
            <w:gridSpan w:val="2"/>
            <w:vAlign w:val="top"/>
          </w:tcPr>
          <w:p>
            <w:pPr>
              <w:pStyle w:val="19"/>
              <w:shd w:val="clear" w:color="auto" w:fill="auto"/>
              <w:wordWrap/>
              <w:adjustRightInd/>
              <w:snapToGrid w:val="0"/>
              <w:spacing w:before="0" w:beforeAutospacing="0" w:after="0" w:afterAutospacing="0" w:line="36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《中华人民共和国大气污染防治法》第九十九条第（一）项</w:t>
            </w:r>
            <w:r>
              <w:rPr>
                <w:rFonts w:hint="default" w:ascii="Times New Roman" w:hAnsi="Times New Roman" w:cs="Times New Roman"/>
                <w:color w:val="auto"/>
                <w:sz w:val="21"/>
                <w:szCs w:val="21"/>
                <w:shd w:val="clear" w:color="auto" w:fill="auto"/>
              </w:rPr>
              <w:t xml:space="preserve"> 违反本法规定，有下列行为之一的，由县级以上人民政府生态环境主管部门责令改正或者限制生产、停产整治，并处十万元以上一百万元以下的罚款；情节严重的，报经有批准权的人民政府批准，责令停业、关闭：</w:t>
            </w:r>
          </w:p>
          <w:p>
            <w:pPr>
              <w:pStyle w:val="19"/>
              <w:shd w:val="clear" w:color="auto" w:fill="auto"/>
              <w:wordWrap/>
              <w:adjustRightInd/>
              <w:snapToGrid w:val="0"/>
              <w:spacing w:before="0" w:beforeAutospacing="0" w:after="0" w:afterAutospacing="0" w:line="36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（一）未依法取得排污许可证排放大气污染物的。</w:t>
            </w:r>
          </w:p>
        </w:tc>
      </w:tr>
      <w:tr>
        <w:trPr>
          <w:trHeight w:val="357" w:hRule="atLeast"/>
          <w:jc w:val="center"/>
        </w:trPr>
        <w:tc>
          <w:tcPr>
            <w:tcW w:w="1376"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53"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31"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57" w:hRule="atLeast"/>
          <w:jc w:val="center"/>
        </w:trPr>
        <w:tc>
          <w:tcPr>
            <w:tcW w:w="1376" w:type="dxa"/>
            <w:vMerge w:val="restart"/>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★排污单位</w:t>
            </w:r>
          </w:p>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管理类别</w:t>
            </w:r>
          </w:p>
        </w:tc>
        <w:tc>
          <w:tcPr>
            <w:tcW w:w="5153"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简化管理</w:t>
            </w:r>
          </w:p>
        </w:tc>
        <w:tc>
          <w:tcPr>
            <w:tcW w:w="2531"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1</w:t>
            </w:r>
          </w:p>
        </w:tc>
      </w:tr>
      <w:tr>
        <w:trPr>
          <w:trHeight w:val="357" w:hRule="atLeast"/>
          <w:jc w:val="center"/>
        </w:trPr>
        <w:tc>
          <w:tcPr>
            <w:tcW w:w="1376" w:type="dxa"/>
            <w:vMerge w:val="continue"/>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重点管理</w:t>
            </w:r>
          </w:p>
        </w:tc>
        <w:tc>
          <w:tcPr>
            <w:tcW w:w="2531"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3</w:t>
            </w:r>
          </w:p>
        </w:tc>
      </w:tr>
      <w:tr>
        <w:trPr>
          <w:trHeight w:val="357" w:hRule="atLeast"/>
          <w:jc w:val="center"/>
        </w:trPr>
        <w:tc>
          <w:tcPr>
            <w:tcW w:w="1376" w:type="dxa"/>
            <w:vMerge w:val="restart"/>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153"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31"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57" w:hRule="atLeast"/>
          <w:jc w:val="center"/>
        </w:trPr>
        <w:tc>
          <w:tcPr>
            <w:tcW w:w="1376" w:type="dxa"/>
            <w:vMerge w:val="continue"/>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31"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57" w:hRule="atLeast"/>
          <w:jc w:val="center"/>
        </w:trPr>
        <w:tc>
          <w:tcPr>
            <w:tcW w:w="1376" w:type="dxa"/>
            <w:vMerge w:val="continue"/>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31"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57" w:hRule="atLeast"/>
          <w:jc w:val="center"/>
        </w:trPr>
        <w:tc>
          <w:tcPr>
            <w:tcW w:w="1376" w:type="dxa"/>
            <w:vMerge w:val="continue"/>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wordWrap/>
              <w:adjustRightInd/>
              <w:snapToGrid w:val="0"/>
              <w:spacing w:before="0" w:beforeAutospacing="0" w:after="0" w:afterAutospacing="0" w:line="360" w:lineRule="exact"/>
              <w:ind w:left="0" w:right="0" w:firstLine="2100" w:firstLineChars="1000"/>
              <w:jc w:val="both"/>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31"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57" w:hRule="atLeast"/>
          <w:jc w:val="center"/>
        </w:trPr>
        <w:tc>
          <w:tcPr>
            <w:tcW w:w="1376" w:type="dxa"/>
            <w:vMerge w:val="restart"/>
            <w:vAlign w:val="center"/>
          </w:tcPr>
          <w:p>
            <w:pPr>
              <w:shd w:val="clear" w:color="auto" w:fill="auto"/>
              <w:wordWrap/>
              <w:adjustRightInd/>
              <w:snapToGrid w:val="0"/>
              <w:spacing w:before="0" w:beforeAutospacing="0" w:after="0" w:afterAutospacing="0" w:line="36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color w:val="auto"/>
                <w:sz w:val="21"/>
                <w:szCs w:val="21"/>
                <w:shd w:val="clear" w:color="auto" w:fill="auto"/>
              </w:rPr>
              <w:t>废气类别</w:t>
            </w:r>
          </w:p>
        </w:tc>
        <w:tc>
          <w:tcPr>
            <w:tcW w:w="5153" w:type="dxa"/>
            <w:vAlign w:val="center"/>
          </w:tcPr>
          <w:p>
            <w:pPr>
              <w:shd w:val="clear" w:color="auto" w:fill="auto"/>
              <w:wordWrap/>
              <w:adjustRightInd/>
              <w:snapToGrid w:val="0"/>
              <w:spacing w:before="0" w:beforeAutospacing="0" w:after="0" w:afterAutospacing="0" w:line="36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机械、汽车修理废气/畜禽养殖废气</w:t>
            </w:r>
          </w:p>
        </w:tc>
        <w:tc>
          <w:tcPr>
            <w:tcW w:w="2531" w:type="dxa"/>
            <w:vAlign w:val="center"/>
          </w:tcPr>
          <w:p>
            <w:pPr>
              <w:shd w:val="clear" w:color="auto" w:fill="auto"/>
              <w:wordWrap/>
              <w:adjustRightInd/>
              <w:snapToGrid w:val="0"/>
              <w:spacing w:before="0" w:beforeAutospacing="0" w:after="0" w:afterAutospacing="0" w:line="36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1</w:t>
            </w:r>
          </w:p>
        </w:tc>
      </w:tr>
      <w:tr>
        <w:trPr>
          <w:trHeight w:val="357" w:hRule="atLeast"/>
          <w:jc w:val="center"/>
        </w:trPr>
        <w:tc>
          <w:tcPr>
            <w:tcW w:w="1376" w:type="dxa"/>
            <w:vMerge w:val="continue"/>
            <w:vAlign w:val="center"/>
          </w:tcPr>
          <w:p>
            <w:pPr>
              <w:shd w:val="clear" w:color="auto" w:fill="auto"/>
              <w:wordWrap/>
              <w:adjustRightInd/>
              <w:snapToGrid w:val="0"/>
              <w:spacing w:before="0" w:beforeAutospacing="0" w:after="0" w:afterAutospacing="0" w:line="360" w:lineRule="exact"/>
              <w:ind w:left="0" w:leftChars="0" w:right="0" w:firstLine="420" w:firstLineChars="0"/>
              <w:jc w:val="center"/>
              <w:textAlignment w:val="auto"/>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wordWrap/>
              <w:adjustRightInd/>
              <w:snapToGrid w:val="0"/>
              <w:spacing w:before="0" w:beforeAutospacing="0" w:after="0" w:afterAutospacing="0" w:line="36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农业生产、工业扬尘废气/燃煤锅炉废气（30蒸吨以下）</w:t>
            </w:r>
          </w:p>
        </w:tc>
        <w:tc>
          <w:tcPr>
            <w:tcW w:w="2531" w:type="dxa"/>
            <w:vAlign w:val="center"/>
          </w:tcPr>
          <w:p>
            <w:pPr>
              <w:shd w:val="clear" w:color="auto" w:fill="auto"/>
              <w:wordWrap/>
              <w:adjustRightInd/>
              <w:snapToGrid w:val="0"/>
              <w:spacing w:before="0" w:beforeAutospacing="0" w:after="0" w:afterAutospacing="0" w:line="36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2</w:t>
            </w:r>
          </w:p>
        </w:tc>
      </w:tr>
      <w:tr>
        <w:trPr>
          <w:trHeight w:val="357" w:hRule="atLeast"/>
          <w:jc w:val="center"/>
        </w:trPr>
        <w:tc>
          <w:tcPr>
            <w:tcW w:w="1376" w:type="dxa"/>
            <w:vMerge w:val="continue"/>
            <w:vAlign w:val="center"/>
          </w:tcPr>
          <w:p>
            <w:pPr>
              <w:shd w:val="clear" w:color="auto" w:fill="auto"/>
              <w:wordWrap/>
              <w:adjustRightInd/>
              <w:snapToGrid w:val="0"/>
              <w:spacing w:before="0" w:beforeAutospacing="0" w:after="0" w:afterAutospacing="0" w:line="360" w:lineRule="exact"/>
              <w:ind w:left="0" w:leftChars="0" w:right="0" w:firstLine="420" w:firstLineChars="0"/>
              <w:jc w:val="center"/>
              <w:textAlignment w:val="auto"/>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wordWrap/>
              <w:adjustRightInd/>
              <w:snapToGrid w:val="0"/>
              <w:spacing w:before="0" w:beforeAutospacing="0" w:after="0" w:afterAutospacing="0" w:line="36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一般工业废气/含恶臭污染物的废气/医疗废气/实验室废气</w:t>
            </w:r>
          </w:p>
        </w:tc>
        <w:tc>
          <w:tcPr>
            <w:tcW w:w="2531" w:type="dxa"/>
            <w:vAlign w:val="center"/>
          </w:tcPr>
          <w:p>
            <w:pPr>
              <w:shd w:val="clear" w:color="auto" w:fill="auto"/>
              <w:wordWrap/>
              <w:adjustRightInd/>
              <w:snapToGrid w:val="0"/>
              <w:spacing w:before="0" w:beforeAutospacing="0" w:after="0" w:afterAutospacing="0" w:line="36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3</w:t>
            </w:r>
          </w:p>
        </w:tc>
      </w:tr>
      <w:tr>
        <w:trPr>
          <w:trHeight w:val="357" w:hRule="atLeast"/>
          <w:jc w:val="center"/>
        </w:trPr>
        <w:tc>
          <w:tcPr>
            <w:tcW w:w="1376" w:type="dxa"/>
            <w:vMerge w:val="continue"/>
            <w:vAlign w:val="center"/>
          </w:tcPr>
          <w:p>
            <w:pPr>
              <w:shd w:val="clear" w:color="auto" w:fill="auto"/>
              <w:wordWrap/>
              <w:adjustRightInd/>
              <w:snapToGrid w:val="0"/>
              <w:spacing w:before="0" w:beforeAutospacing="0" w:after="0" w:afterAutospacing="0" w:line="360" w:lineRule="exact"/>
              <w:ind w:left="0" w:leftChars="0" w:right="0" w:firstLine="420" w:firstLineChars="0"/>
              <w:jc w:val="center"/>
              <w:textAlignment w:val="auto"/>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wordWrap/>
              <w:adjustRightInd/>
              <w:snapToGrid w:val="0"/>
              <w:spacing w:before="0" w:beforeAutospacing="0" w:after="0" w:afterAutospacing="0" w:line="36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火电、钢铁、石化、水泥、炼焦、有色、化工废气、烟尘/燃煤锅炉废气（30蒸吨以上）</w:t>
            </w:r>
          </w:p>
        </w:tc>
        <w:tc>
          <w:tcPr>
            <w:tcW w:w="2531" w:type="dxa"/>
            <w:vAlign w:val="center"/>
          </w:tcPr>
          <w:p>
            <w:pPr>
              <w:shd w:val="clear" w:color="auto" w:fill="auto"/>
              <w:wordWrap/>
              <w:adjustRightInd/>
              <w:snapToGrid w:val="0"/>
              <w:spacing w:before="0" w:beforeAutospacing="0" w:after="0" w:afterAutospacing="0" w:line="36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4</w:t>
            </w:r>
          </w:p>
        </w:tc>
      </w:tr>
      <w:tr>
        <w:trPr>
          <w:trHeight w:val="357" w:hRule="atLeast"/>
          <w:jc w:val="center"/>
        </w:trPr>
        <w:tc>
          <w:tcPr>
            <w:tcW w:w="1376" w:type="dxa"/>
            <w:vMerge w:val="continue"/>
            <w:vAlign w:val="center"/>
          </w:tcPr>
          <w:p>
            <w:pPr>
              <w:shd w:val="clear" w:color="auto" w:fill="auto"/>
              <w:wordWrap/>
              <w:adjustRightInd/>
              <w:snapToGrid w:val="0"/>
              <w:spacing w:before="0" w:beforeAutospacing="0" w:after="0" w:afterAutospacing="0" w:line="360" w:lineRule="exact"/>
              <w:ind w:left="0" w:leftChars="0" w:right="0" w:firstLine="420" w:firstLineChars="0"/>
              <w:jc w:val="center"/>
              <w:textAlignment w:val="auto"/>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wordWrap/>
              <w:adjustRightInd/>
              <w:snapToGrid w:val="0"/>
              <w:spacing w:before="0" w:beforeAutospacing="0" w:after="0" w:afterAutospacing="0" w:line="36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含有毒有害物质的废气</w:t>
            </w:r>
          </w:p>
        </w:tc>
        <w:tc>
          <w:tcPr>
            <w:tcW w:w="2531" w:type="dxa"/>
            <w:vAlign w:val="center"/>
          </w:tcPr>
          <w:p>
            <w:pPr>
              <w:shd w:val="clear" w:color="auto" w:fill="auto"/>
              <w:wordWrap/>
              <w:adjustRightInd/>
              <w:snapToGrid w:val="0"/>
              <w:spacing w:before="0" w:beforeAutospacing="0" w:after="0" w:afterAutospacing="0" w:line="36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5</w:t>
            </w:r>
          </w:p>
        </w:tc>
      </w:tr>
      <w:tr>
        <w:trPr>
          <w:trHeight w:val="357" w:hRule="atLeast"/>
          <w:jc w:val="center"/>
        </w:trPr>
        <w:tc>
          <w:tcPr>
            <w:tcW w:w="1376" w:type="dxa"/>
            <w:vMerge w:val="restart"/>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地点</w:t>
            </w:r>
          </w:p>
        </w:tc>
        <w:tc>
          <w:tcPr>
            <w:tcW w:w="5153"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符合环境功能区划</w:t>
            </w:r>
          </w:p>
        </w:tc>
        <w:tc>
          <w:tcPr>
            <w:tcW w:w="2531"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57" w:hRule="atLeast"/>
          <w:jc w:val="center"/>
        </w:trPr>
        <w:tc>
          <w:tcPr>
            <w:tcW w:w="1376" w:type="dxa"/>
            <w:vMerge w:val="continue"/>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w:t>
            </w:r>
            <w:r>
              <w:rPr>
                <w:rFonts w:hint="default" w:ascii="Times New Roman" w:hAnsi="Times New Roman" w:cs="Times New Roman"/>
                <w:color w:val="auto"/>
                <w:sz w:val="20"/>
                <w:szCs w:val="20"/>
                <w:shd w:val="clear" w:color="auto" w:fill="auto"/>
                <w:lang w:eastAsia="zh-CN"/>
              </w:rPr>
              <w:t>但</w:t>
            </w:r>
            <w:r>
              <w:rPr>
                <w:rFonts w:hint="default" w:ascii="Times New Roman" w:hAnsi="Times New Roman" w:cs="Times New Roman"/>
                <w:color w:val="auto"/>
                <w:sz w:val="20"/>
                <w:szCs w:val="20"/>
                <w:shd w:val="clear" w:color="auto" w:fill="auto"/>
              </w:rPr>
              <w:t>位于居住区、商业交通居民混合区、文化区、工业区和农村地区</w:t>
            </w:r>
          </w:p>
        </w:tc>
        <w:tc>
          <w:tcPr>
            <w:tcW w:w="2531"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eastAsia"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57" w:hRule="atLeast"/>
          <w:jc w:val="center"/>
        </w:trPr>
        <w:tc>
          <w:tcPr>
            <w:tcW w:w="1376" w:type="dxa"/>
            <w:vMerge w:val="continue"/>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w:t>
            </w:r>
            <w:r>
              <w:rPr>
                <w:rFonts w:hint="default" w:ascii="Times New Roman" w:hAnsi="Times New Roman" w:cs="Times New Roman"/>
                <w:color w:val="auto"/>
                <w:sz w:val="20"/>
                <w:szCs w:val="20"/>
                <w:shd w:val="clear" w:color="auto" w:fill="auto"/>
                <w:lang w:eastAsia="zh-CN"/>
              </w:rPr>
              <w:t>但</w:t>
            </w:r>
            <w:r>
              <w:rPr>
                <w:rFonts w:hint="default" w:ascii="Times New Roman" w:hAnsi="Times New Roman" w:cs="Times New Roman"/>
                <w:color w:val="auto"/>
                <w:sz w:val="20"/>
                <w:szCs w:val="20"/>
                <w:shd w:val="clear" w:color="auto" w:fill="auto"/>
              </w:rPr>
              <w:t>位于自然保护区、风景名胜区和其他需要特殊保护的区域</w:t>
            </w:r>
          </w:p>
        </w:tc>
        <w:tc>
          <w:tcPr>
            <w:tcW w:w="2531"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eastAsia"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5</w:t>
            </w:r>
          </w:p>
        </w:tc>
      </w:tr>
      <w:tr>
        <w:trPr>
          <w:trHeight w:val="357" w:hRule="atLeast"/>
          <w:jc w:val="center"/>
        </w:trPr>
        <w:tc>
          <w:tcPr>
            <w:tcW w:w="1376" w:type="dxa"/>
            <w:vMerge w:val="restart"/>
            <w:vAlign w:val="center"/>
          </w:tcPr>
          <w:p>
            <w:pPr>
              <w:widowControl w:val="0"/>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wordWrap/>
              <w:adjustRightInd/>
              <w:snapToGrid w:val="0"/>
              <w:spacing w:before="0" w:beforeAutospacing="0" w:after="0" w:afterAutospacing="0" w:line="36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53" w:type="dxa"/>
            <w:vAlign w:val="center"/>
          </w:tcPr>
          <w:p>
            <w:pPr>
              <w:widowControl w:val="0"/>
              <w:shd w:val="clear" w:color="auto" w:fill="auto"/>
              <w:wordWrap/>
              <w:adjustRightInd/>
              <w:snapToGrid w:val="0"/>
              <w:spacing w:before="0" w:beforeAutospacing="0" w:after="0" w:afterAutospacing="0" w:line="36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531" w:type="dxa"/>
            <w:vAlign w:val="center"/>
          </w:tcPr>
          <w:p>
            <w:pPr>
              <w:widowControl w:val="0"/>
              <w:shd w:val="clear" w:color="auto" w:fill="auto"/>
              <w:wordWrap/>
              <w:adjustRightInd/>
              <w:snapToGrid w:val="0"/>
              <w:spacing w:before="0" w:beforeAutospacing="0" w:after="0" w:afterAutospacing="0" w:line="36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57" w:hRule="atLeast"/>
          <w:jc w:val="center"/>
        </w:trPr>
        <w:tc>
          <w:tcPr>
            <w:tcW w:w="1376" w:type="dxa"/>
            <w:vMerge w:val="continue"/>
            <w:vAlign w:val="center"/>
          </w:tcPr>
          <w:p>
            <w:pPr>
              <w:widowControl w:val="0"/>
              <w:shd w:val="clear" w:color="auto" w:fill="auto"/>
              <w:wordWrap/>
              <w:adjustRightInd/>
              <w:snapToGrid w:val="0"/>
              <w:spacing w:before="0" w:beforeAutospacing="0" w:after="0" w:afterAutospacing="0" w:line="36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53" w:type="dxa"/>
            <w:vAlign w:val="center"/>
          </w:tcPr>
          <w:p>
            <w:pPr>
              <w:widowControl w:val="0"/>
              <w:shd w:val="clear" w:color="auto" w:fill="auto"/>
              <w:wordWrap/>
              <w:adjustRightInd/>
              <w:snapToGrid w:val="0"/>
              <w:spacing w:before="0" w:beforeAutospacing="0" w:after="0" w:afterAutospacing="0" w:line="36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531" w:type="dxa"/>
            <w:vAlign w:val="center"/>
          </w:tcPr>
          <w:p>
            <w:pPr>
              <w:widowControl w:val="0"/>
              <w:shd w:val="clear" w:color="auto" w:fill="auto"/>
              <w:wordWrap/>
              <w:adjustRightInd/>
              <w:snapToGrid w:val="0"/>
              <w:spacing w:before="0" w:beforeAutospacing="0" w:after="0" w:afterAutospacing="0" w:line="360" w:lineRule="exact"/>
              <w:ind w:left="0" w:leftChars="0" w:right="0"/>
              <w:jc w:val="center"/>
              <w:textAlignment w:val="auto"/>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57" w:hRule="atLeast"/>
          <w:jc w:val="center"/>
        </w:trPr>
        <w:tc>
          <w:tcPr>
            <w:tcW w:w="1376" w:type="dxa"/>
            <w:vMerge w:val="continue"/>
            <w:vAlign w:val="center"/>
          </w:tcPr>
          <w:p>
            <w:pPr>
              <w:widowControl w:val="0"/>
              <w:shd w:val="clear" w:color="auto" w:fill="auto"/>
              <w:wordWrap/>
              <w:adjustRightInd/>
              <w:snapToGrid w:val="0"/>
              <w:spacing w:before="0" w:beforeAutospacing="0" w:after="0" w:afterAutospacing="0" w:line="36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53" w:type="dxa"/>
            <w:vAlign w:val="center"/>
          </w:tcPr>
          <w:p>
            <w:pPr>
              <w:widowControl w:val="0"/>
              <w:shd w:val="clear" w:color="auto" w:fill="auto"/>
              <w:wordWrap/>
              <w:adjustRightInd/>
              <w:snapToGrid w:val="0"/>
              <w:spacing w:before="0" w:beforeAutospacing="0" w:after="0" w:afterAutospacing="0" w:line="360" w:lineRule="exact"/>
              <w:ind w:left="0" w:leftChars="0" w:right="0"/>
              <w:jc w:val="center"/>
              <w:textAlignment w:val="auto"/>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531" w:type="dxa"/>
            <w:vAlign w:val="center"/>
          </w:tcPr>
          <w:p>
            <w:pPr>
              <w:widowControl w:val="0"/>
              <w:shd w:val="clear" w:color="auto" w:fill="auto"/>
              <w:wordWrap/>
              <w:adjustRightInd/>
              <w:snapToGrid w:val="0"/>
              <w:spacing w:before="0" w:beforeAutospacing="0" w:after="0" w:afterAutospacing="0" w:line="360" w:lineRule="exact"/>
              <w:ind w:left="0" w:leftChars="0" w:right="0"/>
              <w:jc w:val="center"/>
              <w:textAlignment w:val="auto"/>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57" w:hRule="atLeast"/>
          <w:jc w:val="center"/>
        </w:trPr>
        <w:tc>
          <w:tcPr>
            <w:tcW w:w="1376" w:type="dxa"/>
            <w:vMerge w:val="continue"/>
            <w:vAlign w:val="center"/>
          </w:tcPr>
          <w:p>
            <w:pPr>
              <w:widowControl w:val="0"/>
              <w:shd w:val="clear" w:color="auto" w:fill="auto"/>
              <w:wordWrap/>
              <w:adjustRightInd/>
              <w:snapToGrid w:val="0"/>
              <w:spacing w:before="0" w:beforeAutospacing="0" w:after="0" w:afterAutospacing="0" w:line="36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53" w:type="dxa"/>
            <w:vAlign w:val="center"/>
          </w:tcPr>
          <w:p>
            <w:pPr>
              <w:widowControl w:val="0"/>
              <w:shd w:val="clear" w:color="auto" w:fill="auto"/>
              <w:wordWrap/>
              <w:adjustRightInd/>
              <w:snapToGrid w:val="0"/>
              <w:spacing w:before="0" w:beforeAutospacing="0" w:after="0" w:afterAutospacing="0" w:line="360" w:lineRule="exact"/>
              <w:ind w:left="0" w:leftChars="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531" w:type="dxa"/>
            <w:vAlign w:val="center"/>
          </w:tcPr>
          <w:p>
            <w:pPr>
              <w:widowControl w:val="0"/>
              <w:shd w:val="clear" w:color="auto" w:fill="auto"/>
              <w:wordWrap/>
              <w:adjustRightInd/>
              <w:snapToGrid w:val="0"/>
              <w:spacing w:before="0" w:beforeAutospacing="0" w:after="0" w:afterAutospacing="0" w:line="360" w:lineRule="exact"/>
              <w:ind w:left="0" w:leftChars="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57" w:hRule="atLeast"/>
          <w:jc w:val="center"/>
        </w:trPr>
        <w:tc>
          <w:tcPr>
            <w:tcW w:w="1376" w:type="dxa"/>
            <w:vMerge w:val="continue"/>
            <w:vAlign w:val="center"/>
          </w:tcPr>
          <w:p>
            <w:pPr>
              <w:widowControl w:val="0"/>
              <w:shd w:val="clear" w:color="auto" w:fill="auto"/>
              <w:wordWrap/>
              <w:adjustRightInd/>
              <w:snapToGrid w:val="0"/>
              <w:spacing w:before="0" w:beforeAutospacing="0" w:after="0" w:afterAutospacing="0" w:line="36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53" w:type="dxa"/>
            <w:vAlign w:val="center"/>
          </w:tcPr>
          <w:p>
            <w:pPr>
              <w:widowControl w:val="0"/>
              <w:shd w:val="clear" w:color="auto" w:fill="auto"/>
              <w:wordWrap/>
              <w:adjustRightInd/>
              <w:snapToGrid w:val="0"/>
              <w:spacing w:before="0" w:beforeAutospacing="0" w:after="0" w:afterAutospacing="0" w:line="360" w:lineRule="exact"/>
              <w:ind w:left="0" w:leftChars="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531" w:type="dxa"/>
            <w:vAlign w:val="center"/>
          </w:tcPr>
          <w:p>
            <w:pPr>
              <w:widowControl w:val="0"/>
              <w:shd w:val="clear" w:color="auto" w:fill="auto"/>
              <w:wordWrap/>
              <w:adjustRightInd/>
              <w:snapToGrid w:val="0"/>
              <w:spacing w:before="0" w:beforeAutospacing="0" w:after="0" w:afterAutospacing="0" w:line="360" w:lineRule="exact"/>
              <w:ind w:left="0" w:leftChars="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57" w:hRule="atLeast"/>
          <w:jc w:val="center"/>
        </w:trPr>
        <w:tc>
          <w:tcPr>
            <w:tcW w:w="1376" w:type="dxa"/>
            <w:vMerge w:val="restart"/>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排污超标</w:t>
            </w:r>
          </w:p>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状况</w:t>
            </w:r>
          </w:p>
        </w:tc>
        <w:tc>
          <w:tcPr>
            <w:tcW w:w="5153"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超标0.5倍以下</w:t>
            </w:r>
          </w:p>
        </w:tc>
        <w:tc>
          <w:tcPr>
            <w:tcW w:w="2531"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57" w:hRule="atLeast"/>
          <w:jc w:val="center"/>
        </w:trPr>
        <w:tc>
          <w:tcPr>
            <w:tcW w:w="1376" w:type="dxa"/>
            <w:vMerge w:val="continue"/>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超标0.5倍以上1倍以下</w:t>
            </w:r>
          </w:p>
        </w:tc>
        <w:tc>
          <w:tcPr>
            <w:tcW w:w="2531"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57" w:hRule="atLeast"/>
          <w:jc w:val="center"/>
        </w:trPr>
        <w:tc>
          <w:tcPr>
            <w:tcW w:w="1376" w:type="dxa"/>
            <w:vMerge w:val="continue"/>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超标1倍以上2倍以下</w:t>
            </w:r>
          </w:p>
        </w:tc>
        <w:tc>
          <w:tcPr>
            <w:tcW w:w="2531"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57" w:hRule="atLeast"/>
          <w:jc w:val="center"/>
        </w:trPr>
        <w:tc>
          <w:tcPr>
            <w:tcW w:w="1376" w:type="dxa"/>
            <w:vMerge w:val="continue"/>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超标2倍以上3倍以下</w:t>
            </w:r>
          </w:p>
        </w:tc>
        <w:tc>
          <w:tcPr>
            <w:tcW w:w="2531"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57" w:hRule="atLeast"/>
          <w:jc w:val="center"/>
        </w:trPr>
        <w:tc>
          <w:tcPr>
            <w:tcW w:w="1376" w:type="dxa"/>
            <w:vMerge w:val="continue"/>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超标3倍以上</w:t>
            </w:r>
          </w:p>
        </w:tc>
        <w:tc>
          <w:tcPr>
            <w:tcW w:w="2531"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76" w:type="dxa"/>
            <w:vMerge w:val="restart"/>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53"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531"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76" w:type="dxa"/>
            <w:vMerge w:val="continue"/>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31"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40" w:hRule="atLeast"/>
          <w:jc w:val="center"/>
        </w:trPr>
        <w:tc>
          <w:tcPr>
            <w:tcW w:w="1376" w:type="dxa"/>
            <w:vMerge w:val="continue"/>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531"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165" w:hRule="atLeast"/>
          <w:jc w:val="center"/>
        </w:trPr>
        <w:tc>
          <w:tcPr>
            <w:tcW w:w="1376" w:type="dxa"/>
            <w:vMerge w:val="continue"/>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eastAsia="宋体" w:cs="Times New Roman"/>
                <w:color w:val="auto"/>
                <w:sz w:val="21"/>
                <w:szCs w:val="21"/>
                <w:shd w:val="clear" w:color="auto" w:fill="auto"/>
                <w:lang/>
              </w:rPr>
            </w:pPr>
          </w:p>
        </w:tc>
        <w:tc>
          <w:tcPr>
            <w:tcW w:w="5153"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531"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76" w:type="dxa"/>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684" w:type="dxa"/>
            <w:gridSpan w:val="2"/>
            <w:vAlign w:val="center"/>
          </w:tcPr>
          <w:p>
            <w:pPr>
              <w:shd w:val="clear" w:color="auto" w:fill="auto"/>
              <w:wordWrap/>
              <w:adjustRightInd/>
              <w:snapToGrid w:val="0"/>
              <w:spacing w:before="0" w:beforeAutospacing="0" w:after="0" w:afterAutospacing="0" w:line="36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p>
        </w:tc>
      </w:tr>
    </w:tbl>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5121"/>
        <w:gridCol w:w="2533"/>
      </w:tblGrid>
      <w:tr>
        <w:trPr>
          <w:trHeight w:val="340" w:hRule="atLeast"/>
          <w:jc w:val="center"/>
        </w:trPr>
        <w:tc>
          <w:tcPr>
            <w:tcW w:w="9060" w:type="dxa"/>
            <w:gridSpan w:val="3"/>
            <w:vAlign w:val="top"/>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40" w:hRule="atLeast"/>
          <w:jc w:val="center"/>
        </w:trPr>
        <w:tc>
          <w:tcPr>
            <w:tcW w:w="140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54" w:type="dxa"/>
            <w:gridSpan w:val="2"/>
            <w:vAlign w:val="center"/>
          </w:tcPr>
          <w:p>
            <w:pPr>
              <w:shd w:val="clear" w:color="auto" w:fill="auto"/>
              <w:snapToGrid w:val="0"/>
              <w:spacing w:before="0" w:beforeAutospacing="0" w:after="0" w:afterAutospacing="0" w:line="30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40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54"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0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超过大气污染物排放标准排放大气污染物的</w:t>
            </w:r>
          </w:p>
        </w:tc>
      </w:tr>
      <w:tr>
        <w:trPr>
          <w:trHeight w:val="340" w:hRule="atLeast"/>
          <w:jc w:val="center"/>
        </w:trPr>
        <w:tc>
          <w:tcPr>
            <w:tcW w:w="140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54" w:type="dxa"/>
            <w:gridSpan w:val="2"/>
            <w:vAlign w:val="top"/>
          </w:tcPr>
          <w:p>
            <w:pPr>
              <w:pStyle w:val="18"/>
              <w:shd w:val="clear" w:color="auto" w:fill="auto"/>
              <w:snapToGrid w:val="0"/>
              <w:spacing w:before="0" w:beforeAutospacing="0" w:after="0" w:afterAutospacing="0" w:line="300" w:lineRule="exact"/>
              <w:ind w:left="0" w:right="0" w:firstLine="422" w:firstLineChars="20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《中华人民共和国大气污染防治法》第十八条</w:t>
            </w:r>
            <w:r>
              <w:rPr>
                <w:rFonts w:hint="default" w:ascii="Times New Roman" w:hAnsi="Times New Roman" w:cs="Times New Roman"/>
                <w:color w:val="auto"/>
                <w:sz w:val="21"/>
                <w:szCs w:val="21"/>
                <w:shd w:val="clear" w:color="auto" w:fill="auto"/>
              </w:rPr>
              <w:t xml:space="preserve"> 企业事业单位和其他生产经营者建设对大气环境有影响的项目，应当依法进行环境影响评价、公开环境影响评价文件；向大气排放污染物的，应当符合大气污染物排放标准，遵守重点大气污染物排放总量控制要求。</w:t>
            </w:r>
          </w:p>
        </w:tc>
      </w:tr>
      <w:tr>
        <w:trPr>
          <w:trHeight w:val="340" w:hRule="atLeast"/>
          <w:jc w:val="center"/>
        </w:trPr>
        <w:tc>
          <w:tcPr>
            <w:tcW w:w="140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54" w:type="dxa"/>
            <w:gridSpan w:val="2"/>
            <w:vAlign w:val="top"/>
          </w:tcPr>
          <w:p>
            <w:pPr>
              <w:pStyle w:val="19"/>
              <w:shd w:val="clear" w:color="auto" w:fill="auto"/>
              <w:snapToGrid w:val="0"/>
              <w:spacing w:before="0" w:beforeAutospacing="0" w:after="0" w:afterAutospacing="0" w:line="300" w:lineRule="exact"/>
              <w:ind w:left="0" w:right="0" w:firstLine="422" w:firstLineChars="20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《中华人民共和国大气污染防治法》第九十九条第（二）项</w:t>
            </w:r>
            <w:r>
              <w:rPr>
                <w:rFonts w:hint="default" w:ascii="Times New Roman" w:hAnsi="Times New Roman" w:cs="Times New Roman"/>
                <w:color w:val="auto"/>
                <w:sz w:val="21"/>
                <w:szCs w:val="21"/>
                <w:shd w:val="clear" w:color="auto" w:fill="auto"/>
              </w:rPr>
              <w:t xml:space="preserve"> 违反本法规定，有下列行为之一的，由县级以上人民政府生态环境主管部门责令改正或者限制生产、停产整治，并处十万元以上一百万元以下的罚款；情节严重的，报经有批准权的人民政府批准，责令停业、关闭：</w:t>
            </w:r>
          </w:p>
          <w:p>
            <w:pPr>
              <w:pStyle w:val="19"/>
              <w:shd w:val="clear" w:color="auto" w:fill="auto"/>
              <w:snapToGrid w:val="0"/>
              <w:spacing w:before="0" w:beforeAutospacing="0" w:after="0" w:afterAutospacing="0" w:line="300" w:lineRule="exact"/>
              <w:ind w:left="0" w:right="0" w:firstLine="420" w:firstLineChars="20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（二）超过大气污染物排放标准或者超过重点大气污染物排放总量控制指标排放大气污染物的。</w:t>
            </w:r>
          </w:p>
        </w:tc>
      </w:tr>
      <w:tr>
        <w:trPr>
          <w:trHeight w:val="386" w:hRule="atLeast"/>
          <w:jc w:val="center"/>
        </w:trPr>
        <w:tc>
          <w:tcPr>
            <w:tcW w:w="140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jc w:val="center"/>
        </w:trPr>
        <w:tc>
          <w:tcPr>
            <w:tcW w:w="1406" w:type="dxa"/>
            <w:vMerge w:val="restart"/>
            <w:vAlign w:val="center"/>
          </w:tcPr>
          <w:p>
            <w:pPr>
              <w:widowControl w:val="0"/>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rPr>
            </w:pPr>
            <w:r>
              <w:rPr>
                <w:rFonts w:hint="default" w:ascii="Times New Roman" w:hAnsi="Times New Roman" w:eastAsia="宋体" w:cs="Times New Roman"/>
                <w:b/>
                <w:bCs/>
                <w:color w:val="auto"/>
                <w:kern w:val="2"/>
                <w:sz w:val="21"/>
                <w:szCs w:val="21"/>
                <w:shd w:val="clear" w:color="auto" w:fill="auto"/>
                <w:lang w:val="en-US" w:eastAsia="zh-CN"/>
              </w:rPr>
              <w:t>★超标排放</w:t>
            </w:r>
          </w:p>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bCs/>
                <w:color w:val="auto"/>
                <w:kern w:val="2"/>
                <w:sz w:val="21"/>
                <w:szCs w:val="21"/>
                <w:shd w:val="clear" w:color="auto" w:fill="auto"/>
                <w:lang w:val="en-US" w:eastAsia="zh-CN"/>
              </w:rPr>
              <w:t>倍数</w:t>
            </w:r>
          </w:p>
        </w:tc>
        <w:tc>
          <w:tcPr>
            <w:tcW w:w="5121"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eastAsia="宋体" w:cs="Times New Roman"/>
                <w:color w:val="auto"/>
                <w:kern w:val="2"/>
                <w:sz w:val="21"/>
                <w:szCs w:val="21"/>
                <w:shd w:val="clear" w:color="auto" w:fill="auto"/>
                <w:lang w:val="en-US" w:eastAsia="zh-CN"/>
              </w:rPr>
              <w:t>超标0.5倍以下</w:t>
            </w:r>
          </w:p>
        </w:tc>
        <w:tc>
          <w:tcPr>
            <w:tcW w:w="253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jc w:val="center"/>
        </w:trPr>
        <w:tc>
          <w:tcPr>
            <w:tcW w:w="1406" w:type="dxa"/>
            <w:vMerge w:val="continue"/>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121"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eastAsia="宋体" w:cs="Times New Roman"/>
                <w:color w:val="auto"/>
                <w:kern w:val="2"/>
                <w:sz w:val="21"/>
                <w:szCs w:val="21"/>
                <w:shd w:val="clear" w:color="auto" w:fill="auto"/>
                <w:lang w:val="en-US" w:eastAsia="zh-CN"/>
              </w:rPr>
              <w:t>超标0.5倍以上1倍以下</w:t>
            </w:r>
          </w:p>
        </w:tc>
        <w:tc>
          <w:tcPr>
            <w:tcW w:w="253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jc w:val="center"/>
        </w:trPr>
        <w:tc>
          <w:tcPr>
            <w:tcW w:w="1406" w:type="dxa"/>
            <w:vMerge w:val="continue"/>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121"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eastAsia="宋体" w:cs="Times New Roman"/>
                <w:color w:val="auto"/>
                <w:kern w:val="2"/>
                <w:sz w:val="21"/>
                <w:szCs w:val="21"/>
                <w:shd w:val="clear" w:color="auto" w:fill="auto"/>
                <w:lang w:val="en-US" w:eastAsia="zh-CN"/>
              </w:rPr>
              <w:t>超标1倍以上2倍以下</w:t>
            </w:r>
          </w:p>
        </w:tc>
        <w:tc>
          <w:tcPr>
            <w:tcW w:w="253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jc w:val="center"/>
        </w:trPr>
        <w:tc>
          <w:tcPr>
            <w:tcW w:w="1406" w:type="dxa"/>
            <w:vMerge w:val="continue"/>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121"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eastAsia="宋体" w:cs="Times New Roman"/>
                <w:color w:val="auto"/>
                <w:kern w:val="2"/>
                <w:sz w:val="21"/>
                <w:szCs w:val="21"/>
                <w:shd w:val="clear" w:color="auto" w:fill="auto"/>
                <w:lang w:val="en-US" w:eastAsia="zh-CN"/>
              </w:rPr>
              <w:t>超标2倍以上3倍以下</w:t>
            </w:r>
          </w:p>
        </w:tc>
        <w:tc>
          <w:tcPr>
            <w:tcW w:w="253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jc w:val="center"/>
        </w:trPr>
        <w:tc>
          <w:tcPr>
            <w:tcW w:w="1406" w:type="dxa"/>
            <w:vMerge w:val="continue"/>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121"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eastAsia="宋体" w:cs="Times New Roman"/>
                <w:color w:val="auto"/>
                <w:kern w:val="2"/>
                <w:sz w:val="21"/>
                <w:szCs w:val="21"/>
                <w:shd w:val="clear" w:color="auto" w:fill="auto"/>
                <w:lang w:val="en-US" w:eastAsia="zh-CN"/>
              </w:rPr>
              <w:t>超标3倍以上</w:t>
            </w:r>
          </w:p>
        </w:tc>
        <w:tc>
          <w:tcPr>
            <w:tcW w:w="253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69" w:hRule="atLeast"/>
          <w:jc w:val="center"/>
        </w:trPr>
        <w:tc>
          <w:tcPr>
            <w:tcW w:w="1406"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企业规模</w:t>
            </w: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40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40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40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right="0" w:firstLine="2100" w:firstLineChars="1000"/>
              <w:jc w:val="both"/>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69" w:hRule="atLeast"/>
          <w:jc w:val="center"/>
        </w:trPr>
        <w:tc>
          <w:tcPr>
            <w:tcW w:w="1406"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val="0"/>
                <w:color w:val="auto"/>
                <w:sz w:val="20"/>
                <w:szCs w:val="20"/>
                <w:highlight w:val="none"/>
                <w:shd w:val="clear" w:color="auto" w:fill="auto"/>
                <w:lang w:eastAsia="zh-CN"/>
              </w:rPr>
              <w:t>管理类别</w:t>
            </w:r>
          </w:p>
        </w:tc>
        <w:tc>
          <w:tcPr>
            <w:tcW w:w="5121" w:type="dxa"/>
            <w:vAlign w:val="center"/>
          </w:tcPr>
          <w:p>
            <w:pPr>
              <w:shd w:val="clear" w:color="auto" w:fill="auto"/>
              <w:snapToGrid w:val="0"/>
              <w:spacing w:before="0" w:beforeAutospacing="0" w:after="0" w:afterAutospacing="0" w:line="300" w:lineRule="exact"/>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登记管理</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69" w:hRule="atLeast"/>
          <w:jc w:val="center"/>
        </w:trPr>
        <w:tc>
          <w:tcPr>
            <w:tcW w:w="140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简化管理</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40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重点管理</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406" w:type="dxa"/>
            <w:vMerge w:val="restart"/>
            <w:vAlign w:val="center"/>
          </w:tcPr>
          <w:p>
            <w:pPr>
              <w:widowControl w:val="0"/>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发生时期</w:t>
            </w:r>
          </w:p>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环境敏感度</w:t>
            </w:r>
          </w:p>
        </w:tc>
        <w:tc>
          <w:tcPr>
            <w:tcW w:w="5121"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一般期间</w:t>
            </w:r>
          </w:p>
        </w:tc>
        <w:tc>
          <w:tcPr>
            <w:tcW w:w="2533"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sz w:val="21"/>
                <w:szCs w:val="21"/>
                <w:shd w:val="clear" w:color="auto" w:fill="auto"/>
                <w:lang w:val="en-US" w:eastAsia="zh-CN"/>
              </w:rPr>
            </w:pPr>
            <w:r>
              <w:rPr>
                <w:rFonts w:hint="default" w:ascii="Times New Roman" w:hAnsi="Times New Roman" w:cs="Times New Roman"/>
                <w:color w:val="auto"/>
                <w:sz w:val="21"/>
                <w:szCs w:val="21"/>
                <w:shd w:val="clear" w:color="auto" w:fill="auto"/>
                <w:lang w:val="en-US" w:eastAsia="zh-CN"/>
              </w:rPr>
              <w:t>1</w:t>
            </w:r>
          </w:p>
        </w:tc>
      </w:tr>
      <w:tr>
        <w:trPr>
          <w:trHeight w:val="369" w:hRule="atLeast"/>
          <w:jc w:val="center"/>
        </w:trPr>
        <w:tc>
          <w:tcPr>
            <w:tcW w:w="1406" w:type="dxa"/>
            <w:vMerge w:val="continue"/>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color w:val="auto"/>
                <w:sz w:val="21"/>
                <w:szCs w:val="21"/>
                <w:shd w:val="clear" w:color="auto" w:fill="auto"/>
              </w:rPr>
            </w:pPr>
          </w:p>
        </w:tc>
        <w:tc>
          <w:tcPr>
            <w:tcW w:w="5121"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重污染天气黄色预警期间</w:t>
            </w:r>
          </w:p>
        </w:tc>
        <w:tc>
          <w:tcPr>
            <w:tcW w:w="2533"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369" w:hRule="atLeast"/>
          <w:jc w:val="center"/>
        </w:trPr>
        <w:tc>
          <w:tcPr>
            <w:tcW w:w="1406" w:type="dxa"/>
            <w:vMerge w:val="continue"/>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color w:val="auto"/>
                <w:sz w:val="21"/>
                <w:szCs w:val="21"/>
                <w:shd w:val="clear" w:color="auto" w:fill="auto"/>
              </w:rPr>
            </w:pPr>
          </w:p>
        </w:tc>
        <w:tc>
          <w:tcPr>
            <w:tcW w:w="5121"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重污染天气橙色预警期间</w:t>
            </w:r>
          </w:p>
        </w:tc>
        <w:tc>
          <w:tcPr>
            <w:tcW w:w="2533"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369" w:hRule="atLeast"/>
          <w:jc w:val="center"/>
        </w:trPr>
        <w:tc>
          <w:tcPr>
            <w:tcW w:w="1406" w:type="dxa"/>
            <w:vMerge w:val="continue"/>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color w:val="auto"/>
                <w:sz w:val="21"/>
                <w:szCs w:val="21"/>
                <w:shd w:val="clear" w:color="auto" w:fill="auto"/>
              </w:rPr>
            </w:pPr>
          </w:p>
        </w:tc>
        <w:tc>
          <w:tcPr>
            <w:tcW w:w="5121"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重污染天气红色预警期间</w:t>
            </w:r>
          </w:p>
        </w:tc>
        <w:tc>
          <w:tcPr>
            <w:tcW w:w="2533"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4</w:t>
            </w:r>
          </w:p>
        </w:tc>
      </w:tr>
      <w:tr>
        <w:trPr>
          <w:trHeight w:val="369" w:hRule="atLeast"/>
          <w:jc w:val="center"/>
        </w:trPr>
        <w:tc>
          <w:tcPr>
            <w:tcW w:w="1406" w:type="dxa"/>
            <w:vMerge w:val="continue"/>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color w:val="auto"/>
                <w:sz w:val="21"/>
                <w:szCs w:val="21"/>
                <w:shd w:val="clear" w:color="auto" w:fill="auto"/>
              </w:rPr>
            </w:pPr>
          </w:p>
        </w:tc>
        <w:tc>
          <w:tcPr>
            <w:tcW w:w="5121"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特殊或重大活动期间</w:t>
            </w:r>
          </w:p>
        </w:tc>
        <w:tc>
          <w:tcPr>
            <w:tcW w:w="2533"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w:t>
            </w:r>
          </w:p>
        </w:tc>
      </w:tr>
      <w:tr>
        <w:trPr>
          <w:trHeight w:val="386" w:hRule="atLeast"/>
          <w:jc w:val="center"/>
        </w:trPr>
        <w:tc>
          <w:tcPr>
            <w:tcW w:w="1406" w:type="dxa"/>
            <w:vMerge w:val="restart"/>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color w:val="auto"/>
                <w:sz w:val="21"/>
                <w:szCs w:val="21"/>
                <w:shd w:val="clear" w:color="auto" w:fill="auto"/>
              </w:rPr>
              <w:t>废气类别</w:t>
            </w:r>
          </w:p>
        </w:tc>
        <w:tc>
          <w:tcPr>
            <w:tcW w:w="5121"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机械、汽车修理废气/畜禽养殖废气</w:t>
            </w:r>
          </w:p>
        </w:tc>
        <w:tc>
          <w:tcPr>
            <w:tcW w:w="2533"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1</w:t>
            </w:r>
          </w:p>
        </w:tc>
      </w:tr>
      <w:tr>
        <w:trPr>
          <w:trHeight w:val="386" w:hRule="atLeast"/>
          <w:jc w:val="center"/>
        </w:trPr>
        <w:tc>
          <w:tcPr>
            <w:tcW w:w="1406" w:type="dxa"/>
            <w:vMerge w:val="continue"/>
            <w:vAlign w:val="center"/>
          </w:tcPr>
          <w:p>
            <w:pPr>
              <w:shd w:val="clear" w:color="auto" w:fill="auto"/>
              <w:snapToGrid w:val="0"/>
              <w:spacing w:before="0" w:beforeAutospacing="0" w:after="0" w:afterAutospacing="0" w:line="30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农业生产、工业扬尘废气/燃煤锅炉废气（30蒸吨以下）</w:t>
            </w:r>
          </w:p>
        </w:tc>
        <w:tc>
          <w:tcPr>
            <w:tcW w:w="2533"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2</w:t>
            </w:r>
          </w:p>
        </w:tc>
      </w:tr>
      <w:tr>
        <w:trPr>
          <w:trHeight w:val="386" w:hRule="atLeast"/>
          <w:jc w:val="center"/>
        </w:trPr>
        <w:tc>
          <w:tcPr>
            <w:tcW w:w="1406" w:type="dxa"/>
            <w:vMerge w:val="continue"/>
            <w:vAlign w:val="center"/>
          </w:tcPr>
          <w:p>
            <w:pPr>
              <w:shd w:val="clear" w:color="auto" w:fill="auto"/>
              <w:snapToGrid w:val="0"/>
              <w:spacing w:before="0" w:beforeAutospacing="0" w:after="0" w:afterAutospacing="0" w:line="30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一般工业废气/含恶臭污染物的废气/医疗废气/实验室废气</w:t>
            </w:r>
          </w:p>
        </w:tc>
        <w:tc>
          <w:tcPr>
            <w:tcW w:w="2533"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3</w:t>
            </w:r>
          </w:p>
        </w:tc>
      </w:tr>
      <w:tr>
        <w:trPr>
          <w:trHeight w:val="386" w:hRule="atLeast"/>
          <w:jc w:val="center"/>
        </w:trPr>
        <w:tc>
          <w:tcPr>
            <w:tcW w:w="1406" w:type="dxa"/>
            <w:vMerge w:val="continue"/>
            <w:vAlign w:val="center"/>
          </w:tcPr>
          <w:p>
            <w:pPr>
              <w:shd w:val="clear" w:color="auto" w:fill="auto"/>
              <w:snapToGrid w:val="0"/>
              <w:spacing w:before="0" w:beforeAutospacing="0" w:after="0" w:afterAutospacing="0" w:line="30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火电、钢铁、石化、水泥、炼焦、有色、化工废气、烟尘/燃煤锅炉废气（30蒸吨以上）</w:t>
            </w:r>
          </w:p>
        </w:tc>
        <w:tc>
          <w:tcPr>
            <w:tcW w:w="2533"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4</w:t>
            </w:r>
          </w:p>
        </w:tc>
      </w:tr>
      <w:tr>
        <w:trPr>
          <w:trHeight w:val="386" w:hRule="atLeast"/>
          <w:jc w:val="center"/>
        </w:trPr>
        <w:tc>
          <w:tcPr>
            <w:tcW w:w="1406" w:type="dxa"/>
            <w:vMerge w:val="continue"/>
            <w:vAlign w:val="center"/>
          </w:tcPr>
          <w:p>
            <w:pPr>
              <w:shd w:val="clear" w:color="auto" w:fill="auto"/>
              <w:snapToGrid w:val="0"/>
              <w:spacing w:before="0" w:beforeAutospacing="0" w:after="0" w:afterAutospacing="0" w:line="30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含有毒有害物质的废气</w:t>
            </w:r>
          </w:p>
        </w:tc>
        <w:tc>
          <w:tcPr>
            <w:tcW w:w="2533"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5</w:t>
            </w:r>
          </w:p>
        </w:tc>
      </w:tr>
      <w:tr>
        <w:trPr>
          <w:trHeight w:val="340" w:hRule="atLeast"/>
          <w:jc w:val="center"/>
        </w:trPr>
        <w:tc>
          <w:tcPr>
            <w:tcW w:w="1406"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超标因子</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数量</w:t>
            </w: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40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2个</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40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right="0"/>
              <w:jc w:val="center"/>
              <w:rPr>
                <w:rFonts w:hint="eastAsia"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3个</w:t>
            </w:r>
            <w:r>
              <w:rPr>
                <w:rFonts w:hint="eastAsia" w:ascii="Times New Roman" w:hAnsi="Times New Roman" w:cs="Times New Roman"/>
                <w:color w:val="auto"/>
                <w:sz w:val="20"/>
                <w:szCs w:val="20"/>
                <w:shd w:val="clear" w:color="auto" w:fill="auto"/>
                <w:lang w:eastAsia="zh-CN"/>
              </w:rPr>
              <w:t>以上</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406" w:type="dxa"/>
            <w:vMerge w:val="restart"/>
            <w:vAlign w:val="center"/>
          </w:tcPr>
          <w:p>
            <w:pPr>
              <w:widowControl/>
              <w:shd w:val="clear" w:color="auto" w:fill="auto"/>
              <w:spacing w:before="0" w:beforeAutospacing="0" w:after="0" w:afterAutospacing="0" w:line="300" w:lineRule="exact"/>
              <w:ind w:left="0" w:right="0"/>
              <w:jc w:val="center"/>
              <w:rPr>
                <w:rFonts w:hint="default" w:ascii="Times New Roman" w:hAnsi="Times New Roman" w:cs="Times New Roman"/>
                <w:b/>
                <w:bCs/>
                <w:color w:val="auto"/>
                <w:sz w:val="20"/>
                <w:szCs w:val="20"/>
                <w:highlight w:val="none"/>
                <w:shd w:val="clear" w:color="auto" w:fill="auto"/>
              </w:rPr>
            </w:pPr>
            <w:r>
              <w:rPr>
                <w:rFonts w:hint="default" w:ascii="Times New Roman" w:hAnsi="Times New Roman" w:cs="Times New Roman"/>
                <w:b/>
                <w:bCs/>
                <w:color w:val="auto"/>
                <w:sz w:val="20"/>
                <w:szCs w:val="20"/>
                <w:highlight w:val="none"/>
                <w:shd w:val="clear" w:color="auto" w:fill="auto"/>
              </w:rPr>
              <w:t>小时烟气</w:t>
            </w:r>
          </w:p>
          <w:p>
            <w:pPr>
              <w:widowControl/>
              <w:shd w:val="clear" w:color="auto" w:fill="auto"/>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highlight w:val="none"/>
                <w:shd w:val="clear" w:color="auto" w:fill="auto"/>
              </w:rPr>
              <w:t>流量</w:t>
            </w: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1000标立方米</w:t>
            </w:r>
            <w:r>
              <w:rPr>
                <w:rFonts w:hint="default" w:ascii="Times New Roman" w:hAnsi="Times New Roman" w:cs="Times New Roman"/>
                <w:color w:val="auto"/>
                <w:sz w:val="20"/>
                <w:szCs w:val="20"/>
                <w:shd w:val="clear" w:color="auto" w:fill="auto"/>
                <w:lang w:eastAsia="zh-CN"/>
              </w:rPr>
              <w:t>以下</w:t>
            </w:r>
          </w:p>
        </w:tc>
        <w:tc>
          <w:tcPr>
            <w:tcW w:w="2533" w:type="dxa"/>
            <w:vAlign w:val="center"/>
          </w:tcPr>
          <w:p>
            <w:pPr>
              <w:widowControl/>
              <w:shd w:val="clear" w:color="auto" w:fill="auto"/>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1</w:t>
            </w:r>
          </w:p>
        </w:tc>
      </w:tr>
      <w:tr>
        <w:trPr>
          <w:trHeight w:val="340" w:hRule="atLeast"/>
          <w:jc w:val="center"/>
        </w:trPr>
        <w:tc>
          <w:tcPr>
            <w:tcW w:w="140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1000标立方米以上1万标立方米</w:t>
            </w:r>
            <w:r>
              <w:rPr>
                <w:rFonts w:hint="default" w:ascii="Times New Roman" w:hAnsi="Times New Roman" w:cs="Times New Roman"/>
                <w:color w:val="auto"/>
                <w:sz w:val="20"/>
                <w:szCs w:val="20"/>
                <w:shd w:val="clear" w:color="auto" w:fill="auto"/>
                <w:lang w:eastAsia="zh-CN"/>
              </w:rPr>
              <w:t>以下</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2</w:t>
            </w:r>
          </w:p>
        </w:tc>
      </w:tr>
      <w:tr>
        <w:trPr>
          <w:trHeight w:val="340" w:hRule="atLeast"/>
          <w:jc w:val="center"/>
        </w:trPr>
        <w:tc>
          <w:tcPr>
            <w:tcW w:w="140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1万标立方米以上10万标立方米</w:t>
            </w:r>
            <w:r>
              <w:rPr>
                <w:rFonts w:hint="default" w:ascii="Times New Roman" w:hAnsi="Times New Roman" w:cs="Times New Roman"/>
                <w:color w:val="auto"/>
                <w:sz w:val="20"/>
                <w:szCs w:val="20"/>
                <w:shd w:val="clear" w:color="auto" w:fill="auto"/>
                <w:lang w:eastAsia="zh-CN"/>
              </w:rPr>
              <w:t>以下</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3</w:t>
            </w:r>
          </w:p>
        </w:tc>
      </w:tr>
      <w:tr>
        <w:trPr>
          <w:trHeight w:val="340" w:hRule="atLeast"/>
          <w:jc w:val="center"/>
        </w:trPr>
        <w:tc>
          <w:tcPr>
            <w:tcW w:w="140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10万标立方米以上20万标立方米</w:t>
            </w:r>
            <w:r>
              <w:rPr>
                <w:rFonts w:hint="default" w:ascii="Times New Roman" w:hAnsi="Times New Roman" w:cs="Times New Roman"/>
                <w:color w:val="auto"/>
                <w:sz w:val="20"/>
                <w:szCs w:val="20"/>
                <w:shd w:val="clear" w:color="auto" w:fill="auto"/>
                <w:lang w:eastAsia="zh-CN"/>
              </w:rPr>
              <w:t>以下</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4</w:t>
            </w:r>
          </w:p>
        </w:tc>
      </w:tr>
      <w:tr>
        <w:trPr>
          <w:trHeight w:val="340" w:hRule="atLeast"/>
          <w:jc w:val="center"/>
        </w:trPr>
        <w:tc>
          <w:tcPr>
            <w:tcW w:w="140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20万标立方米以上</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5</w:t>
            </w:r>
          </w:p>
        </w:tc>
      </w:tr>
      <w:tr>
        <w:trPr>
          <w:trHeight w:val="340" w:hRule="atLeast"/>
          <w:jc w:val="center"/>
        </w:trPr>
        <w:tc>
          <w:tcPr>
            <w:tcW w:w="1406"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121"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0"/>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40" w:hRule="atLeast"/>
          <w:jc w:val="center"/>
        </w:trPr>
        <w:tc>
          <w:tcPr>
            <w:tcW w:w="140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3天以下</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40" w:hRule="atLeast"/>
          <w:jc w:val="center"/>
        </w:trPr>
        <w:tc>
          <w:tcPr>
            <w:tcW w:w="140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40" w:hRule="atLeast"/>
          <w:jc w:val="center"/>
        </w:trPr>
        <w:tc>
          <w:tcPr>
            <w:tcW w:w="140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40" w:hRule="atLeast"/>
          <w:jc w:val="center"/>
        </w:trPr>
        <w:tc>
          <w:tcPr>
            <w:tcW w:w="1406"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21" w:type="dxa"/>
            <w:vAlign w:val="center"/>
          </w:tcPr>
          <w:p>
            <w:pPr>
              <w:shd w:val="clear" w:color="auto" w:fill="auto"/>
              <w:snapToGrid w:val="0"/>
              <w:spacing w:before="0" w:beforeAutospacing="0" w:after="0" w:afterAutospacing="0" w:line="30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40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40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406"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40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40" w:hRule="atLeast"/>
          <w:jc w:val="center"/>
        </w:trPr>
        <w:tc>
          <w:tcPr>
            <w:tcW w:w="140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40" w:hRule="atLeast"/>
          <w:jc w:val="center"/>
        </w:trPr>
        <w:tc>
          <w:tcPr>
            <w:tcW w:w="140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40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54" w:type="dxa"/>
            <w:gridSpan w:val="2"/>
            <w:vAlign w:val="center"/>
          </w:tcPr>
          <w:p>
            <w:pPr>
              <w:shd w:val="clear" w:color="auto" w:fill="auto"/>
              <w:snapToGrid w:val="0"/>
              <w:spacing w:before="0" w:beforeAutospacing="0" w:after="0" w:afterAutospacing="0" w:line="300" w:lineRule="exact"/>
              <w:ind w:left="0" w:right="0"/>
              <w:rPr>
                <w:rFonts w:hint="default" w:ascii="Times New Roman" w:hAnsi="Times New Roman" w:eastAsia="宋体" w:cs="Times New Roman"/>
                <w:color w:val="auto"/>
                <w:sz w:val="20"/>
                <w:szCs w:val="20"/>
                <w:shd w:val="clear" w:color="auto" w:fill="auto"/>
                <w:lang w:val="en-US" w:eastAsia="zh-CN"/>
              </w:rPr>
            </w:pPr>
          </w:p>
        </w:tc>
      </w:tr>
    </w:tbl>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z w:val="10"/>
          <w:szCs w:val="10"/>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5179"/>
        <w:gridCol w:w="2510"/>
      </w:tblGrid>
      <w:tr>
        <w:trPr>
          <w:trHeight w:val="397" w:hRule="atLeast"/>
          <w:jc w:val="center"/>
        </w:trPr>
        <w:tc>
          <w:tcPr>
            <w:tcW w:w="9060" w:type="dxa"/>
            <w:gridSpan w:val="3"/>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97" w:hRule="atLeast"/>
          <w:jc w:val="center"/>
        </w:trPr>
        <w:tc>
          <w:tcPr>
            <w:tcW w:w="137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89" w:type="dxa"/>
            <w:gridSpan w:val="2"/>
            <w:vAlign w:val="center"/>
          </w:tcPr>
          <w:p>
            <w:pPr>
              <w:shd w:val="clear" w:color="auto" w:fill="auto"/>
              <w:snapToGrid w:val="0"/>
              <w:spacing w:before="0" w:beforeAutospacing="0" w:after="0" w:afterAutospacing="0" w:line="300" w:lineRule="exact"/>
              <w:ind w:left="0" w:right="0"/>
              <w:jc w:val="center"/>
              <w:outlineLvl w:val="9"/>
              <w:rPr>
                <w:rFonts w:hint="default" w:ascii="Times New Roman" w:hAnsi="Times New Roman" w:cs="Times New Roman"/>
                <w:color w:val="auto"/>
                <w:sz w:val="20"/>
                <w:szCs w:val="20"/>
                <w:shd w:val="clear" w:color="auto" w:fill="auto"/>
              </w:rPr>
            </w:pPr>
            <w:bookmarkStart w:id="43" w:name="_Toc31874"/>
            <w:r>
              <w:rPr>
                <w:rFonts w:hint="default" w:ascii="Times New Roman" w:hAnsi="Times New Roman" w:cs="Times New Roman"/>
                <w:color w:val="auto"/>
                <w:sz w:val="20"/>
                <w:szCs w:val="20"/>
                <w:shd w:val="clear" w:color="auto" w:fill="auto"/>
              </w:rPr>
              <w:t>4</w:t>
            </w:r>
            <w:bookmarkEnd w:id="43"/>
          </w:p>
        </w:tc>
      </w:tr>
      <w:tr>
        <w:trPr>
          <w:trHeight w:val="397" w:hRule="atLeast"/>
          <w:jc w:val="center"/>
        </w:trPr>
        <w:tc>
          <w:tcPr>
            <w:tcW w:w="137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89"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00" w:lineRule="exact"/>
              <w:ind w:left="0" w:right="0"/>
              <w:jc w:val="center"/>
              <w:outlineLvl w:val="9"/>
              <w:rPr>
                <w:rFonts w:hint="default" w:ascii="Times New Roman" w:hAnsi="Times New Roman" w:cs="Times New Roman"/>
                <w:color w:val="auto"/>
                <w:sz w:val="20"/>
                <w:szCs w:val="20"/>
                <w:shd w:val="clear" w:color="auto" w:fill="auto"/>
              </w:rPr>
            </w:pPr>
            <w:bookmarkStart w:id="44" w:name="_Toc10185"/>
            <w:r>
              <w:rPr>
                <w:rFonts w:hint="default" w:ascii="Times New Roman" w:hAnsi="Times New Roman" w:cs="Times New Roman"/>
                <w:color w:val="auto"/>
                <w:sz w:val="20"/>
                <w:szCs w:val="20"/>
                <w:shd w:val="clear" w:color="auto" w:fill="auto"/>
              </w:rPr>
              <w:t>超过重点大气污染物排放总量控制指标排放大气污染物的</w:t>
            </w:r>
            <w:bookmarkEnd w:id="44"/>
          </w:p>
        </w:tc>
      </w:tr>
      <w:tr>
        <w:trPr>
          <w:trHeight w:val="397" w:hRule="atLeast"/>
          <w:jc w:val="center"/>
        </w:trPr>
        <w:tc>
          <w:tcPr>
            <w:tcW w:w="137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89" w:type="dxa"/>
            <w:gridSpan w:val="2"/>
            <w:vAlign w:val="top"/>
          </w:tcPr>
          <w:p>
            <w:pPr>
              <w:pStyle w:val="18"/>
              <w:shd w:val="clear" w:color="auto" w:fill="auto"/>
              <w:snapToGrid w:val="0"/>
              <w:spacing w:before="0" w:beforeAutospacing="0" w:after="0" w:afterAutospacing="0" w:line="300" w:lineRule="exact"/>
              <w:ind w:left="0" w:right="0" w:firstLine="422" w:firstLineChars="20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《中华人民共和国大气污染防治法》第十八条</w:t>
            </w:r>
            <w:r>
              <w:rPr>
                <w:rFonts w:hint="default" w:ascii="Times New Roman" w:hAnsi="Times New Roman" w:cs="Times New Roman"/>
                <w:color w:val="auto"/>
                <w:sz w:val="21"/>
                <w:szCs w:val="21"/>
                <w:shd w:val="clear" w:color="auto" w:fill="auto"/>
              </w:rPr>
              <w:t xml:space="preserve"> 企业事业单位和其他生产经营者建设对大气环境有影响的项目，应当依法进行环境影响评价、公开环境影响评价文件；向大气排放污染物的，应当符合大气污染物排放标准，遵守重点大气污染物排放总量控制要求。</w:t>
            </w:r>
          </w:p>
        </w:tc>
      </w:tr>
      <w:tr>
        <w:trPr>
          <w:trHeight w:val="397" w:hRule="atLeast"/>
          <w:jc w:val="center"/>
        </w:trPr>
        <w:tc>
          <w:tcPr>
            <w:tcW w:w="137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89" w:type="dxa"/>
            <w:gridSpan w:val="2"/>
            <w:vAlign w:val="top"/>
          </w:tcPr>
          <w:p>
            <w:pPr>
              <w:pStyle w:val="19"/>
              <w:shd w:val="clear" w:color="auto" w:fill="auto"/>
              <w:snapToGrid w:val="0"/>
              <w:spacing w:before="0" w:beforeAutospacing="0" w:after="0" w:afterAutospacing="0" w:line="300" w:lineRule="exact"/>
              <w:ind w:left="0" w:right="0" w:firstLine="422" w:firstLineChars="20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《中华人民共和国大气污染防治法》第九十九条第（二）项</w:t>
            </w:r>
            <w:r>
              <w:rPr>
                <w:rFonts w:hint="default" w:ascii="Times New Roman" w:hAnsi="Times New Roman" w:cs="Times New Roman"/>
                <w:color w:val="auto"/>
                <w:sz w:val="21"/>
                <w:szCs w:val="21"/>
                <w:shd w:val="clear" w:color="auto" w:fill="auto"/>
              </w:rPr>
              <w:t xml:space="preserve"> 违反本法规定，有下列行为之一的，由县级以上人民政府生态环境主管部门责令改正或者限制生产、停产整治，并处十万元以上一百万元以下的罚款；情节严重的，报经有批准权的人民政府批准，责令停业、关闭：</w:t>
            </w:r>
          </w:p>
          <w:p>
            <w:pPr>
              <w:pStyle w:val="19"/>
              <w:shd w:val="clear" w:color="auto" w:fill="auto"/>
              <w:snapToGrid w:val="0"/>
              <w:spacing w:before="0" w:beforeAutospacing="0" w:after="0" w:afterAutospacing="0" w:line="300" w:lineRule="exact"/>
              <w:ind w:left="0" w:right="0" w:firstLine="420" w:firstLineChars="20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（二）超过大气污染物排放标准或者超过重点大气污染物排放总量控制指标排放大气污染物的。</w:t>
            </w:r>
          </w:p>
        </w:tc>
      </w:tr>
      <w:tr>
        <w:trPr>
          <w:trHeight w:val="369" w:hRule="atLeast"/>
          <w:jc w:val="center"/>
        </w:trPr>
        <w:tc>
          <w:tcPr>
            <w:tcW w:w="137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jc w:val="center"/>
        </w:trPr>
        <w:tc>
          <w:tcPr>
            <w:tcW w:w="1371"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color w:val="auto"/>
                <w:sz w:val="21"/>
                <w:szCs w:val="21"/>
                <w:shd w:val="clear" w:color="auto" w:fill="auto"/>
              </w:rPr>
            </w:pPr>
            <w:r>
              <w:rPr>
                <w:rFonts w:hint="default" w:ascii="Times New Roman" w:hAnsi="Times New Roman" w:cs="Times New Roman"/>
                <w:b/>
                <w:color w:val="auto"/>
                <w:sz w:val="21"/>
                <w:szCs w:val="21"/>
                <w:shd w:val="clear" w:color="auto" w:fill="auto"/>
              </w:rPr>
              <w:t>★超总量</w:t>
            </w:r>
          </w:p>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color w:val="auto"/>
                <w:sz w:val="21"/>
                <w:szCs w:val="21"/>
                <w:shd w:val="clear" w:color="auto" w:fill="auto"/>
              </w:rPr>
              <w:t>情况</w:t>
            </w:r>
          </w:p>
        </w:tc>
        <w:tc>
          <w:tcPr>
            <w:tcW w:w="5179"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highlight w:val="none"/>
                <w:shd w:val="clear" w:color="auto" w:fill="auto"/>
              </w:rPr>
            </w:pPr>
            <w:r>
              <w:rPr>
                <w:rFonts w:hint="default" w:ascii="Times New Roman" w:hAnsi="Times New Roman" w:cs="Times New Roman"/>
                <w:color w:val="auto"/>
                <w:sz w:val="21"/>
                <w:szCs w:val="21"/>
                <w:highlight w:val="none"/>
                <w:shd w:val="clear" w:color="auto" w:fill="auto"/>
              </w:rPr>
              <w:t>超总量5%以下</w:t>
            </w:r>
          </w:p>
        </w:tc>
        <w:tc>
          <w:tcPr>
            <w:tcW w:w="2510"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1</w:t>
            </w:r>
          </w:p>
        </w:tc>
      </w:tr>
      <w:tr>
        <w:trPr>
          <w:trHeight w:val="397" w:hRule="atLeast"/>
          <w:jc w:val="center"/>
        </w:trPr>
        <w:tc>
          <w:tcPr>
            <w:tcW w:w="1371" w:type="dxa"/>
            <w:vMerge w:val="continue"/>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highlight w:val="none"/>
                <w:shd w:val="clear" w:color="auto" w:fill="auto"/>
              </w:rPr>
            </w:pPr>
            <w:r>
              <w:rPr>
                <w:rFonts w:hint="default" w:ascii="Times New Roman" w:hAnsi="Times New Roman" w:cs="Times New Roman"/>
                <w:color w:val="auto"/>
                <w:sz w:val="21"/>
                <w:szCs w:val="21"/>
                <w:highlight w:val="none"/>
                <w:shd w:val="clear" w:color="auto" w:fill="auto"/>
              </w:rPr>
              <w:t>超总量5%以上10%以下</w:t>
            </w:r>
          </w:p>
        </w:tc>
        <w:tc>
          <w:tcPr>
            <w:tcW w:w="2510"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2</w:t>
            </w:r>
          </w:p>
        </w:tc>
      </w:tr>
      <w:tr>
        <w:trPr>
          <w:trHeight w:val="397" w:hRule="atLeast"/>
          <w:jc w:val="center"/>
        </w:trPr>
        <w:tc>
          <w:tcPr>
            <w:tcW w:w="1371" w:type="dxa"/>
            <w:vMerge w:val="continue"/>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highlight w:val="none"/>
                <w:shd w:val="clear" w:color="auto" w:fill="auto"/>
              </w:rPr>
            </w:pPr>
            <w:r>
              <w:rPr>
                <w:rFonts w:hint="default" w:ascii="Times New Roman" w:hAnsi="Times New Roman" w:cs="Times New Roman"/>
                <w:color w:val="auto"/>
                <w:sz w:val="21"/>
                <w:szCs w:val="21"/>
                <w:highlight w:val="none"/>
                <w:shd w:val="clear" w:color="auto" w:fill="auto"/>
              </w:rPr>
              <w:t>超总量10%以上15%以下</w:t>
            </w:r>
          </w:p>
        </w:tc>
        <w:tc>
          <w:tcPr>
            <w:tcW w:w="2510"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3</w:t>
            </w:r>
          </w:p>
        </w:tc>
      </w:tr>
      <w:tr>
        <w:trPr>
          <w:trHeight w:val="397" w:hRule="atLeast"/>
          <w:jc w:val="center"/>
        </w:trPr>
        <w:tc>
          <w:tcPr>
            <w:tcW w:w="1371" w:type="dxa"/>
            <w:vMerge w:val="continue"/>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highlight w:val="none"/>
                <w:shd w:val="clear" w:color="auto" w:fill="auto"/>
              </w:rPr>
            </w:pPr>
            <w:r>
              <w:rPr>
                <w:rFonts w:hint="default" w:ascii="Times New Roman" w:hAnsi="Times New Roman" w:cs="Times New Roman"/>
                <w:color w:val="auto"/>
                <w:sz w:val="21"/>
                <w:szCs w:val="21"/>
                <w:highlight w:val="none"/>
                <w:shd w:val="clear" w:color="auto" w:fill="auto"/>
              </w:rPr>
              <w:t>超总量15%以上20%以下</w:t>
            </w:r>
          </w:p>
        </w:tc>
        <w:tc>
          <w:tcPr>
            <w:tcW w:w="2510"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4</w:t>
            </w:r>
          </w:p>
        </w:tc>
      </w:tr>
      <w:tr>
        <w:trPr>
          <w:trHeight w:val="397" w:hRule="atLeast"/>
          <w:jc w:val="center"/>
        </w:trPr>
        <w:tc>
          <w:tcPr>
            <w:tcW w:w="1371" w:type="dxa"/>
            <w:vMerge w:val="continue"/>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超总量20%以上</w:t>
            </w:r>
          </w:p>
        </w:tc>
        <w:tc>
          <w:tcPr>
            <w:tcW w:w="2510"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5</w:t>
            </w:r>
          </w:p>
        </w:tc>
      </w:tr>
      <w:tr>
        <w:trPr>
          <w:trHeight w:val="397" w:hRule="atLeast"/>
          <w:jc w:val="center"/>
        </w:trPr>
        <w:tc>
          <w:tcPr>
            <w:tcW w:w="1371"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超总量因子数量</w:t>
            </w: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71"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2个</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71"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00" w:lineRule="exact"/>
              <w:ind w:left="0" w:right="0"/>
              <w:jc w:val="center"/>
              <w:rPr>
                <w:rFonts w:hint="eastAsia"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3个</w:t>
            </w:r>
            <w:r>
              <w:rPr>
                <w:rFonts w:hint="eastAsia" w:ascii="Times New Roman" w:hAnsi="Times New Roman" w:cs="Times New Roman"/>
                <w:color w:val="auto"/>
                <w:sz w:val="20"/>
                <w:szCs w:val="20"/>
                <w:shd w:val="clear" w:color="auto" w:fill="auto"/>
                <w:lang w:eastAsia="zh-CN"/>
              </w:rPr>
              <w:t>以上</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71"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企业规模</w:t>
            </w: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71"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71"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71"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00" w:lineRule="exact"/>
              <w:ind w:left="0" w:right="0" w:firstLine="2100" w:firstLineChars="1000"/>
              <w:jc w:val="both"/>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71"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371"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71"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408" w:hRule="atLeast"/>
          <w:jc w:val="center"/>
        </w:trPr>
        <w:tc>
          <w:tcPr>
            <w:tcW w:w="1371" w:type="dxa"/>
            <w:vMerge w:val="restart"/>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color w:val="auto"/>
                <w:sz w:val="21"/>
                <w:szCs w:val="21"/>
                <w:shd w:val="clear" w:color="auto" w:fill="auto"/>
              </w:rPr>
              <w:t>废气类别</w:t>
            </w:r>
          </w:p>
        </w:tc>
        <w:tc>
          <w:tcPr>
            <w:tcW w:w="5179"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机械、汽车修理废气/畜禽养殖废气</w:t>
            </w:r>
          </w:p>
        </w:tc>
        <w:tc>
          <w:tcPr>
            <w:tcW w:w="2510"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1</w:t>
            </w:r>
          </w:p>
        </w:tc>
      </w:tr>
      <w:tr>
        <w:trPr>
          <w:trHeight w:val="408" w:hRule="atLeast"/>
          <w:jc w:val="center"/>
        </w:trPr>
        <w:tc>
          <w:tcPr>
            <w:tcW w:w="1371" w:type="dxa"/>
            <w:vMerge w:val="continue"/>
            <w:vAlign w:val="center"/>
          </w:tcPr>
          <w:p>
            <w:pPr>
              <w:shd w:val="clear" w:color="auto" w:fill="auto"/>
              <w:snapToGrid w:val="0"/>
              <w:spacing w:before="0" w:beforeAutospacing="0" w:after="0" w:afterAutospacing="0" w:line="30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农业生产、工业扬尘废气/燃煤锅炉废气（30蒸吨以下）</w:t>
            </w:r>
          </w:p>
        </w:tc>
        <w:tc>
          <w:tcPr>
            <w:tcW w:w="2510"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2</w:t>
            </w:r>
          </w:p>
        </w:tc>
      </w:tr>
      <w:tr>
        <w:trPr>
          <w:trHeight w:val="408" w:hRule="atLeast"/>
          <w:jc w:val="center"/>
        </w:trPr>
        <w:tc>
          <w:tcPr>
            <w:tcW w:w="1371" w:type="dxa"/>
            <w:vMerge w:val="continue"/>
            <w:vAlign w:val="center"/>
          </w:tcPr>
          <w:p>
            <w:pPr>
              <w:shd w:val="clear" w:color="auto" w:fill="auto"/>
              <w:snapToGrid w:val="0"/>
              <w:spacing w:before="0" w:beforeAutospacing="0" w:after="0" w:afterAutospacing="0" w:line="30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一般工业废气/含恶臭污染物的废气/医疗废气/实验室废气</w:t>
            </w:r>
          </w:p>
        </w:tc>
        <w:tc>
          <w:tcPr>
            <w:tcW w:w="2510"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3</w:t>
            </w:r>
          </w:p>
        </w:tc>
      </w:tr>
      <w:tr>
        <w:trPr>
          <w:trHeight w:val="408" w:hRule="atLeast"/>
          <w:jc w:val="center"/>
        </w:trPr>
        <w:tc>
          <w:tcPr>
            <w:tcW w:w="1371" w:type="dxa"/>
            <w:vMerge w:val="continue"/>
            <w:vAlign w:val="center"/>
          </w:tcPr>
          <w:p>
            <w:pPr>
              <w:shd w:val="clear" w:color="auto" w:fill="auto"/>
              <w:snapToGrid w:val="0"/>
              <w:spacing w:before="0" w:beforeAutospacing="0" w:after="0" w:afterAutospacing="0" w:line="30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火电、钢铁、石化、水泥、炼焦、有色、化工废气、烟尘/燃煤锅炉废气（30蒸吨以上）</w:t>
            </w:r>
          </w:p>
        </w:tc>
        <w:tc>
          <w:tcPr>
            <w:tcW w:w="2510"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4</w:t>
            </w:r>
          </w:p>
        </w:tc>
      </w:tr>
      <w:tr>
        <w:trPr>
          <w:trHeight w:val="408" w:hRule="atLeast"/>
          <w:jc w:val="center"/>
        </w:trPr>
        <w:tc>
          <w:tcPr>
            <w:tcW w:w="1371" w:type="dxa"/>
            <w:vMerge w:val="continue"/>
            <w:vAlign w:val="center"/>
          </w:tcPr>
          <w:p>
            <w:pPr>
              <w:shd w:val="clear" w:color="auto" w:fill="auto"/>
              <w:snapToGrid w:val="0"/>
              <w:spacing w:before="0" w:beforeAutospacing="0" w:after="0" w:afterAutospacing="0" w:line="30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含有毒有害物质的废气</w:t>
            </w:r>
          </w:p>
        </w:tc>
        <w:tc>
          <w:tcPr>
            <w:tcW w:w="2510"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5</w:t>
            </w:r>
          </w:p>
        </w:tc>
      </w:tr>
      <w:tr>
        <w:trPr>
          <w:trHeight w:val="408" w:hRule="atLeast"/>
          <w:jc w:val="center"/>
        </w:trPr>
        <w:tc>
          <w:tcPr>
            <w:tcW w:w="1371"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highlight w:val="none"/>
                <w:shd w:val="clear" w:color="auto" w:fill="auto"/>
                <w:lang/>
              </w:rPr>
            </w:pPr>
            <w:r>
              <w:rPr>
                <w:rFonts w:hint="default" w:ascii="Times New Roman" w:hAnsi="Times New Roman" w:cs="Times New Roman"/>
                <w:b/>
                <w:bCs/>
                <w:color w:val="auto"/>
                <w:sz w:val="20"/>
                <w:szCs w:val="20"/>
                <w:shd w:val="clear" w:color="auto" w:fill="auto"/>
                <w:lang w:val="en-US"/>
              </w:rPr>
              <w:t>改正时间</w:t>
            </w:r>
          </w:p>
        </w:tc>
        <w:tc>
          <w:tcPr>
            <w:tcW w:w="5179"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1"/>
                <w:szCs w:val="21"/>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408" w:hRule="atLeast"/>
          <w:jc w:val="center"/>
        </w:trPr>
        <w:tc>
          <w:tcPr>
            <w:tcW w:w="1371"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highlight w:val="none"/>
                <w:shd w:val="clear" w:color="auto" w:fill="auto"/>
                <w:lang/>
              </w:rPr>
            </w:pP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highlight w:val="none"/>
                <w:shd w:val="clear" w:color="auto" w:fill="auto"/>
              </w:rPr>
            </w:pPr>
            <w:r>
              <w:rPr>
                <w:rFonts w:hint="default" w:ascii="Times New Roman" w:hAnsi="Times New Roman" w:cs="Times New Roman"/>
                <w:color w:val="auto"/>
                <w:sz w:val="20"/>
                <w:szCs w:val="20"/>
                <w:shd w:val="clear" w:color="auto" w:fill="auto"/>
                <w:lang w:val="en-US" w:eastAsia="zh-CN"/>
              </w:rPr>
              <w:t>3天以下</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highlight w:val="none"/>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71"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highlight w:val="yellow"/>
                <w:shd w:val="clear" w:color="auto" w:fill="auto"/>
              </w:rPr>
            </w:pP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highlight w:val="none"/>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highlight w:val="none"/>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371"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highlight w:val="yellow"/>
                <w:shd w:val="clear" w:color="auto" w:fill="auto"/>
              </w:rPr>
            </w:pP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highlight w:val="none"/>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highlight w:val="none"/>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7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yellow"/>
                <w:shd w:val="clear" w:color="auto" w:fill="auto"/>
              </w:rPr>
            </w:pPr>
            <w:r>
              <w:rPr>
                <w:rFonts w:hint="default" w:ascii="Times New Roman" w:hAnsi="Times New Roman" w:cs="Times New Roman"/>
                <w:b/>
                <w:bCs/>
                <w:color w:val="auto"/>
                <w:sz w:val="20"/>
                <w:szCs w:val="20"/>
                <w:lang w:eastAsia="zh-CN"/>
              </w:rPr>
              <w:t>受处罚次数</w:t>
            </w: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rPr>
              <w:t>两年内未受到过同类处罚</w:t>
            </w:r>
          </w:p>
        </w:tc>
        <w:tc>
          <w:tcPr>
            <w:tcW w:w="2510"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rPr>
              <w:t>1</w:t>
            </w:r>
          </w:p>
        </w:tc>
      </w:tr>
      <w:tr>
        <w:trPr>
          <w:trHeight w:val="397" w:hRule="atLeast"/>
          <w:jc w:val="center"/>
        </w:trPr>
        <w:tc>
          <w:tcPr>
            <w:tcW w:w="137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yellow"/>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rPr>
              <w:t>两年内受到同类处罚1次</w:t>
            </w:r>
          </w:p>
        </w:tc>
        <w:tc>
          <w:tcPr>
            <w:tcW w:w="2510"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rPr>
              <w:t>3</w:t>
            </w:r>
          </w:p>
        </w:tc>
      </w:tr>
      <w:tr>
        <w:trPr>
          <w:trHeight w:val="397" w:hRule="atLeast"/>
          <w:jc w:val="center"/>
        </w:trPr>
        <w:tc>
          <w:tcPr>
            <w:tcW w:w="137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yellow"/>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rPr>
              <w:t>两年内受到同类处罚2次以上</w:t>
            </w:r>
          </w:p>
        </w:tc>
        <w:tc>
          <w:tcPr>
            <w:tcW w:w="2510"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rPr>
              <w:t>5</w:t>
            </w:r>
          </w:p>
        </w:tc>
      </w:tr>
      <w:tr>
        <w:trPr>
          <w:trHeight w:val="397" w:hRule="atLeast"/>
          <w:jc w:val="center"/>
        </w:trPr>
        <w:tc>
          <w:tcPr>
            <w:tcW w:w="1371"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71"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71"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71"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7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689" w:type="dxa"/>
            <w:gridSpan w:val="2"/>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widowControl/>
        <w:shd w:val="clear" w:color="auto" w:fill="auto"/>
        <w:snapToGrid w:val="0"/>
        <w:jc w:val="left"/>
        <w:rPr>
          <w:rFonts w:hint="default" w:ascii="Times New Roman" w:hAnsi="Times New Roman" w:cs="Times New Roman"/>
          <w:color w:val="auto"/>
          <w:kern w:val="0"/>
          <w:sz w:val="10"/>
          <w:szCs w:val="10"/>
          <w:shd w:val="clear" w:color="auto" w:fill="auto"/>
        </w:rPr>
      </w:pPr>
    </w:p>
    <w:p>
      <w:pPr>
        <w:widowControl/>
        <w:shd w:val="clear" w:color="auto" w:fill="auto"/>
        <w:snapToGrid w:val="0"/>
        <w:jc w:val="left"/>
        <w:rPr>
          <w:rFonts w:hint="default" w:ascii="Times New Roman" w:hAnsi="Times New Roman" w:cs="Times New Roman"/>
          <w:color w:val="auto"/>
          <w:kern w:val="0"/>
          <w:sz w:val="10"/>
          <w:szCs w:val="10"/>
          <w:shd w:val="clear" w:color="auto" w:fill="auto"/>
        </w:rPr>
      </w:pPr>
    </w:p>
    <w:p>
      <w:pPr>
        <w:widowControl/>
        <w:shd w:val="clear" w:color="auto" w:fill="auto"/>
        <w:snapToGrid w:val="0"/>
        <w:jc w:val="left"/>
        <w:rPr>
          <w:rFonts w:hint="default" w:ascii="Times New Roman" w:hAnsi="Times New Roman" w:cs="Times New Roman"/>
          <w:color w:val="auto"/>
          <w:kern w:val="0"/>
          <w:sz w:val="10"/>
          <w:szCs w:val="10"/>
          <w:shd w:val="clear" w:color="auto" w:fill="auto"/>
        </w:rPr>
      </w:pPr>
    </w:p>
    <w:p>
      <w:pPr>
        <w:widowControl/>
        <w:shd w:val="clear" w:color="auto" w:fill="auto"/>
        <w:snapToGrid w:val="0"/>
        <w:jc w:val="left"/>
        <w:rPr>
          <w:rFonts w:hint="default" w:ascii="Times New Roman" w:hAnsi="Times New Roman" w:cs="Times New Roman"/>
          <w:color w:val="auto"/>
          <w:kern w:val="0"/>
          <w:sz w:val="10"/>
          <w:szCs w:val="10"/>
          <w:shd w:val="clear" w:color="auto" w:fill="auto"/>
        </w:rPr>
      </w:pPr>
    </w:p>
    <w:p>
      <w:pPr>
        <w:widowControl/>
        <w:shd w:val="clear" w:color="auto" w:fill="auto"/>
        <w:snapToGrid w:val="0"/>
        <w:jc w:val="left"/>
        <w:rPr>
          <w:rFonts w:hint="default" w:ascii="Times New Roman" w:hAnsi="Times New Roman" w:cs="Times New Roman"/>
          <w:color w:val="auto"/>
          <w:kern w:val="0"/>
          <w:sz w:val="10"/>
          <w:szCs w:val="10"/>
          <w:shd w:val="clear" w:color="auto" w:fill="auto"/>
        </w:rPr>
      </w:pPr>
    </w:p>
    <w:p>
      <w:pPr>
        <w:widowControl/>
        <w:shd w:val="clear" w:color="auto" w:fill="auto"/>
        <w:snapToGrid w:val="0"/>
        <w:jc w:val="left"/>
        <w:rPr>
          <w:rFonts w:hint="default" w:ascii="Times New Roman" w:hAnsi="Times New Roman" w:cs="Times New Roman"/>
          <w:color w:val="auto"/>
          <w:kern w:val="0"/>
          <w:sz w:val="10"/>
          <w:szCs w:val="10"/>
          <w:shd w:val="clear" w:color="auto" w:fill="auto"/>
        </w:rPr>
      </w:pPr>
    </w:p>
    <w:p>
      <w:pPr>
        <w:widowControl/>
        <w:shd w:val="clear" w:color="auto" w:fill="auto"/>
        <w:snapToGrid w:val="0"/>
        <w:jc w:val="left"/>
        <w:rPr>
          <w:rFonts w:hint="default" w:ascii="Times New Roman" w:hAnsi="Times New Roman" w:cs="Times New Roman"/>
          <w:color w:val="auto"/>
          <w:kern w:val="0"/>
          <w:sz w:val="10"/>
          <w:szCs w:val="10"/>
          <w:shd w:val="clear" w:color="auto" w:fill="auto"/>
        </w:rPr>
      </w:pPr>
    </w:p>
    <w:p>
      <w:pPr>
        <w:widowControl/>
        <w:shd w:val="clear" w:color="auto" w:fill="auto"/>
        <w:snapToGrid w:val="0"/>
        <w:jc w:val="left"/>
        <w:rPr>
          <w:rFonts w:hint="default" w:ascii="Times New Roman" w:hAnsi="Times New Roman" w:cs="Times New Roman"/>
          <w:color w:val="auto"/>
          <w:kern w:val="0"/>
          <w:sz w:val="10"/>
          <w:szCs w:val="10"/>
          <w:shd w:val="clear" w:color="auto" w:fill="auto"/>
        </w:rPr>
      </w:pPr>
    </w:p>
    <w:p>
      <w:pPr>
        <w:widowControl/>
        <w:shd w:val="clear" w:color="auto" w:fill="auto"/>
        <w:snapToGrid w:val="0"/>
        <w:jc w:val="left"/>
        <w:rPr>
          <w:rFonts w:hint="default" w:ascii="Times New Roman" w:hAnsi="Times New Roman" w:cs="Times New Roman"/>
          <w:color w:val="auto"/>
          <w:kern w:val="0"/>
          <w:sz w:val="10"/>
          <w:szCs w:val="10"/>
          <w:shd w:val="clear" w:color="auto" w:fill="auto"/>
        </w:rPr>
      </w:pPr>
    </w:p>
    <w:p>
      <w:pPr>
        <w:widowControl/>
        <w:shd w:val="clear" w:color="auto" w:fill="auto"/>
        <w:snapToGrid w:val="0"/>
        <w:jc w:val="left"/>
        <w:rPr>
          <w:rFonts w:hint="default" w:ascii="Times New Roman" w:hAnsi="Times New Roman" w:cs="Times New Roman"/>
          <w:color w:val="auto"/>
          <w:kern w:val="0"/>
          <w:sz w:val="10"/>
          <w:szCs w:val="10"/>
          <w:shd w:val="clear" w:color="auto" w:fill="auto"/>
        </w:rPr>
      </w:pPr>
    </w:p>
    <w:p>
      <w:pPr>
        <w:widowControl/>
        <w:shd w:val="clear" w:color="auto" w:fill="auto"/>
        <w:snapToGrid w:val="0"/>
        <w:jc w:val="left"/>
        <w:rPr>
          <w:rFonts w:hint="default" w:ascii="Times New Roman" w:hAnsi="Times New Roman" w:cs="Times New Roman"/>
          <w:color w:val="auto"/>
          <w:kern w:val="0"/>
          <w:sz w:val="10"/>
          <w:szCs w:val="10"/>
          <w:shd w:val="clear" w:color="auto" w:fill="auto"/>
        </w:rPr>
      </w:pPr>
      <w:r>
        <w:rPr>
          <w:rFonts w:hint="default" w:ascii="Times New Roman" w:hAnsi="Times New Roman" w:cs="Times New Roman"/>
          <w:color w:val="auto"/>
          <w:kern w:val="0"/>
          <w:sz w:val="10"/>
          <w:szCs w:val="10"/>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5489"/>
        <w:gridCol w:w="2294"/>
      </w:tblGrid>
      <w:tr>
        <w:trPr>
          <w:trHeight w:val="397" w:hRule="atLeast"/>
          <w:jc w:val="center"/>
        </w:trPr>
        <w:tc>
          <w:tcPr>
            <w:tcW w:w="9060" w:type="dxa"/>
            <w:gridSpan w:val="3"/>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97" w:hRule="atLeast"/>
          <w:jc w:val="center"/>
        </w:trPr>
        <w:tc>
          <w:tcPr>
            <w:tcW w:w="127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83" w:type="dxa"/>
            <w:gridSpan w:val="2"/>
            <w:vAlign w:val="center"/>
          </w:tcPr>
          <w:p>
            <w:pPr>
              <w:shd w:val="clear" w:color="auto" w:fill="auto"/>
              <w:snapToGrid w:val="0"/>
              <w:spacing w:before="0" w:beforeAutospacing="0" w:after="0" w:afterAutospacing="0" w:line="300" w:lineRule="exact"/>
              <w:ind w:left="0" w:right="0"/>
              <w:jc w:val="center"/>
              <w:outlineLvl w:val="9"/>
              <w:rPr>
                <w:rFonts w:hint="default" w:ascii="Times New Roman" w:hAnsi="Times New Roman" w:cs="Times New Roman"/>
                <w:color w:val="auto"/>
                <w:sz w:val="20"/>
                <w:szCs w:val="20"/>
                <w:shd w:val="clear" w:color="auto" w:fill="auto"/>
              </w:rPr>
            </w:pPr>
            <w:bookmarkStart w:id="45" w:name="_Toc3221"/>
            <w:r>
              <w:rPr>
                <w:rFonts w:hint="default" w:ascii="Times New Roman" w:hAnsi="Times New Roman" w:cs="Times New Roman"/>
                <w:color w:val="auto"/>
                <w:sz w:val="20"/>
                <w:szCs w:val="20"/>
                <w:shd w:val="clear" w:color="auto" w:fill="auto"/>
              </w:rPr>
              <w:t>5</w:t>
            </w:r>
            <w:bookmarkEnd w:id="45"/>
          </w:p>
        </w:tc>
      </w:tr>
      <w:tr>
        <w:trPr>
          <w:trHeight w:val="397" w:hRule="atLeast"/>
          <w:jc w:val="center"/>
        </w:trPr>
        <w:tc>
          <w:tcPr>
            <w:tcW w:w="127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83" w:type="dxa"/>
            <w:gridSpan w:val="2"/>
            <w:vAlign w:val="center"/>
          </w:tcPr>
          <w:p>
            <w:pPr>
              <w:shd w:val="clear" w:color="auto" w:fill="auto"/>
              <w:snapToGrid w:val="0"/>
              <w:spacing w:before="0" w:beforeAutospacing="0" w:after="0" w:afterAutospacing="0" w:line="300" w:lineRule="exact"/>
              <w:ind w:left="0" w:right="0"/>
              <w:jc w:val="center"/>
              <w:outlineLvl w:val="9"/>
              <w:rPr>
                <w:rFonts w:hint="default" w:ascii="Times New Roman" w:hAnsi="Times New Roman" w:cs="Times New Roman"/>
                <w:color w:val="auto"/>
                <w:sz w:val="20"/>
                <w:szCs w:val="20"/>
                <w:shd w:val="clear" w:color="auto" w:fill="auto"/>
              </w:rPr>
            </w:pPr>
            <w:bookmarkStart w:id="46" w:name="_Toc24893"/>
            <w:r>
              <w:rPr>
                <w:rFonts w:hint="default" w:ascii="Times New Roman" w:hAnsi="Times New Roman" w:cs="Times New Roman"/>
                <w:color w:val="auto"/>
                <w:sz w:val="20"/>
                <w:szCs w:val="20"/>
                <w:shd w:val="clear" w:color="auto" w:fill="auto"/>
              </w:rPr>
              <w:t>通过</w:t>
            </w:r>
            <w:r>
              <w:rPr>
                <w:rFonts w:hint="default" w:ascii="Times New Roman" w:hAnsi="Times New Roman" w:cs="Times New Roman"/>
                <w:color w:val="auto"/>
                <w:sz w:val="20"/>
                <w:szCs w:val="20"/>
                <w:shd w:val="clear" w:color="auto" w:fill="auto"/>
                <w:lang w:val="en-US"/>
              </w:rPr>
              <w:t>逃避监管的</w:t>
            </w:r>
            <w:r>
              <w:rPr>
                <w:rFonts w:hint="default" w:ascii="Times New Roman" w:hAnsi="Times New Roman" w:cs="Times New Roman"/>
                <w:color w:val="auto"/>
                <w:sz w:val="20"/>
                <w:szCs w:val="20"/>
                <w:shd w:val="clear" w:color="auto" w:fill="auto"/>
              </w:rPr>
              <w:t>方式排放大气污染物的</w:t>
            </w:r>
            <w:bookmarkEnd w:id="46"/>
          </w:p>
        </w:tc>
      </w:tr>
      <w:tr>
        <w:trPr>
          <w:trHeight w:val="397" w:hRule="atLeast"/>
          <w:jc w:val="center"/>
        </w:trPr>
        <w:tc>
          <w:tcPr>
            <w:tcW w:w="127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83" w:type="dxa"/>
            <w:gridSpan w:val="2"/>
            <w:vAlign w:val="top"/>
          </w:tcPr>
          <w:p>
            <w:pPr>
              <w:shd w:val="clear" w:color="auto" w:fill="auto"/>
              <w:snapToGrid w:val="0"/>
              <w:spacing w:before="0" w:beforeAutospacing="0" w:after="0" w:afterAutospacing="0" w:line="30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《中华人民共和国大气污染防治法》第二十条第二款</w:t>
            </w:r>
            <w:r>
              <w:rPr>
                <w:rFonts w:hint="default" w:ascii="Times New Roman" w:hAnsi="Times New Roman" w:cs="Times New Roman"/>
                <w:color w:val="auto"/>
                <w:sz w:val="20"/>
                <w:szCs w:val="20"/>
                <w:shd w:val="clear" w:color="auto" w:fill="auto"/>
              </w:rPr>
              <w:t xml:space="preserve"> 禁止通过偷排、篡改或者伪造监测数据、以逃避现场检查为目的的临时停产、非紧急情况下开启应急排放通道、不正常运行大气污染防治设施等逃避监管的方式排放大气污染物。</w:t>
            </w:r>
          </w:p>
        </w:tc>
      </w:tr>
      <w:tr>
        <w:trPr>
          <w:trHeight w:val="397" w:hRule="atLeast"/>
          <w:jc w:val="center"/>
        </w:trPr>
        <w:tc>
          <w:tcPr>
            <w:tcW w:w="127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83" w:type="dxa"/>
            <w:gridSpan w:val="2"/>
            <w:vAlign w:val="top"/>
          </w:tcPr>
          <w:p>
            <w:pPr>
              <w:shd w:val="clear" w:color="auto" w:fill="auto"/>
              <w:snapToGrid w:val="0"/>
              <w:spacing w:before="0" w:beforeAutospacing="0" w:after="0" w:afterAutospacing="0" w:line="30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《中华人民共和国大气污染防治法》第九十九条第（三）项</w:t>
            </w:r>
            <w:r>
              <w:rPr>
                <w:rFonts w:hint="default" w:ascii="Times New Roman" w:hAnsi="Times New Roman" w:cs="Times New Roman"/>
                <w:color w:val="auto"/>
                <w:sz w:val="20"/>
                <w:szCs w:val="20"/>
                <w:shd w:val="clear" w:color="auto" w:fill="auto"/>
              </w:rPr>
              <w:t xml:space="preserve"> 违反本法规定，有下列行为之一的，由县级以上人民政府生态环境主管部门责令改正或者限制生产、停产整治，并处十万元以上一百万元以下的罚款；情节严重的，报经有批准权的人民政府批准，责令停业、关闭：</w:t>
            </w:r>
          </w:p>
          <w:p>
            <w:pPr>
              <w:shd w:val="clear" w:color="auto" w:fill="auto"/>
              <w:snapToGrid w:val="0"/>
              <w:spacing w:before="0" w:beforeAutospacing="0" w:after="0" w:afterAutospacing="0" w:line="30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（三）通过逃避监管的方式排放大气污染物的。</w:t>
            </w:r>
          </w:p>
        </w:tc>
      </w:tr>
      <w:tr>
        <w:trPr>
          <w:trHeight w:val="442" w:hRule="atLeast"/>
          <w:jc w:val="center"/>
        </w:trPr>
        <w:tc>
          <w:tcPr>
            <w:tcW w:w="127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54" w:hRule="atLeast"/>
          <w:jc w:val="center"/>
        </w:trPr>
        <w:tc>
          <w:tcPr>
            <w:tcW w:w="1277"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489" w:type="dxa"/>
            <w:vAlign w:val="center"/>
          </w:tcPr>
          <w:p>
            <w:pPr>
              <w:snapToGrid w:val="0"/>
              <w:spacing w:before="0" w:beforeAutospacing="0" w:after="0" w:afterAutospacing="0" w:line="34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rPr>
              <w:t>部分处理设施不能正常运行</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1</w:t>
            </w:r>
          </w:p>
        </w:tc>
      </w:tr>
      <w:tr>
        <w:trPr>
          <w:trHeight w:val="454" w:hRule="atLeast"/>
          <w:jc w:val="center"/>
        </w:trPr>
        <w:tc>
          <w:tcPr>
            <w:tcW w:w="127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89" w:type="dxa"/>
            <w:vAlign w:val="center"/>
          </w:tcPr>
          <w:p>
            <w:pPr>
              <w:snapToGrid w:val="0"/>
              <w:spacing w:before="0" w:beforeAutospacing="0" w:after="0" w:afterAutospacing="0" w:line="34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rPr>
              <w:t>部分处理设施停运</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2</w:t>
            </w:r>
          </w:p>
        </w:tc>
      </w:tr>
      <w:tr>
        <w:trPr>
          <w:trHeight w:val="454" w:hRule="atLeast"/>
          <w:jc w:val="center"/>
        </w:trPr>
        <w:tc>
          <w:tcPr>
            <w:tcW w:w="127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89" w:type="dxa"/>
            <w:vAlign w:val="center"/>
          </w:tcPr>
          <w:p>
            <w:pPr>
              <w:snapToGrid w:val="0"/>
              <w:spacing w:before="0" w:beforeAutospacing="0" w:after="0" w:afterAutospacing="0" w:line="34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rPr>
              <w:t>整体或关键处理设施不能正常运行</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454" w:hRule="atLeast"/>
          <w:jc w:val="center"/>
        </w:trPr>
        <w:tc>
          <w:tcPr>
            <w:tcW w:w="127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89" w:type="dxa"/>
            <w:vAlign w:val="center"/>
          </w:tcPr>
          <w:p>
            <w:pPr>
              <w:snapToGrid w:val="0"/>
              <w:spacing w:before="0" w:beforeAutospacing="0" w:after="0" w:afterAutospacing="0" w:line="34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rPr>
              <w:t>整体或关键处理设施停运/为逃避现场检查临时停产</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4</w:t>
            </w:r>
          </w:p>
        </w:tc>
      </w:tr>
      <w:tr>
        <w:trPr>
          <w:trHeight w:val="454" w:hRule="atLeast"/>
          <w:jc w:val="center"/>
        </w:trPr>
        <w:tc>
          <w:tcPr>
            <w:tcW w:w="127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89" w:type="dxa"/>
            <w:vAlign w:val="center"/>
          </w:tcPr>
          <w:p>
            <w:pPr>
              <w:snapToGrid w:val="0"/>
              <w:spacing w:before="0" w:beforeAutospacing="0" w:after="0" w:afterAutospacing="0" w:line="34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rPr>
              <w:t>正常生产时不通过处理设施利用其他方式直接排放或者关闭自动监测设备/篡改、伪造监测数据</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54" w:hRule="atLeast"/>
          <w:jc w:val="center"/>
        </w:trPr>
        <w:tc>
          <w:tcPr>
            <w:tcW w:w="1277" w:type="dxa"/>
            <w:vMerge w:val="restart"/>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color w:val="auto"/>
                <w:sz w:val="21"/>
                <w:szCs w:val="21"/>
                <w:shd w:val="clear" w:color="auto" w:fill="auto"/>
              </w:rPr>
              <w:t>废气类别</w:t>
            </w:r>
          </w:p>
        </w:tc>
        <w:tc>
          <w:tcPr>
            <w:tcW w:w="5489"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机械、汽车修理废气/畜禽养殖废气</w:t>
            </w:r>
          </w:p>
        </w:tc>
        <w:tc>
          <w:tcPr>
            <w:tcW w:w="2294"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1</w:t>
            </w:r>
          </w:p>
        </w:tc>
      </w:tr>
      <w:tr>
        <w:trPr>
          <w:trHeight w:val="454" w:hRule="atLeast"/>
          <w:jc w:val="center"/>
        </w:trPr>
        <w:tc>
          <w:tcPr>
            <w:tcW w:w="1277" w:type="dxa"/>
            <w:vMerge w:val="continue"/>
            <w:vAlign w:val="center"/>
          </w:tcPr>
          <w:p>
            <w:pPr>
              <w:shd w:val="clear" w:color="auto" w:fill="auto"/>
              <w:snapToGrid w:val="0"/>
              <w:spacing w:before="0" w:beforeAutospacing="0" w:after="0" w:afterAutospacing="0" w:line="30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5489"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农业生产、工业扬尘废气/燃煤锅炉废气（30蒸吨以下）</w:t>
            </w:r>
          </w:p>
        </w:tc>
        <w:tc>
          <w:tcPr>
            <w:tcW w:w="2294"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2</w:t>
            </w:r>
          </w:p>
        </w:tc>
      </w:tr>
      <w:tr>
        <w:trPr>
          <w:trHeight w:val="454" w:hRule="atLeast"/>
          <w:jc w:val="center"/>
        </w:trPr>
        <w:tc>
          <w:tcPr>
            <w:tcW w:w="1277" w:type="dxa"/>
            <w:vMerge w:val="continue"/>
            <w:vAlign w:val="center"/>
          </w:tcPr>
          <w:p>
            <w:pPr>
              <w:shd w:val="clear" w:color="auto" w:fill="auto"/>
              <w:snapToGrid w:val="0"/>
              <w:spacing w:before="0" w:beforeAutospacing="0" w:after="0" w:afterAutospacing="0" w:line="30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5489"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一般工业废气/含恶臭污染物的废气/医疗废气/实验室废气</w:t>
            </w:r>
          </w:p>
        </w:tc>
        <w:tc>
          <w:tcPr>
            <w:tcW w:w="2294"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3</w:t>
            </w:r>
          </w:p>
        </w:tc>
      </w:tr>
      <w:tr>
        <w:trPr>
          <w:trHeight w:val="454" w:hRule="atLeast"/>
          <w:jc w:val="center"/>
        </w:trPr>
        <w:tc>
          <w:tcPr>
            <w:tcW w:w="1277" w:type="dxa"/>
            <w:vMerge w:val="continue"/>
            <w:vAlign w:val="center"/>
          </w:tcPr>
          <w:p>
            <w:pPr>
              <w:shd w:val="clear" w:color="auto" w:fill="auto"/>
              <w:snapToGrid w:val="0"/>
              <w:spacing w:before="0" w:beforeAutospacing="0" w:after="0" w:afterAutospacing="0" w:line="30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5489"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火电、钢铁、石化、水泥、炼焦、有色、化工废气、烟尘/燃煤锅炉废气（30蒸吨以上）</w:t>
            </w:r>
          </w:p>
        </w:tc>
        <w:tc>
          <w:tcPr>
            <w:tcW w:w="2294"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4</w:t>
            </w:r>
          </w:p>
        </w:tc>
      </w:tr>
      <w:tr>
        <w:trPr>
          <w:trHeight w:val="454" w:hRule="atLeast"/>
          <w:jc w:val="center"/>
        </w:trPr>
        <w:tc>
          <w:tcPr>
            <w:tcW w:w="1277" w:type="dxa"/>
            <w:vMerge w:val="continue"/>
            <w:vAlign w:val="center"/>
          </w:tcPr>
          <w:p>
            <w:pPr>
              <w:shd w:val="clear" w:color="auto" w:fill="auto"/>
              <w:snapToGrid w:val="0"/>
              <w:spacing w:before="0" w:beforeAutospacing="0" w:after="0" w:afterAutospacing="0" w:line="30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5489"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含有毒有害物质的废气</w:t>
            </w:r>
          </w:p>
        </w:tc>
        <w:tc>
          <w:tcPr>
            <w:tcW w:w="2294" w:type="dxa"/>
            <w:vAlign w:val="center"/>
          </w:tcPr>
          <w:p>
            <w:pPr>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5</w:t>
            </w:r>
          </w:p>
        </w:tc>
      </w:tr>
      <w:tr>
        <w:trPr>
          <w:trHeight w:val="454" w:hRule="atLeast"/>
          <w:jc w:val="center"/>
        </w:trPr>
        <w:tc>
          <w:tcPr>
            <w:tcW w:w="1277"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54" w:hRule="atLeast"/>
          <w:jc w:val="center"/>
        </w:trPr>
        <w:tc>
          <w:tcPr>
            <w:tcW w:w="127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54" w:hRule="atLeast"/>
          <w:jc w:val="center"/>
        </w:trPr>
        <w:tc>
          <w:tcPr>
            <w:tcW w:w="127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54" w:hRule="atLeast"/>
          <w:jc w:val="center"/>
        </w:trPr>
        <w:tc>
          <w:tcPr>
            <w:tcW w:w="127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89" w:type="dxa"/>
            <w:vAlign w:val="center"/>
          </w:tcPr>
          <w:p>
            <w:pPr>
              <w:shd w:val="clear" w:color="auto" w:fill="auto"/>
              <w:snapToGrid w:val="0"/>
              <w:spacing w:before="0" w:beforeAutospacing="0" w:after="0" w:afterAutospacing="0" w:line="300" w:lineRule="exact"/>
              <w:ind w:left="0" w:right="0" w:firstLine="2100" w:firstLineChars="1000"/>
              <w:jc w:val="both"/>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454" w:hRule="atLeast"/>
          <w:jc w:val="center"/>
        </w:trPr>
        <w:tc>
          <w:tcPr>
            <w:tcW w:w="1277"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rPr>
              <w:t>超标</w:t>
            </w:r>
            <w:r>
              <w:rPr>
                <w:rFonts w:hint="default" w:ascii="Times New Roman" w:hAnsi="Times New Roman" w:cs="Times New Roman"/>
                <w:b/>
                <w:bCs/>
                <w:color w:val="auto"/>
                <w:sz w:val="20"/>
                <w:szCs w:val="20"/>
                <w:shd w:val="clear" w:color="auto" w:fill="auto"/>
                <w:lang w:eastAsia="zh-CN"/>
              </w:rPr>
              <w:t>排放</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倍数</w:t>
            </w: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超标0.5倍以下</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54" w:hRule="atLeast"/>
          <w:jc w:val="center"/>
        </w:trPr>
        <w:tc>
          <w:tcPr>
            <w:tcW w:w="127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超标0.5倍以上1倍以下</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54" w:hRule="atLeast"/>
          <w:jc w:val="center"/>
        </w:trPr>
        <w:tc>
          <w:tcPr>
            <w:tcW w:w="127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超标1倍以上2倍以下</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54" w:hRule="atLeast"/>
          <w:jc w:val="center"/>
        </w:trPr>
        <w:tc>
          <w:tcPr>
            <w:tcW w:w="127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超标2倍以上3倍以下</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54" w:hRule="atLeast"/>
          <w:jc w:val="center"/>
        </w:trPr>
        <w:tc>
          <w:tcPr>
            <w:tcW w:w="127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超标3倍以上</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77"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发生时期</w:t>
            </w:r>
          </w:p>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rPr>
              <w:t>环境敏感度</w:t>
            </w: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一般期间</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7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重污染天气黄色预警期间</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27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重污染天气橙色预警期间</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7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重污染天气红色预警期间</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27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特殊或重大活动期间</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77" w:type="dxa"/>
            <w:vMerge w:val="restart"/>
            <w:vAlign w:val="center"/>
          </w:tcPr>
          <w:p>
            <w:pPr>
              <w:widowControl/>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小时烟气</w:t>
            </w:r>
          </w:p>
          <w:p>
            <w:pPr>
              <w:widowControl/>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流量</w:t>
            </w: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1000标立方米</w:t>
            </w:r>
            <w:r>
              <w:rPr>
                <w:rFonts w:hint="default" w:ascii="Times New Roman" w:hAnsi="Times New Roman" w:cs="Times New Roman"/>
                <w:color w:val="auto"/>
                <w:sz w:val="20"/>
                <w:szCs w:val="20"/>
                <w:shd w:val="clear" w:color="auto" w:fill="auto"/>
                <w:lang w:eastAsia="zh-CN"/>
              </w:rPr>
              <w:t>以下</w:t>
            </w:r>
          </w:p>
        </w:tc>
        <w:tc>
          <w:tcPr>
            <w:tcW w:w="2294" w:type="dxa"/>
            <w:vAlign w:val="center"/>
          </w:tcPr>
          <w:p>
            <w:pPr>
              <w:widowControl/>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1</w:t>
            </w:r>
          </w:p>
        </w:tc>
      </w:tr>
      <w:tr>
        <w:trPr>
          <w:trHeight w:val="397" w:hRule="atLeast"/>
          <w:jc w:val="center"/>
        </w:trPr>
        <w:tc>
          <w:tcPr>
            <w:tcW w:w="127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1000标立方米以上1万标立方米</w:t>
            </w:r>
            <w:r>
              <w:rPr>
                <w:rFonts w:hint="default" w:ascii="Times New Roman" w:hAnsi="Times New Roman" w:cs="Times New Roman"/>
                <w:color w:val="auto"/>
                <w:sz w:val="20"/>
                <w:szCs w:val="20"/>
                <w:shd w:val="clear" w:color="auto" w:fill="auto"/>
                <w:lang w:eastAsia="zh-CN"/>
              </w:rPr>
              <w:t>以下</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2</w:t>
            </w:r>
          </w:p>
        </w:tc>
      </w:tr>
      <w:tr>
        <w:trPr>
          <w:trHeight w:val="397" w:hRule="atLeast"/>
          <w:jc w:val="center"/>
        </w:trPr>
        <w:tc>
          <w:tcPr>
            <w:tcW w:w="127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1万标立方米以上10万标立方米</w:t>
            </w:r>
            <w:r>
              <w:rPr>
                <w:rFonts w:hint="default" w:ascii="Times New Roman" w:hAnsi="Times New Roman" w:cs="Times New Roman"/>
                <w:color w:val="auto"/>
                <w:sz w:val="20"/>
                <w:szCs w:val="20"/>
                <w:shd w:val="clear" w:color="auto" w:fill="auto"/>
                <w:lang w:eastAsia="zh-CN"/>
              </w:rPr>
              <w:t>以下</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3</w:t>
            </w:r>
          </w:p>
        </w:tc>
      </w:tr>
      <w:tr>
        <w:trPr>
          <w:trHeight w:val="397" w:hRule="atLeast"/>
          <w:jc w:val="center"/>
        </w:trPr>
        <w:tc>
          <w:tcPr>
            <w:tcW w:w="127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10万标立方米以上20万标立方米</w:t>
            </w:r>
            <w:r>
              <w:rPr>
                <w:rFonts w:hint="default" w:ascii="Times New Roman" w:hAnsi="Times New Roman" w:cs="Times New Roman"/>
                <w:color w:val="auto"/>
                <w:sz w:val="20"/>
                <w:szCs w:val="20"/>
                <w:shd w:val="clear" w:color="auto" w:fill="auto"/>
                <w:lang w:eastAsia="zh-CN"/>
              </w:rPr>
              <w:t>以下</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4</w:t>
            </w:r>
          </w:p>
        </w:tc>
      </w:tr>
      <w:tr>
        <w:trPr>
          <w:trHeight w:val="397" w:hRule="atLeast"/>
          <w:jc w:val="center"/>
        </w:trPr>
        <w:tc>
          <w:tcPr>
            <w:tcW w:w="127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20万标立方米以上</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5</w:t>
            </w:r>
          </w:p>
        </w:tc>
      </w:tr>
      <w:tr>
        <w:trPr>
          <w:trHeight w:val="397" w:hRule="atLeast"/>
          <w:jc w:val="center"/>
        </w:trPr>
        <w:tc>
          <w:tcPr>
            <w:tcW w:w="1277"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highlight w:val="none"/>
                <w:shd w:val="clear" w:color="auto" w:fill="auto"/>
                <w:lang w:val="en-US" w:eastAsia="zh-CN"/>
              </w:rPr>
            </w:pPr>
            <w:r>
              <w:rPr>
                <w:rFonts w:hint="default" w:ascii="Times New Roman" w:hAnsi="Times New Roman" w:cs="Times New Roman"/>
                <w:b/>
                <w:bCs/>
                <w:color w:val="auto"/>
                <w:sz w:val="20"/>
                <w:szCs w:val="20"/>
                <w:shd w:val="clear" w:color="auto" w:fill="auto"/>
                <w:lang w:val="en-US"/>
              </w:rPr>
              <w:t>改正时间</w:t>
            </w:r>
          </w:p>
        </w:tc>
        <w:tc>
          <w:tcPr>
            <w:tcW w:w="5489"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0"/>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27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highlight w:val="none"/>
                <w:shd w:val="clear" w:color="auto" w:fill="auto"/>
                <w:lang w:val="en-US" w:eastAsia="zh-CN"/>
              </w:rPr>
            </w:pP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bidi="ar-SA"/>
              </w:rPr>
            </w:pPr>
            <w:r>
              <w:rPr>
                <w:rFonts w:hint="default" w:ascii="Times New Roman" w:hAnsi="Times New Roman" w:cs="Times New Roman"/>
                <w:color w:val="auto"/>
                <w:sz w:val="20"/>
                <w:szCs w:val="20"/>
                <w:shd w:val="clear" w:color="auto" w:fill="auto"/>
                <w:lang w:val="en-US" w:eastAsia="zh-CN"/>
              </w:rPr>
              <w:t>3天以下</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highlight w:val="none"/>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27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highlight w:val="none"/>
                <w:shd w:val="clear" w:color="auto" w:fill="auto"/>
              </w:rPr>
            </w:pP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bidi="ar-SA"/>
              </w:rPr>
            </w:pPr>
            <w:r>
              <w:rPr>
                <w:rFonts w:hint="default" w:ascii="Times New Roman" w:hAnsi="Times New Roman" w:cs="Times New Roman"/>
                <w:color w:val="auto"/>
                <w:sz w:val="20"/>
                <w:szCs w:val="20"/>
                <w:shd w:val="clear" w:color="auto" w:fill="auto"/>
                <w:lang w:val="en-US" w:eastAsia="zh-CN"/>
              </w:rPr>
              <w:t>3天以上7天以下</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highlight w:val="none"/>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27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highlight w:val="none"/>
                <w:shd w:val="clear" w:color="auto" w:fill="auto"/>
              </w:rPr>
            </w:pP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bidi="ar-SA"/>
              </w:rPr>
            </w:pPr>
            <w:r>
              <w:rPr>
                <w:rFonts w:hint="default" w:ascii="Times New Roman" w:hAnsi="Times New Roman" w:cs="Times New Roman"/>
                <w:color w:val="auto"/>
                <w:sz w:val="20"/>
                <w:szCs w:val="20"/>
                <w:shd w:val="clear" w:color="auto" w:fill="auto"/>
                <w:lang w:val="en-US" w:eastAsia="zh-CN"/>
              </w:rPr>
              <w:t>7天以上</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highlight w:val="none"/>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277"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7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7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77"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7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27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27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2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7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83" w:type="dxa"/>
            <w:gridSpan w:val="2"/>
            <w:vAlign w:val="top"/>
          </w:tcPr>
          <w:p>
            <w:pPr>
              <w:numPr>
                <w:numId w:val="0"/>
              </w:numPr>
              <w:shd w:val="clear" w:color="auto" w:fill="auto"/>
              <w:snapToGrid w:val="0"/>
              <w:spacing w:before="0" w:beforeAutospacing="0" w:after="0" w:afterAutospacing="0" w:line="300" w:lineRule="exact"/>
              <w:ind w:left="0" w:right="0"/>
              <w:rPr>
                <w:rFonts w:hint="default" w:ascii="Times New Roman" w:hAnsi="Times New Roman" w:cs="Times New Roman"/>
                <w:color w:val="auto"/>
                <w:sz w:val="20"/>
                <w:szCs w:val="20"/>
                <w:shd w:val="clear" w:color="auto" w:fill="auto"/>
                <w:lang w:val="en-US" w:eastAsia="zh-CN"/>
              </w:rPr>
            </w:pPr>
          </w:p>
        </w:tc>
      </w:tr>
    </w:tbl>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z w:val="10"/>
          <w:szCs w:val="10"/>
          <w:shd w:val="clear" w:color="auto" w:fill="auto"/>
        </w:rPr>
      </w:pPr>
      <w:r>
        <w:rPr>
          <w:rFonts w:hint="default" w:ascii="Times New Roman" w:hAnsi="Times New Roman" w:cs="Times New Roman"/>
          <w:color w:val="auto"/>
          <w:sz w:val="10"/>
          <w:szCs w:val="10"/>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5153"/>
        <w:gridCol w:w="2531"/>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97" w:hRule="atLeast"/>
          <w:jc w:val="center"/>
        </w:trPr>
        <w:tc>
          <w:tcPr>
            <w:tcW w:w="1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84"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6</w:t>
            </w:r>
          </w:p>
        </w:tc>
      </w:tr>
      <w:tr>
        <w:trPr>
          <w:trHeight w:val="397" w:hRule="atLeast"/>
          <w:jc w:val="center"/>
        </w:trPr>
        <w:tc>
          <w:tcPr>
            <w:tcW w:w="1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84" w:type="dxa"/>
            <w:gridSpan w:val="2"/>
            <w:vAlign w:val="top"/>
          </w:tcPr>
          <w:p>
            <w:pPr>
              <w:shd w:val="clear" w:color="auto" w:fill="auto"/>
              <w:snapToGrid w:val="0"/>
              <w:spacing w:before="0" w:beforeAutospacing="0" w:after="0" w:afterAutospacing="0" w:line="320" w:lineRule="exact"/>
              <w:ind w:left="0" w:right="0" w:firstLine="420"/>
              <w:jc w:val="left"/>
              <w:outlineLvl w:val="9"/>
              <w:rPr>
                <w:rFonts w:hint="default" w:ascii="Times New Roman" w:hAnsi="Times New Roman" w:cs="Times New Roman"/>
                <w:color w:val="auto"/>
                <w:sz w:val="20"/>
                <w:szCs w:val="20"/>
                <w:shd w:val="clear" w:color="auto" w:fill="auto"/>
              </w:rPr>
            </w:pPr>
            <w:bookmarkStart w:id="47" w:name="_Toc29039"/>
            <w:r>
              <w:rPr>
                <w:rFonts w:hint="default" w:ascii="Times New Roman" w:hAnsi="Times New Roman" w:cs="Times New Roman"/>
                <w:color w:val="auto"/>
                <w:sz w:val="20"/>
                <w:szCs w:val="20"/>
                <w:shd w:val="clear" w:color="auto" w:fill="auto"/>
              </w:rPr>
              <w:t>侵占、损毁或者擅自移动、改变大气环境质量监测设施或者大气污染物排放自动监测设备的</w:t>
            </w:r>
            <w:bookmarkEnd w:id="47"/>
          </w:p>
        </w:tc>
      </w:tr>
      <w:tr>
        <w:trPr>
          <w:trHeight w:val="397" w:hRule="atLeast"/>
          <w:jc w:val="center"/>
        </w:trPr>
        <w:tc>
          <w:tcPr>
            <w:tcW w:w="1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84"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《中华人民共和国大气污染防治法》第二十六条</w:t>
            </w:r>
            <w:r>
              <w:rPr>
                <w:rFonts w:hint="default" w:ascii="Times New Roman" w:hAnsi="Times New Roman" w:cs="Times New Roman"/>
                <w:color w:val="auto"/>
                <w:kern w:val="2"/>
                <w:sz w:val="21"/>
                <w:szCs w:val="21"/>
                <w:shd w:val="clear" w:color="auto" w:fill="auto"/>
              </w:rPr>
              <w:t xml:space="preserve"> 禁止侵占、损毁或者擅自移动、改变大气环境质量监测设施和大气污染物排放自动监测设备。</w:t>
            </w:r>
          </w:p>
        </w:tc>
      </w:tr>
      <w:tr>
        <w:trPr>
          <w:trHeight w:val="397" w:hRule="atLeast"/>
          <w:jc w:val="center"/>
        </w:trPr>
        <w:tc>
          <w:tcPr>
            <w:tcW w:w="1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84" w:type="dxa"/>
            <w:gridSpan w:val="2"/>
            <w:vAlign w:val="top"/>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《中华人民共和国大气污染防治法》第一百条第（一）项</w:t>
            </w:r>
            <w:r>
              <w:rPr>
                <w:rFonts w:hint="default" w:ascii="Times New Roman" w:hAnsi="Times New Roman" w:cs="Times New Roman"/>
                <w:color w:val="auto"/>
                <w:kern w:val="2"/>
                <w:sz w:val="21"/>
                <w:szCs w:val="21"/>
                <w:shd w:val="clear" w:color="auto" w:fill="auto"/>
              </w:rPr>
              <w:t xml:space="preserve"> 违反本法规定，有下列行为之一的，由县级以上人民政府生态环境主管部门责令改正，处二万元以上二十万元以下的罚款；拒不改正的，责令停产整治：</w:t>
            </w:r>
          </w:p>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（一）侵占、损毁或者擅自移动、改变大气环境质量监测设施或者大气污染物排放自动监测设备的。</w:t>
            </w:r>
          </w:p>
        </w:tc>
      </w:tr>
      <w:tr>
        <w:trPr>
          <w:trHeight w:val="397" w:hRule="atLeast"/>
          <w:jc w:val="center"/>
        </w:trPr>
        <w:tc>
          <w:tcPr>
            <w:tcW w:w="1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jc w:val="center"/>
        </w:trPr>
        <w:tc>
          <w:tcPr>
            <w:tcW w:w="13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造成监测数据误差超过技术规范允许范围1倍以</w:t>
            </w:r>
            <w:r>
              <w:rPr>
                <w:rFonts w:hint="default" w:ascii="Times New Roman" w:hAnsi="Times New Roman" w:cs="Times New Roman"/>
                <w:color w:val="auto"/>
                <w:sz w:val="20"/>
                <w:szCs w:val="20"/>
                <w:shd w:val="clear" w:color="auto" w:fill="auto"/>
                <w:lang w:eastAsia="zh-CN"/>
              </w:rPr>
              <w:t>下的</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造成监测数据误差超过技术规范允许范围1倍</w:t>
            </w:r>
            <w:r>
              <w:rPr>
                <w:rFonts w:hint="default"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2倍以</w:t>
            </w:r>
            <w:r>
              <w:rPr>
                <w:rFonts w:hint="default" w:ascii="Times New Roman" w:hAnsi="Times New Roman" w:cs="Times New Roman"/>
                <w:color w:val="auto"/>
                <w:sz w:val="20"/>
                <w:szCs w:val="20"/>
                <w:shd w:val="clear" w:color="auto" w:fill="auto"/>
                <w:lang w:eastAsia="zh-CN"/>
              </w:rPr>
              <w:t>下</w:t>
            </w:r>
            <w:r>
              <w:rPr>
                <w:rFonts w:hint="default" w:ascii="Times New Roman" w:hAnsi="Times New Roman" w:cs="Times New Roman"/>
                <w:color w:val="auto"/>
                <w:sz w:val="20"/>
                <w:szCs w:val="20"/>
                <w:shd w:val="clear" w:color="auto" w:fill="auto"/>
              </w:rPr>
              <w:t>的</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造成监测数据误差超过技术规范允许范围2倍以上3倍以</w:t>
            </w:r>
            <w:r>
              <w:rPr>
                <w:rFonts w:hint="default" w:ascii="Times New Roman" w:hAnsi="Times New Roman" w:cs="Times New Roman"/>
                <w:color w:val="auto"/>
                <w:sz w:val="20"/>
                <w:szCs w:val="20"/>
                <w:shd w:val="clear" w:color="auto" w:fill="auto"/>
                <w:lang w:eastAsia="zh-CN"/>
              </w:rPr>
              <w:t>下</w:t>
            </w:r>
            <w:r>
              <w:rPr>
                <w:rFonts w:hint="default" w:ascii="Times New Roman" w:hAnsi="Times New Roman" w:cs="Times New Roman"/>
                <w:color w:val="auto"/>
                <w:sz w:val="20"/>
                <w:szCs w:val="20"/>
                <w:shd w:val="clear" w:color="auto" w:fill="auto"/>
              </w:rPr>
              <w:t>的</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造成监测数据误差超过技术规范允许范围</w:t>
            </w:r>
            <w:r>
              <w:rPr>
                <w:rFonts w:hint="default" w:ascii="Times New Roman" w:hAnsi="Times New Roman" w:cs="Times New Roman"/>
                <w:color w:val="auto"/>
                <w:sz w:val="20"/>
                <w:szCs w:val="20"/>
                <w:shd w:val="clear" w:color="auto" w:fill="auto"/>
                <w:lang w:val="en-US" w:eastAsia="zh-CN"/>
              </w:rPr>
              <w:t>3</w:t>
            </w:r>
            <w:r>
              <w:rPr>
                <w:rFonts w:hint="default" w:ascii="Times New Roman" w:hAnsi="Times New Roman" w:cs="Times New Roman"/>
                <w:color w:val="auto"/>
                <w:sz w:val="20"/>
                <w:szCs w:val="20"/>
                <w:shd w:val="clear" w:color="auto" w:fill="auto"/>
              </w:rPr>
              <w:t>倍以上</w:t>
            </w:r>
            <w:r>
              <w:rPr>
                <w:rFonts w:hint="default" w:ascii="Times New Roman" w:hAnsi="Times New Roman" w:cs="Times New Roman"/>
                <w:color w:val="auto"/>
                <w:sz w:val="20"/>
                <w:szCs w:val="20"/>
                <w:shd w:val="clear" w:color="auto" w:fill="auto"/>
                <w:lang w:eastAsia="zh-CN"/>
              </w:rPr>
              <w:t>或无法监测</w:t>
            </w:r>
            <w:r>
              <w:rPr>
                <w:rFonts w:hint="default" w:ascii="Times New Roman" w:hAnsi="Times New Roman" w:cs="Times New Roman"/>
                <w:color w:val="auto"/>
                <w:sz w:val="20"/>
                <w:szCs w:val="20"/>
                <w:shd w:val="clear" w:color="auto" w:fill="auto"/>
              </w:rPr>
              <w:t>的</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自动监测</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数据有效</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rPr>
              <w:t>传输率</w:t>
            </w: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自动监测季度数据有效传输率</w:t>
            </w:r>
            <w:r>
              <w:rPr>
                <w:rFonts w:hint="eastAsia" w:ascii="Times New Roman" w:hAnsi="Times New Roman" w:cs="Times New Roman"/>
                <w:color w:val="auto"/>
                <w:sz w:val="20"/>
                <w:szCs w:val="20"/>
                <w:shd w:val="clear" w:color="auto" w:fill="auto"/>
                <w:lang w:eastAsia="zh-CN"/>
              </w:rPr>
              <w:t>9</w:t>
            </w:r>
            <w:r>
              <w:rPr>
                <w:rFonts w:hint="eastAsia" w:ascii="Times New Roman" w:hAnsi="Times New Roman" w:cs="Times New Roman"/>
                <w:color w:val="auto"/>
                <w:sz w:val="20"/>
                <w:szCs w:val="20"/>
                <w:shd w:val="clear" w:color="auto" w:fill="auto"/>
                <w:lang w:val="en-US" w:eastAsia="zh-CN"/>
              </w:rPr>
              <w:t>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9</w:t>
            </w:r>
            <w:r>
              <w:rPr>
                <w:rFonts w:hint="eastAsia" w:ascii="Times New Roman" w:hAnsi="Times New Roman" w:cs="Times New Roman"/>
                <w:color w:val="auto"/>
                <w:sz w:val="20"/>
                <w:szCs w:val="20"/>
                <w:shd w:val="clear" w:color="auto" w:fill="auto"/>
                <w:lang w:val="en-US" w:eastAsia="zh-CN"/>
              </w:rPr>
              <w:t>9</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自动监测季度数据有效传输率</w:t>
            </w:r>
            <w:r>
              <w:rPr>
                <w:rFonts w:hint="eastAsia" w:ascii="Times New Roman" w:hAnsi="Times New Roman" w:cs="Times New Roman"/>
                <w:color w:val="auto"/>
                <w:sz w:val="20"/>
                <w:szCs w:val="20"/>
                <w:shd w:val="clear" w:color="auto" w:fill="auto"/>
                <w:lang w:val="en-US" w:eastAsia="zh-CN"/>
              </w:rPr>
              <w:t>85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9</w:t>
            </w:r>
            <w:r>
              <w:rPr>
                <w:rFonts w:hint="eastAsia" w:ascii="Times New Roman" w:hAnsi="Times New Roman" w:cs="Times New Roman"/>
                <w:color w:val="auto"/>
                <w:sz w:val="20"/>
                <w:szCs w:val="20"/>
                <w:shd w:val="clear" w:color="auto" w:fill="auto"/>
                <w:lang w:val="en-US" w:eastAsia="zh-CN"/>
              </w:rPr>
              <w:t>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531"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2</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自动监测季度数据有效传输率</w:t>
            </w:r>
            <w:r>
              <w:rPr>
                <w:rFonts w:hint="eastAsia" w:ascii="Times New Roman" w:hAnsi="Times New Roman" w:cs="Times New Roman"/>
                <w:color w:val="auto"/>
                <w:sz w:val="20"/>
                <w:szCs w:val="20"/>
                <w:shd w:val="clear" w:color="auto" w:fill="auto"/>
                <w:lang w:val="en-US" w:eastAsia="zh-CN"/>
              </w:rPr>
              <w:t>75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以上</w:t>
            </w:r>
            <w:r>
              <w:rPr>
                <w:rFonts w:hint="eastAsia" w:ascii="Times New Roman" w:hAnsi="Times New Roman" w:cs="Times New Roman"/>
                <w:color w:val="auto"/>
                <w:sz w:val="20"/>
                <w:szCs w:val="20"/>
                <w:shd w:val="clear" w:color="auto" w:fill="auto"/>
                <w:lang w:val="en-US" w:eastAsia="zh-CN"/>
              </w:rPr>
              <w:t>85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531"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自动监测季度数据有效传输率60%</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75%</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531"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4</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自动监测季度数据有效传输率60%</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发生时期</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rPr>
              <w:t>环境敏感度</w:t>
            </w:r>
          </w:p>
        </w:tc>
        <w:tc>
          <w:tcPr>
            <w:tcW w:w="51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一般期间</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重污染天气黄色预警期间</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重污染天气橙色预警期间</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重污染天气红色预警期间</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特殊或重大活动期间</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管理</w:t>
            </w:r>
            <w:r>
              <w:rPr>
                <w:rFonts w:hint="default" w:ascii="Times New Roman" w:hAnsi="Times New Roman" w:cs="Times New Roman"/>
                <w:b/>
                <w:bCs/>
                <w:color w:val="auto"/>
                <w:sz w:val="20"/>
                <w:szCs w:val="20"/>
                <w:shd w:val="clear" w:color="auto" w:fill="auto"/>
                <w:lang w:eastAsia="zh-CN"/>
              </w:rPr>
              <w:t>类别</w:t>
            </w:r>
          </w:p>
        </w:tc>
        <w:tc>
          <w:tcPr>
            <w:tcW w:w="51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登记管理</w:t>
            </w:r>
          </w:p>
        </w:tc>
        <w:tc>
          <w:tcPr>
            <w:tcW w:w="25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5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重点管理</w:t>
            </w:r>
          </w:p>
        </w:tc>
        <w:tc>
          <w:tcPr>
            <w:tcW w:w="25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企业规模</w:t>
            </w: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76"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r>
              <w:rPr>
                <w:rFonts w:hint="default" w:ascii="Times New Roman" w:hAnsi="Times New Roman" w:cs="Times New Roman"/>
                <w:b/>
                <w:bCs/>
                <w:color w:val="auto"/>
                <w:sz w:val="20"/>
                <w:szCs w:val="20"/>
                <w:shd w:val="clear" w:color="auto" w:fill="auto"/>
                <w:lang w:val="en-US"/>
              </w:rPr>
              <w:t>改正时间</w:t>
            </w:r>
          </w:p>
        </w:tc>
        <w:tc>
          <w:tcPr>
            <w:tcW w:w="515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eastAsia" w:ascii="Times New Roman" w:hAnsi="Times New Roman" w:cs="Times New Roman"/>
                <w:color w:val="auto"/>
                <w:kern w:val="2"/>
                <w:sz w:val="21"/>
                <w:szCs w:val="21"/>
                <w:shd w:val="clear" w:color="auto" w:fill="auto"/>
                <w:lang w:eastAsia="zh-CN"/>
              </w:rPr>
              <w:t>限期改正</w:t>
            </w:r>
          </w:p>
        </w:tc>
        <w:tc>
          <w:tcPr>
            <w:tcW w:w="25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p>
        </w:tc>
        <w:tc>
          <w:tcPr>
            <w:tcW w:w="51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19"/>
                <w:szCs w:val="19"/>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3天以下</w:t>
            </w:r>
          </w:p>
        </w:tc>
        <w:tc>
          <w:tcPr>
            <w:tcW w:w="25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19"/>
                <w:szCs w:val="19"/>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25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19"/>
                <w:szCs w:val="19"/>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25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lang w:val="en-US" w:eastAsia="zh-CN"/>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cs="Times New Roman"/>
                <w:b/>
                <w:bCs/>
                <w:color w:val="auto"/>
                <w:sz w:val="20"/>
                <w:szCs w:val="20"/>
                <w:lang w:eastAsia="zh-CN"/>
              </w:rPr>
              <w:t>受处罚次数</w:t>
            </w: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0"/>
                <w:szCs w:val="20"/>
              </w:rPr>
              <w:t>两年内未受到过同类处罚</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0"/>
                <w:szCs w:val="20"/>
              </w:rPr>
              <w:t>1</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0"/>
                <w:szCs w:val="20"/>
              </w:rPr>
              <w:t>两年内受到同类处罚1次</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0"/>
                <w:szCs w:val="20"/>
              </w:rPr>
              <w:t>3</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0"/>
                <w:szCs w:val="20"/>
              </w:rPr>
              <w:t>两年内受到同类处罚2次以上</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0"/>
                <w:szCs w:val="20"/>
              </w:rPr>
              <w:t>5</w:t>
            </w:r>
          </w:p>
        </w:tc>
      </w:tr>
      <w:tr>
        <w:trPr>
          <w:trHeight w:val="397" w:hRule="atLeast"/>
          <w:jc w:val="center"/>
        </w:trPr>
        <w:tc>
          <w:tcPr>
            <w:tcW w:w="13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执法检查</w:t>
            </w:r>
          </w:p>
        </w:tc>
        <w:tc>
          <w:tcPr>
            <w:tcW w:w="51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5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51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51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5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51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5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备注</w:t>
            </w:r>
          </w:p>
        </w:tc>
        <w:tc>
          <w:tcPr>
            <w:tcW w:w="7684"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rPr>
            </w:pPr>
          </w:p>
        </w:tc>
      </w:tr>
    </w:tbl>
    <w:p>
      <w:pPr>
        <w:widowControl/>
        <w:shd w:val="clear" w:color="auto" w:fill="auto"/>
        <w:snapToGrid w:val="0"/>
        <w:jc w:val="left"/>
        <w:rPr>
          <w:rFonts w:hint="default" w:ascii="Times New Roman" w:hAnsi="Times New Roman" w:cs="Times New Roman"/>
          <w:color w:val="auto"/>
        </w:rPr>
      </w:pPr>
    </w:p>
    <w:p>
      <w:pPr>
        <w:widowControl/>
        <w:shd w:val="clear" w:color="auto" w:fill="auto"/>
        <w:snapToGrid w:val="0"/>
        <w:jc w:val="left"/>
        <w:rPr>
          <w:rFonts w:hint="default" w:ascii="Times New Roman" w:hAnsi="Times New Roman" w:cs="Times New Roman"/>
          <w:color w:val="auto"/>
          <w:sz w:val="10"/>
          <w:szCs w:val="10"/>
        </w:rPr>
      </w:pPr>
      <w:r>
        <w:rPr>
          <w:rFonts w:hint="default" w:ascii="Times New Roman" w:hAnsi="Times New Roman" w:cs="Times New Roman"/>
          <w:color w:val="auto"/>
          <w:sz w:val="10"/>
          <w:szCs w:val="10"/>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5179"/>
        <w:gridCol w:w="2519"/>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b/>
                <w:bCs/>
                <w:color w:val="auto"/>
                <w:sz w:val="20"/>
                <w:szCs w:val="20"/>
              </w:rPr>
              <w:t>（二）大气污染防治类</w:t>
            </w:r>
          </w:p>
        </w:tc>
      </w:tr>
      <w:tr>
        <w:trPr>
          <w:trHeight w:val="397" w:hRule="atLeast"/>
          <w:jc w:val="center"/>
        </w:trPr>
        <w:tc>
          <w:tcPr>
            <w:tcW w:w="1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序号</w:t>
            </w:r>
          </w:p>
        </w:tc>
        <w:tc>
          <w:tcPr>
            <w:tcW w:w="7698"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sz w:val="20"/>
                <w:szCs w:val="20"/>
              </w:rPr>
              <w:t>7</w:t>
            </w:r>
          </w:p>
        </w:tc>
      </w:tr>
      <w:tr>
        <w:trPr>
          <w:trHeight w:val="397" w:hRule="atLeast"/>
          <w:jc w:val="center"/>
        </w:trPr>
        <w:tc>
          <w:tcPr>
            <w:tcW w:w="1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违法行为</w:t>
            </w:r>
          </w:p>
        </w:tc>
        <w:tc>
          <w:tcPr>
            <w:tcW w:w="7698" w:type="dxa"/>
            <w:gridSpan w:val="2"/>
            <w:vAlign w:val="top"/>
          </w:tcPr>
          <w:p>
            <w:pPr>
              <w:shd w:val="clear" w:color="auto" w:fill="auto"/>
              <w:snapToGrid/>
              <w:spacing w:before="0" w:beforeAutospacing="0" w:after="0" w:afterAutospacing="0" w:line="320" w:lineRule="exact"/>
              <w:ind w:left="0" w:right="0" w:firstLine="420"/>
              <w:jc w:val="left"/>
              <w:outlineLvl w:val="9"/>
              <w:rPr>
                <w:rFonts w:hint="default" w:ascii="Times New Roman" w:hAnsi="Times New Roman" w:cs="Times New Roman"/>
                <w:color w:val="auto"/>
                <w:sz w:val="20"/>
                <w:szCs w:val="20"/>
              </w:rPr>
            </w:pPr>
            <w:bookmarkStart w:id="48" w:name="_Toc16825"/>
            <w:r>
              <w:rPr>
                <w:rFonts w:hint="default" w:ascii="Times New Roman" w:hAnsi="Times New Roman" w:cs="Times New Roman"/>
                <w:color w:val="auto"/>
                <w:sz w:val="20"/>
                <w:szCs w:val="20"/>
              </w:rPr>
              <w:t>未按照规定对所排放的工业废气和有毒有害大气污染物进行监测并保存原始监测记录的</w:t>
            </w:r>
            <w:bookmarkEnd w:id="48"/>
          </w:p>
        </w:tc>
      </w:tr>
      <w:tr>
        <w:trPr>
          <w:trHeight w:val="397" w:hRule="atLeast"/>
          <w:jc w:val="center"/>
        </w:trPr>
        <w:tc>
          <w:tcPr>
            <w:tcW w:w="1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违反条款</w:t>
            </w:r>
          </w:p>
        </w:tc>
        <w:tc>
          <w:tcPr>
            <w:tcW w:w="7698" w:type="dxa"/>
            <w:gridSpan w:val="2"/>
            <w:vAlign w:val="top"/>
          </w:tcPr>
          <w:p>
            <w:pPr>
              <w:pStyle w:val="19"/>
              <w:shd w:val="clear" w:color="auto" w:fill="auto"/>
              <w:snapToGrid/>
              <w:spacing w:before="0" w:beforeAutospacing="0" w:after="0" w:afterAutospacing="0" w:line="320" w:lineRule="exact"/>
              <w:ind w:left="0" w:right="0" w:firstLine="420"/>
              <w:rPr>
                <w:rFonts w:hint="default" w:ascii="Times New Roman" w:hAnsi="Times New Roman" w:cs="Times New Roman"/>
                <w:color w:val="auto"/>
                <w:kern w:val="2"/>
                <w:sz w:val="21"/>
                <w:szCs w:val="21"/>
              </w:rPr>
            </w:pPr>
            <w:r>
              <w:rPr>
                <w:rFonts w:hint="default" w:ascii="Times New Roman" w:hAnsi="Times New Roman" w:cs="Times New Roman"/>
                <w:b/>
                <w:bCs/>
                <w:color w:val="auto"/>
                <w:kern w:val="2"/>
                <w:sz w:val="21"/>
                <w:szCs w:val="21"/>
              </w:rPr>
              <w:t>1.《中华人民共和国大气污染防治法》第二十四条第一款</w:t>
            </w:r>
            <w:r>
              <w:rPr>
                <w:rFonts w:hint="default" w:ascii="Times New Roman" w:hAnsi="Times New Roman" w:cs="Times New Roman"/>
                <w:color w:val="auto"/>
                <w:kern w:val="2"/>
                <w:sz w:val="21"/>
                <w:szCs w:val="21"/>
              </w:rPr>
              <w:t xml:space="preserve"> 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p>
          <w:p>
            <w:pPr>
              <w:pStyle w:val="19"/>
              <w:shd w:val="clear" w:color="auto" w:fill="auto"/>
              <w:snapToGrid/>
              <w:spacing w:before="0" w:beforeAutospacing="0" w:after="0" w:afterAutospacing="0" w:line="320" w:lineRule="exact"/>
              <w:ind w:left="0" w:right="0" w:firstLine="420"/>
              <w:rPr>
                <w:rFonts w:hint="default" w:ascii="Times New Roman" w:hAnsi="Times New Roman" w:cs="Times New Roman"/>
                <w:color w:val="auto"/>
                <w:sz w:val="21"/>
                <w:szCs w:val="21"/>
              </w:rPr>
            </w:pPr>
            <w:r>
              <w:rPr>
                <w:rFonts w:hint="default" w:ascii="Times New Roman" w:hAnsi="Times New Roman" w:cs="Times New Roman"/>
                <w:b/>
                <w:color w:val="auto"/>
                <w:kern w:val="2"/>
                <w:sz w:val="21"/>
                <w:szCs w:val="21"/>
              </w:rPr>
              <w:t>2.《河南省大气污染防治条例》</w:t>
            </w:r>
            <w:r>
              <w:rPr>
                <w:rFonts w:hint="default" w:ascii="Times New Roman" w:hAnsi="Times New Roman" w:cs="Times New Roman"/>
                <w:b/>
                <w:bCs/>
                <w:color w:val="auto"/>
                <w:sz w:val="21"/>
                <w:szCs w:val="21"/>
              </w:rPr>
              <w:t xml:space="preserve">第十八条第一款、第二款 </w:t>
            </w:r>
            <w:r>
              <w:rPr>
                <w:rFonts w:hint="default" w:ascii="Times New Roman" w:hAnsi="Times New Roman" w:cs="Times New Roman"/>
                <w:color w:val="auto"/>
                <w:sz w:val="21"/>
                <w:szCs w:val="21"/>
              </w:rPr>
              <w:t xml:space="preserve"> 排放工业废气或者有毒有害大气污染物的企业事业单位和其他生产经营者应当按照国家有关规定和监测规范开展自行监测。不具备监测能力的排污单位，应当委托有资质的监测机构进行监测。接受委托的监测机构，应当遵守环境保护法律、法规和相关技术规范的要求。监测数据应当按照规定的时间如实报送环境保护主管部门，并依法向社会公开。监测数据保存的时间不得少于三年。</w:t>
            </w:r>
          </w:p>
          <w:p>
            <w:pPr>
              <w:pStyle w:val="19"/>
              <w:shd w:val="clear" w:color="auto" w:fill="auto"/>
              <w:snapToGrid/>
              <w:spacing w:before="0" w:beforeAutospacing="0" w:after="0" w:afterAutospacing="0" w:line="320" w:lineRule="exact"/>
              <w:ind w:left="0" w:right="0" w:firstLine="420"/>
              <w:rPr>
                <w:rFonts w:hint="default" w:ascii="Times New Roman" w:hAnsi="Times New Roman" w:cs="Times New Roman"/>
                <w:color w:val="auto"/>
                <w:kern w:val="2"/>
                <w:sz w:val="21"/>
                <w:szCs w:val="21"/>
              </w:rPr>
            </w:pPr>
            <w:r>
              <w:rPr>
                <w:rFonts w:hint="default" w:ascii="Times New Roman" w:hAnsi="Times New Roman" w:cs="Times New Roman"/>
                <w:color w:val="auto"/>
                <w:sz w:val="21"/>
                <w:szCs w:val="21"/>
              </w:rPr>
              <w:t>重点排污单位和使用每小时二十蒸吨以上燃煤锅炉或者大气污染物排放量与其相当的窑炉的单位，应当安装、使用自动监测设备，并对自动监测数据的真实性和准确性负责。自动监测设备应当与环境保护主管部门统一监控系统联网。</w:t>
            </w:r>
          </w:p>
        </w:tc>
      </w:tr>
      <w:tr>
        <w:trPr>
          <w:trHeight w:val="397" w:hRule="atLeast"/>
          <w:jc w:val="center"/>
        </w:trPr>
        <w:tc>
          <w:tcPr>
            <w:tcW w:w="1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处罚依据</w:t>
            </w:r>
          </w:p>
        </w:tc>
        <w:tc>
          <w:tcPr>
            <w:tcW w:w="7698" w:type="dxa"/>
            <w:gridSpan w:val="2"/>
            <w:vAlign w:val="top"/>
          </w:tcPr>
          <w:p>
            <w:pPr>
              <w:pStyle w:val="19"/>
              <w:shd w:val="clear" w:color="auto" w:fill="auto"/>
              <w:snapToGrid/>
              <w:spacing w:before="0" w:beforeAutospacing="0" w:after="0" w:afterAutospacing="0" w:line="320" w:lineRule="exact"/>
              <w:ind w:left="0" w:right="0" w:firstLine="420"/>
              <w:rPr>
                <w:rFonts w:hint="default" w:ascii="Times New Roman" w:hAnsi="Times New Roman" w:cs="Times New Roman"/>
                <w:color w:val="auto"/>
                <w:kern w:val="2"/>
                <w:sz w:val="21"/>
                <w:szCs w:val="21"/>
              </w:rPr>
            </w:pPr>
            <w:r>
              <w:rPr>
                <w:rFonts w:hint="default" w:ascii="Times New Roman" w:hAnsi="Times New Roman" w:cs="Times New Roman"/>
                <w:b/>
                <w:bCs/>
                <w:color w:val="auto"/>
                <w:kern w:val="2"/>
                <w:sz w:val="21"/>
                <w:szCs w:val="21"/>
              </w:rPr>
              <w:t>1.《中华人民共和国大气污染防治法》第一百条第（二）项</w:t>
            </w:r>
            <w:r>
              <w:rPr>
                <w:rFonts w:hint="default" w:ascii="Times New Roman" w:hAnsi="Times New Roman" w:cs="Times New Roman"/>
                <w:color w:val="auto"/>
                <w:kern w:val="2"/>
                <w:sz w:val="21"/>
                <w:szCs w:val="21"/>
              </w:rPr>
              <w:t xml:space="preserve"> 违反本法规定，有下列行为之一的，由县级以上人民政府生态环境主管部门责令改正，处二万元以上二十万元以下的罚款；拒不改正的，责令停产整治：</w:t>
            </w:r>
          </w:p>
          <w:p>
            <w:pPr>
              <w:pStyle w:val="19"/>
              <w:shd w:val="clear" w:color="auto" w:fill="auto"/>
              <w:snapToGrid/>
              <w:spacing w:before="0" w:beforeAutospacing="0" w:after="0" w:afterAutospacing="0" w:line="320" w:lineRule="exact"/>
              <w:ind w:left="0" w:right="0" w:firstLine="42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（二）未按照规定对所排放的工业废气和有毒有害大气污染物进行监测并保存原始监测记录的。</w:t>
            </w:r>
          </w:p>
          <w:p>
            <w:pPr>
              <w:pStyle w:val="19"/>
              <w:shd w:val="clear" w:color="auto" w:fill="auto"/>
              <w:snapToGrid/>
              <w:spacing w:before="0" w:beforeAutospacing="0" w:after="0" w:afterAutospacing="0" w:line="320" w:lineRule="exact"/>
              <w:ind w:left="0" w:right="0" w:firstLine="420"/>
              <w:rPr>
                <w:rFonts w:hint="default" w:ascii="Times New Roman" w:hAnsi="Times New Roman" w:cs="Times New Roman"/>
                <w:color w:val="auto"/>
                <w:sz w:val="21"/>
                <w:szCs w:val="21"/>
              </w:rPr>
            </w:pPr>
            <w:r>
              <w:rPr>
                <w:rFonts w:hint="default" w:ascii="Times New Roman" w:hAnsi="Times New Roman" w:cs="Times New Roman"/>
                <w:b/>
                <w:color w:val="auto"/>
                <w:kern w:val="2"/>
                <w:sz w:val="21"/>
                <w:szCs w:val="21"/>
              </w:rPr>
              <w:t>2.《河南省大气污染防治条例》</w:t>
            </w:r>
            <w:r>
              <w:rPr>
                <w:rFonts w:hint="default" w:ascii="Times New Roman" w:hAnsi="Times New Roman" w:cs="Times New Roman"/>
                <w:b/>
                <w:bCs/>
                <w:color w:val="auto"/>
                <w:sz w:val="21"/>
                <w:szCs w:val="21"/>
              </w:rPr>
              <w:t>第六十九</w:t>
            </w:r>
            <w:r>
              <w:rPr>
                <w:rFonts w:hint="default" w:ascii="Times New Roman" w:hAnsi="Times New Roman" w:cs="Times New Roman"/>
                <w:b/>
                <w:bCs/>
                <w:color w:val="auto"/>
                <w:kern w:val="2"/>
                <w:sz w:val="21"/>
                <w:szCs w:val="21"/>
              </w:rPr>
              <w:t>条第（二）项</w:t>
            </w:r>
            <w:r>
              <w:rPr>
                <w:rFonts w:hint="default" w:ascii="Times New Roman" w:hAnsi="Times New Roman" w:cs="Times New Roman"/>
                <w:color w:val="auto"/>
                <w:sz w:val="21"/>
                <w:szCs w:val="21"/>
              </w:rPr>
              <w:t xml:space="preserve"> 违反本条例第十八条第一款、第二款规定，排放工业废气或者有毒有害大气污染物的企业事业单位和其他生产经营者、重点排污单位、使用每小时二十蒸吨以上燃煤锅炉或者大气污染物排放量与其相当的窑炉的单位，有下列行为之一的，由县级以上人民政府环境保护主管部门责令限期改正，处二万元以上十万元以下罚款；情节严重的，处十万元以上二十万元以下罚款；拒不改正的，责令停产整治：</w:t>
            </w:r>
          </w:p>
          <w:p>
            <w:pPr>
              <w:pStyle w:val="19"/>
              <w:shd w:val="clear" w:color="auto" w:fill="auto"/>
              <w:snapToGrid/>
              <w:spacing w:before="0" w:beforeAutospacing="0" w:after="0" w:afterAutospacing="0" w:line="320" w:lineRule="exact"/>
              <w:ind w:left="0" w:right="0" w:firstLine="420"/>
              <w:rPr>
                <w:rFonts w:hint="default" w:ascii="Times New Roman" w:hAnsi="Times New Roman" w:cs="Times New Roman"/>
                <w:color w:val="auto"/>
                <w:kern w:val="2"/>
                <w:sz w:val="21"/>
                <w:szCs w:val="21"/>
              </w:rPr>
            </w:pPr>
            <w:r>
              <w:rPr>
                <w:rFonts w:hint="default" w:ascii="Times New Roman" w:hAnsi="Times New Roman" w:cs="Times New Roman"/>
                <w:color w:val="auto"/>
                <w:sz w:val="21"/>
                <w:szCs w:val="21"/>
              </w:rPr>
              <w:t>（二）未按照规定开展大气污染物监测，并保存原始监测记录的。</w:t>
            </w:r>
          </w:p>
        </w:tc>
      </w:tr>
      <w:tr>
        <w:trPr>
          <w:trHeight w:val="425" w:hRule="atLeast"/>
          <w:jc w:val="center"/>
        </w:trPr>
        <w:tc>
          <w:tcPr>
            <w:tcW w:w="1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裁量因素</w:t>
            </w:r>
          </w:p>
        </w:tc>
        <w:tc>
          <w:tcPr>
            <w:tcW w:w="5179"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判定标准</w:t>
            </w:r>
          </w:p>
        </w:tc>
        <w:tc>
          <w:tcPr>
            <w:tcW w:w="2519"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裁量等级</w:t>
            </w:r>
          </w:p>
        </w:tc>
      </w:tr>
      <w:tr>
        <w:trPr>
          <w:trHeight w:val="425" w:hRule="atLeast"/>
          <w:jc w:val="center"/>
        </w:trPr>
        <w:tc>
          <w:tcPr>
            <w:tcW w:w="1362" w:type="dxa"/>
            <w:vMerge w:val="restart"/>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★违法事实</w:t>
            </w:r>
          </w:p>
        </w:tc>
        <w:tc>
          <w:tcPr>
            <w:tcW w:w="5179" w:type="dxa"/>
            <w:vAlign w:val="center"/>
          </w:tcPr>
          <w:p>
            <w:pPr>
              <w:shd w:val="clear" w:color="auto" w:fill="auto"/>
              <w:snapToGrid/>
              <w:spacing w:before="0" w:beforeAutospacing="0" w:after="0" w:afterAutospacing="0" w:line="320" w:lineRule="exact"/>
              <w:ind w:left="0" w:leftChars="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按规定进行了监测，原始监测记录保存年限3年以上5年</w:t>
            </w:r>
            <w:r>
              <w:rPr>
                <w:rFonts w:hint="default" w:ascii="Times New Roman" w:hAnsi="Times New Roman" w:cs="Times New Roman"/>
                <w:color w:val="auto"/>
                <w:sz w:val="20"/>
                <w:szCs w:val="20"/>
                <w:lang w:eastAsia="zh-CN"/>
              </w:rPr>
              <w:t>以下</w:t>
            </w:r>
            <w:r>
              <w:rPr>
                <w:rFonts w:hint="default" w:ascii="Times New Roman" w:hAnsi="Times New Roman" w:cs="Times New Roman"/>
                <w:color w:val="auto"/>
                <w:sz w:val="20"/>
                <w:szCs w:val="20"/>
              </w:rPr>
              <w:t>的；</w:t>
            </w:r>
          </w:p>
        </w:tc>
        <w:tc>
          <w:tcPr>
            <w:tcW w:w="2519" w:type="dxa"/>
            <w:vAlign w:val="center"/>
          </w:tcPr>
          <w:p>
            <w:pPr>
              <w:shd w:val="clear" w:color="auto" w:fill="auto"/>
              <w:snapToGrid/>
              <w:spacing w:before="0" w:beforeAutospacing="0" w:after="0" w:afterAutospacing="0" w:line="320" w:lineRule="exact"/>
              <w:ind w:left="0" w:leftChars="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1</w:t>
            </w:r>
          </w:p>
        </w:tc>
      </w:tr>
      <w:tr>
        <w:trPr>
          <w:trHeight w:val="425" w:hRule="atLeast"/>
          <w:jc w:val="center"/>
        </w:trPr>
        <w:tc>
          <w:tcPr>
            <w:tcW w:w="1362" w:type="dxa"/>
            <w:vMerge w:val="continue"/>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rPr>
            </w:pPr>
          </w:p>
        </w:tc>
        <w:tc>
          <w:tcPr>
            <w:tcW w:w="5179" w:type="dxa"/>
            <w:vAlign w:val="center"/>
          </w:tcPr>
          <w:p>
            <w:pPr>
              <w:shd w:val="clear" w:color="auto" w:fill="auto"/>
              <w:snapToGrid/>
              <w:spacing w:before="0" w:beforeAutospacing="0" w:after="0" w:afterAutospacing="0" w:line="320" w:lineRule="exact"/>
              <w:ind w:left="0" w:leftChars="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按规定进行了监测，原始监测记录保存年限1年以上3年</w:t>
            </w:r>
            <w:r>
              <w:rPr>
                <w:rFonts w:hint="default" w:ascii="Times New Roman" w:hAnsi="Times New Roman" w:cs="Times New Roman"/>
                <w:color w:val="auto"/>
                <w:sz w:val="20"/>
                <w:szCs w:val="20"/>
                <w:lang w:eastAsia="zh-CN"/>
              </w:rPr>
              <w:t>以下</w:t>
            </w:r>
            <w:r>
              <w:rPr>
                <w:rFonts w:hint="default" w:ascii="Times New Roman" w:hAnsi="Times New Roman" w:cs="Times New Roman"/>
                <w:color w:val="auto"/>
                <w:sz w:val="20"/>
                <w:szCs w:val="20"/>
              </w:rPr>
              <w:t>的；</w:t>
            </w:r>
          </w:p>
        </w:tc>
        <w:tc>
          <w:tcPr>
            <w:tcW w:w="2519" w:type="dxa"/>
            <w:vAlign w:val="center"/>
          </w:tcPr>
          <w:p>
            <w:pPr>
              <w:shd w:val="clear" w:color="auto" w:fill="auto"/>
              <w:snapToGrid/>
              <w:spacing w:before="0" w:beforeAutospacing="0" w:after="0" w:afterAutospacing="0" w:line="320" w:lineRule="exact"/>
              <w:ind w:left="0" w:leftChars="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2</w:t>
            </w:r>
          </w:p>
        </w:tc>
      </w:tr>
      <w:tr>
        <w:trPr>
          <w:trHeight w:val="425" w:hRule="atLeast"/>
          <w:jc w:val="center"/>
        </w:trPr>
        <w:tc>
          <w:tcPr>
            <w:tcW w:w="1362" w:type="dxa"/>
            <w:vMerge w:val="continue"/>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rPr>
            </w:pPr>
          </w:p>
        </w:tc>
        <w:tc>
          <w:tcPr>
            <w:tcW w:w="5179" w:type="dxa"/>
            <w:vAlign w:val="center"/>
          </w:tcPr>
          <w:p>
            <w:pPr>
              <w:shd w:val="clear" w:color="auto" w:fill="auto"/>
              <w:snapToGrid/>
              <w:spacing w:before="0" w:beforeAutospacing="0" w:after="0" w:afterAutospacing="0" w:line="320" w:lineRule="exact"/>
              <w:ind w:left="0" w:leftChars="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未按规定开展自行监测的</w:t>
            </w:r>
          </w:p>
        </w:tc>
        <w:tc>
          <w:tcPr>
            <w:tcW w:w="2519" w:type="dxa"/>
            <w:vAlign w:val="center"/>
          </w:tcPr>
          <w:p>
            <w:pPr>
              <w:shd w:val="clear" w:color="auto" w:fill="auto"/>
              <w:snapToGrid/>
              <w:spacing w:before="0" w:beforeAutospacing="0" w:after="0" w:afterAutospacing="0" w:line="320" w:lineRule="exact"/>
              <w:ind w:left="0" w:leftChars="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3</w:t>
            </w:r>
          </w:p>
        </w:tc>
      </w:tr>
      <w:tr>
        <w:trPr>
          <w:trHeight w:val="425" w:hRule="atLeast"/>
          <w:jc w:val="center"/>
        </w:trPr>
        <w:tc>
          <w:tcPr>
            <w:tcW w:w="1362" w:type="dxa"/>
            <w:vMerge w:val="continue"/>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rPr>
            </w:pPr>
          </w:p>
        </w:tc>
        <w:tc>
          <w:tcPr>
            <w:tcW w:w="5179" w:type="dxa"/>
            <w:vAlign w:val="center"/>
          </w:tcPr>
          <w:p>
            <w:pPr>
              <w:shd w:val="clear" w:color="auto" w:fill="auto"/>
              <w:snapToGrid/>
              <w:spacing w:before="0" w:beforeAutospacing="0" w:after="0" w:afterAutospacing="0" w:line="320" w:lineRule="exact"/>
              <w:ind w:left="0" w:leftChars="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未监测或未保存监测记录的</w:t>
            </w:r>
          </w:p>
        </w:tc>
        <w:tc>
          <w:tcPr>
            <w:tcW w:w="2519" w:type="dxa"/>
            <w:vAlign w:val="center"/>
          </w:tcPr>
          <w:p>
            <w:pPr>
              <w:shd w:val="clear" w:color="auto" w:fill="auto"/>
              <w:snapToGrid/>
              <w:spacing w:before="0" w:beforeAutospacing="0" w:after="0" w:afterAutospacing="0" w:line="320" w:lineRule="exact"/>
              <w:ind w:left="0" w:leftChars="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4</w:t>
            </w:r>
          </w:p>
        </w:tc>
      </w:tr>
      <w:tr>
        <w:trPr>
          <w:trHeight w:val="425" w:hRule="atLeast"/>
          <w:jc w:val="center"/>
        </w:trPr>
        <w:tc>
          <w:tcPr>
            <w:tcW w:w="1362" w:type="dxa"/>
            <w:vMerge w:val="continue"/>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rPr>
            </w:pPr>
          </w:p>
        </w:tc>
        <w:tc>
          <w:tcPr>
            <w:tcW w:w="5179" w:type="dxa"/>
            <w:vAlign w:val="center"/>
          </w:tcPr>
          <w:p>
            <w:pPr>
              <w:shd w:val="clear" w:color="auto" w:fill="auto"/>
              <w:snapToGrid/>
              <w:spacing w:before="0" w:beforeAutospacing="0" w:after="0" w:afterAutospacing="0" w:line="320" w:lineRule="exact"/>
              <w:ind w:left="0" w:leftChars="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监测记录弄虚作假的</w:t>
            </w:r>
          </w:p>
        </w:tc>
        <w:tc>
          <w:tcPr>
            <w:tcW w:w="2519" w:type="dxa"/>
            <w:vAlign w:val="center"/>
          </w:tcPr>
          <w:p>
            <w:pPr>
              <w:shd w:val="clear" w:color="auto" w:fill="auto"/>
              <w:snapToGrid/>
              <w:spacing w:before="0" w:beforeAutospacing="0" w:after="0" w:afterAutospacing="0" w:line="320" w:lineRule="exact"/>
              <w:ind w:left="0" w:leftChars="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5</w:t>
            </w:r>
          </w:p>
        </w:tc>
      </w:tr>
      <w:tr>
        <w:trPr>
          <w:trHeight w:val="397" w:hRule="atLeast"/>
          <w:jc w:val="center"/>
        </w:trPr>
        <w:tc>
          <w:tcPr>
            <w:tcW w:w="136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bookmarkStart w:id="49" w:name="_Hlk21959596"/>
            <w:r>
              <w:rPr>
                <w:rFonts w:hint="default" w:ascii="Times New Roman" w:hAnsi="Times New Roman" w:cs="Times New Roman"/>
                <w:b/>
                <w:bCs/>
                <w:color w:val="auto"/>
                <w:sz w:val="20"/>
                <w:szCs w:val="20"/>
              </w:rPr>
              <w:t>企业规模</w:t>
            </w: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bookmarkStart w:id="50" w:name="OLE_LINK5"/>
            <w:r>
              <w:rPr>
                <w:rFonts w:hint="default" w:ascii="Times New Roman" w:hAnsi="Times New Roman" w:cs="Times New Roman"/>
                <w:color w:val="auto"/>
                <w:sz w:val="20"/>
                <w:szCs w:val="20"/>
              </w:rPr>
              <w:t>微型企业</w:t>
            </w:r>
            <w:bookmarkEnd w:id="50"/>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1</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小型企业</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2</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中型企业</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3</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大型企业</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sz w:val="20"/>
                <w:szCs w:val="20"/>
                <w:lang w:val="en-US" w:eastAsia="zh-CN"/>
              </w:rPr>
              <w:t>4</w:t>
            </w:r>
            <w:bookmarkEnd w:id="49"/>
          </w:p>
        </w:tc>
      </w:tr>
      <w:tr>
        <w:trPr>
          <w:trHeight w:val="397" w:hRule="atLeast"/>
          <w:jc w:val="center"/>
        </w:trPr>
        <w:tc>
          <w:tcPr>
            <w:tcW w:w="1362" w:type="dxa"/>
            <w:vMerge w:val="restart"/>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rPr>
            </w:pPr>
            <w:r>
              <w:rPr>
                <w:rFonts w:hint="default" w:ascii="Times New Roman" w:hAnsi="Times New Roman" w:cs="Times New Roman"/>
                <w:b/>
                <w:color w:val="auto"/>
                <w:sz w:val="21"/>
                <w:szCs w:val="21"/>
              </w:rPr>
              <w:t>废气类别</w:t>
            </w:r>
          </w:p>
        </w:tc>
        <w:tc>
          <w:tcPr>
            <w:tcW w:w="5179"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1"/>
                <w:szCs w:val="21"/>
              </w:rPr>
              <w:t>机械、汽车修理废气/畜禽养殖废气</w:t>
            </w:r>
          </w:p>
        </w:tc>
        <w:tc>
          <w:tcPr>
            <w:tcW w:w="2519"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1"/>
                <w:szCs w:val="21"/>
              </w:rPr>
              <w:t>1</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b/>
                <w:bCs/>
                <w:color w:val="auto"/>
                <w:sz w:val="20"/>
                <w:szCs w:val="20"/>
              </w:rPr>
            </w:pPr>
          </w:p>
        </w:tc>
        <w:tc>
          <w:tcPr>
            <w:tcW w:w="5179"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1"/>
                <w:szCs w:val="21"/>
              </w:rPr>
              <w:t>农业生产、工业扬尘废气/燃煤锅炉废气（30蒸吨以下）</w:t>
            </w:r>
          </w:p>
        </w:tc>
        <w:tc>
          <w:tcPr>
            <w:tcW w:w="2519"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1"/>
                <w:szCs w:val="21"/>
              </w:rPr>
              <w:t>2</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b/>
                <w:bCs/>
                <w:color w:val="auto"/>
                <w:sz w:val="20"/>
                <w:szCs w:val="20"/>
              </w:rPr>
            </w:pPr>
          </w:p>
        </w:tc>
        <w:tc>
          <w:tcPr>
            <w:tcW w:w="5179"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1"/>
                <w:szCs w:val="21"/>
              </w:rPr>
              <w:t>一般工业废气/含恶臭污染物的废气/医疗废气/实验室废气</w:t>
            </w:r>
          </w:p>
        </w:tc>
        <w:tc>
          <w:tcPr>
            <w:tcW w:w="2519"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1"/>
                <w:szCs w:val="21"/>
              </w:rPr>
              <w:t>3</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b/>
                <w:bCs/>
                <w:color w:val="auto"/>
                <w:sz w:val="20"/>
                <w:szCs w:val="20"/>
              </w:rPr>
            </w:pPr>
          </w:p>
        </w:tc>
        <w:tc>
          <w:tcPr>
            <w:tcW w:w="5179"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1"/>
                <w:szCs w:val="21"/>
              </w:rPr>
              <w:t>火电、钢铁、石化、水泥、炼焦、有色、化工废气、烟尘/燃煤锅炉废气（30蒸吨以上）</w:t>
            </w:r>
          </w:p>
        </w:tc>
        <w:tc>
          <w:tcPr>
            <w:tcW w:w="2519"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1"/>
                <w:szCs w:val="21"/>
              </w:rPr>
              <w:t>4</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b/>
                <w:bCs/>
                <w:color w:val="auto"/>
                <w:sz w:val="20"/>
                <w:szCs w:val="20"/>
              </w:rPr>
            </w:pPr>
          </w:p>
        </w:tc>
        <w:tc>
          <w:tcPr>
            <w:tcW w:w="5179"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rPr>
            </w:pPr>
            <w:r>
              <w:rPr>
                <w:rFonts w:hint="default" w:ascii="Times New Roman" w:hAnsi="Times New Roman" w:cs="Times New Roman"/>
                <w:color w:val="auto"/>
                <w:sz w:val="21"/>
                <w:szCs w:val="21"/>
              </w:rPr>
              <w:t>含有毒有害物质的废气</w:t>
            </w:r>
          </w:p>
        </w:tc>
        <w:tc>
          <w:tcPr>
            <w:tcW w:w="2519"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rPr>
            </w:pPr>
            <w:r>
              <w:rPr>
                <w:rFonts w:hint="default" w:ascii="Times New Roman" w:hAnsi="Times New Roman" w:cs="Times New Roman"/>
                <w:color w:val="auto"/>
                <w:sz w:val="21"/>
                <w:szCs w:val="21"/>
              </w:rPr>
              <w:t>5</w:t>
            </w:r>
          </w:p>
        </w:tc>
      </w:tr>
      <w:tr>
        <w:trPr>
          <w:trHeight w:val="397" w:hRule="atLeast"/>
          <w:jc w:val="center"/>
        </w:trPr>
        <w:tc>
          <w:tcPr>
            <w:tcW w:w="1362"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sz w:val="20"/>
                <w:szCs w:val="20"/>
                <w:lang w:eastAsia="zh-CN"/>
              </w:rPr>
            </w:pPr>
            <w:r>
              <w:rPr>
                <w:rFonts w:hint="default" w:ascii="Times New Roman" w:hAnsi="Times New Roman" w:cs="Times New Roman"/>
                <w:b/>
                <w:bCs/>
                <w:color w:val="auto"/>
                <w:sz w:val="20"/>
                <w:szCs w:val="20"/>
                <w:shd w:val="clear" w:color="auto" w:fill="auto"/>
                <w:lang w:val="en-US"/>
              </w:rPr>
              <w:t>改正时间</w:t>
            </w:r>
          </w:p>
        </w:tc>
        <w:tc>
          <w:tcPr>
            <w:tcW w:w="5179"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1"/>
                <w:szCs w:val="21"/>
              </w:rPr>
            </w:pPr>
            <w:r>
              <w:rPr>
                <w:rFonts w:hint="eastAsia" w:ascii="Times New Roman" w:hAnsi="Times New Roman" w:cs="Times New Roman"/>
                <w:color w:val="auto"/>
                <w:kern w:val="2"/>
                <w:sz w:val="21"/>
                <w:szCs w:val="21"/>
                <w:shd w:val="clear" w:color="auto" w:fill="auto"/>
                <w:lang w:eastAsia="zh-CN"/>
              </w:rPr>
              <w:t>限期改正</w:t>
            </w:r>
          </w:p>
        </w:tc>
        <w:tc>
          <w:tcPr>
            <w:tcW w:w="251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sz w:val="20"/>
                <w:szCs w:val="20"/>
                <w:lang w:eastAsia="zh-CN"/>
              </w:rPr>
            </w:pP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rPr>
            </w:pPr>
            <w:r>
              <w:rPr>
                <w:rFonts w:hint="default" w:ascii="Times New Roman" w:hAnsi="Times New Roman" w:cs="Times New Roman"/>
                <w:color w:val="auto"/>
                <w:sz w:val="20"/>
                <w:szCs w:val="20"/>
                <w:shd w:val="clear" w:color="auto" w:fill="auto"/>
                <w:lang w:val="en-US" w:eastAsia="zh-CN"/>
              </w:rPr>
              <w:t>3天以下</w:t>
            </w:r>
          </w:p>
        </w:tc>
        <w:tc>
          <w:tcPr>
            <w:tcW w:w="251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rPr>
            </w:pP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rPr>
            </w:pPr>
            <w:r>
              <w:rPr>
                <w:rFonts w:hint="default" w:ascii="Times New Roman" w:hAnsi="Times New Roman" w:cs="Times New Roman"/>
                <w:color w:val="auto"/>
                <w:sz w:val="20"/>
                <w:szCs w:val="20"/>
                <w:shd w:val="clear" w:color="auto" w:fill="auto"/>
                <w:lang w:val="en-US" w:eastAsia="zh-CN"/>
              </w:rPr>
              <w:t>3天以上7天以下</w:t>
            </w:r>
          </w:p>
        </w:tc>
        <w:tc>
          <w:tcPr>
            <w:tcW w:w="251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rPr>
            </w:pP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rPr>
            </w:pPr>
            <w:r>
              <w:rPr>
                <w:rFonts w:hint="default" w:ascii="Times New Roman" w:hAnsi="Times New Roman" w:cs="Times New Roman"/>
                <w:color w:val="auto"/>
                <w:sz w:val="20"/>
                <w:szCs w:val="20"/>
                <w:shd w:val="clear" w:color="auto" w:fill="auto"/>
                <w:lang w:val="en-US" w:eastAsia="zh-CN"/>
              </w:rPr>
              <w:t>7天以上</w:t>
            </w:r>
          </w:p>
        </w:tc>
        <w:tc>
          <w:tcPr>
            <w:tcW w:w="251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62"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rPr>
            </w:pPr>
            <w:r>
              <w:rPr>
                <w:rFonts w:hint="default" w:ascii="Times New Roman" w:hAnsi="Times New Roman" w:eastAsia="宋体" w:cs="Times New Roman"/>
                <w:b/>
                <w:color w:val="auto"/>
                <w:kern w:val="2"/>
                <w:sz w:val="21"/>
                <w:szCs w:val="21"/>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Times New Roman" w:eastAsia="宋体" w:cs="Times New Roman"/>
                <w:b/>
                <w:color w:val="auto"/>
                <w:kern w:val="2"/>
                <w:sz w:val="21"/>
                <w:szCs w:val="21"/>
                <w:lang w:val="en-US" w:eastAsia="zh-CN"/>
              </w:rPr>
              <w:t>持续时间</w:t>
            </w:r>
          </w:p>
        </w:tc>
        <w:tc>
          <w:tcPr>
            <w:tcW w:w="517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1个月</w:t>
            </w:r>
            <w:r>
              <w:rPr>
                <w:rFonts w:hint="default" w:ascii="Times New Roman" w:hAnsi="Times New Roman" w:cs="Times New Roman"/>
                <w:color w:val="auto"/>
                <w:kern w:val="2"/>
                <w:sz w:val="21"/>
                <w:szCs w:val="21"/>
                <w:lang w:val="en-US" w:eastAsia="zh-CN" w:bidi="ar-SA"/>
              </w:rPr>
              <w:t>以下</w:t>
            </w:r>
          </w:p>
        </w:tc>
        <w:tc>
          <w:tcPr>
            <w:tcW w:w="251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rPr>
              <w:t>1</w:t>
            </w:r>
          </w:p>
        </w:tc>
      </w:tr>
      <w:tr>
        <w:trPr>
          <w:trHeight w:val="397" w:hRule="atLeast"/>
          <w:jc w:val="center"/>
        </w:trPr>
        <w:tc>
          <w:tcPr>
            <w:tcW w:w="136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rPr>
            </w:pPr>
          </w:p>
        </w:tc>
        <w:tc>
          <w:tcPr>
            <w:tcW w:w="517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rPr>
              <w:t>1</w:t>
            </w:r>
            <w:r>
              <w:rPr>
                <w:rFonts w:hint="default" w:ascii="宋体" w:hAnsi="宋体" w:eastAsia="宋体" w:cs="宋体"/>
                <w:color w:val="auto"/>
                <w:kern w:val="2"/>
                <w:sz w:val="21"/>
                <w:szCs w:val="21"/>
                <w:lang w:val="en-US" w:eastAsia="zh-CN"/>
              </w:rPr>
              <w:t>个月以上</w:t>
            </w:r>
            <w:r>
              <w:rPr>
                <w:rFonts w:hint="default" w:ascii="Times New Roman" w:hAnsi="Times New Roman" w:eastAsia="宋体" w:cs="Times New Roman"/>
                <w:color w:val="auto"/>
                <w:kern w:val="2"/>
                <w:sz w:val="21"/>
                <w:szCs w:val="21"/>
                <w:lang w:val="en-US" w:eastAsia="zh-CN"/>
              </w:rPr>
              <w:t>3</w:t>
            </w:r>
            <w:r>
              <w:rPr>
                <w:rFonts w:hint="default" w:ascii="宋体" w:hAnsi="宋体" w:eastAsia="宋体" w:cs="宋体"/>
                <w:color w:val="auto"/>
                <w:kern w:val="2"/>
                <w:sz w:val="21"/>
                <w:szCs w:val="21"/>
                <w:lang w:val="en-US" w:eastAsia="zh-CN"/>
              </w:rPr>
              <w:t>个月</w:t>
            </w:r>
            <w:r>
              <w:rPr>
                <w:rFonts w:hint="default" w:ascii="宋体" w:hAnsi="宋体" w:cs="宋体"/>
                <w:color w:val="auto"/>
                <w:kern w:val="2"/>
                <w:sz w:val="21"/>
                <w:szCs w:val="21"/>
                <w:lang w:val="en-US"/>
              </w:rPr>
              <w:t>以下</w:t>
            </w:r>
          </w:p>
        </w:tc>
        <w:tc>
          <w:tcPr>
            <w:tcW w:w="251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rPr>
              <w:t>2</w:t>
            </w:r>
          </w:p>
        </w:tc>
      </w:tr>
      <w:tr>
        <w:trPr>
          <w:trHeight w:val="397" w:hRule="atLeast"/>
          <w:jc w:val="center"/>
        </w:trPr>
        <w:tc>
          <w:tcPr>
            <w:tcW w:w="136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rPr>
            </w:pPr>
          </w:p>
        </w:tc>
        <w:tc>
          <w:tcPr>
            <w:tcW w:w="517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rPr>
              <w:t>3</w:t>
            </w:r>
            <w:r>
              <w:rPr>
                <w:rFonts w:hint="default" w:ascii="宋体" w:hAnsi="宋体" w:eastAsia="宋体" w:cs="宋体"/>
                <w:color w:val="auto"/>
                <w:kern w:val="2"/>
                <w:sz w:val="21"/>
                <w:szCs w:val="21"/>
                <w:lang w:val="en-US" w:eastAsia="zh-CN"/>
              </w:rPr>
              <w:t>个月以上</w:t>
            </w:r>
            <w:r>
              <w:rPr>
                <w:rFonts w:hint="default" w:ascii="Times New Roman" w:hAnsi="Times New Roman" w:cs="Times New Roman"/>
                <w:color w:val="auto"/>
                <w:kern w:val="2"/>
                <w:sz w:val="21"/>
                <w:szCs w:val="21"/>
                <w:lang w:eastAsia="zh-CN"/>
              </w:rPr>
              <w:t>6</w:t>
            </w:r>
            <w:r>
              <w:rPr>
                <w:rFonts w:hint="default" w:ascii="Times New Roman" w:hAnsi="Times New Roman" w:eastAsia="宋体" w:cs="Times New Roman"/>
                <w:color w:val="auto"/>
                <w:kern w:val="2"/>
                <w:sz w:val="21"/>
                <w:szCs w:val="21"/>
                <w:lang w:val="en-US" w:eastAsia="zh-CN"/>
              </w:rPr>
              <w:t>个月</w:t>
            </w:r>
            <w:r>
              <w:rPr>
                <w:rFonts w:hint="default" w:ascii="Times New Roman" w:hAnsi="Times New Roman" w:cs="Times New Roman"/>
                <w:color w:val="auto"/>
                <w:kern w:val="2"/>
                <w:sz w:val="21"/>
                <w:szCs w:val="21"/>
                <w:lang w:val="en-US"/>
              </w:rPr>
              <w:t>以下</w:t>
            </w:r>
          </w:p>
        </w:tc>
        <w:tc>
          <w:tcPr>
            <w:tcW w:w="251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rPr>
              <w:t>3</w:t>
            </w:r>
          </w:p>
        </w:tc>
      </w:tr>
      <w:tr>
        <w:trPr>
          <w:trHeight w:val="397" w:hRule="atLeast"/>
          <w:jc w:val="center"/>
        </w:trPr>
        <w:tc>
          <w:tcPr>
            <w:tcW w:w="136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rPr>
            </w:pPr>
          </w:p>
        </w:tc>
        <w:tc>
          <w:tcPr>
            <w:tcW w:w="517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rPr>
              <w:t>6</w:t>
            </w:r>
            <w:r>
              <w:rPr>
                <w:rFonts w:hint="default" w:ascii="Times New Roman" w:hAnsi="Times New Roman" w:eastAsia="宋体" w:cs="Times New Roman"/>
                <w:color w:val="auto"/>
                <w:kern w:val="2"/>
                <w:sz w:val="21"/>
                <w:szCs w:val="21"/>
                <w:lang w:val="en-US" w:eastAsia="zh-CN"/>
              </w:rPr>
              <w:t>个月以上</w:t>
            </w:r>
            <w:r>
              <w:rPr>
                <w:rFonts w:hint="default" w:ascii="Times New Roman" w:hAnsi="Times New Roman" w:cs="Times New Roman"/>
                <w:color w:val="auto"/>
                <w:kern w:val="2"/>
                <w:sz w:val="21"/>
                <w:szCs w:val="21"/>
                <w:lang w:eastAsia="zh-CN"/>
              </w:rPr>
              <w:t>1</w:t>
            </w:r>
            <w:r>
              <w:rPr>
                <w:rFonts w:hint="default" w:ascii="Times New Roman" w:hAnsi="Times New Roman" w:eastAsia="宋体" w:cs="Times New Roman"/>
                <w:color w:val="auto"/>
                <w:kern w:val="2"/>
                <w:sz w:val="21"/>
                <w:szCs w:val="21"/>
                <w:lang w:val="en-US" w:eastAsia="zh-CN"/>
              </w:rPr>
              <w:t>年</w:t>
            </w:r>
            <w:r>
              <w:rPr>
                <w:rFonts w:hint="default" w:ascii="Times New Roman" w:hAnsi="Times New Roman" w:cs="Times New Roman"/>
                <w:color w:val="auto"/>
                <w:kern w:val="2"/>
                <w:sz w:val="21"/>
                <w:szCs w:val="21"/>
                <w:lang w:val="en-US"/>
              </w:rPr>
              <w:t>以下</w:t>
            </w:r>
          </w:p>
        </w:tc>
        <w:tc>
          <w:tcPr>
            <w:tcW w:w="251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rPr>
              <w:t>4</w:t>
            </w:r>
          </w:p>
        </w:tc>
      </w:tr>
      <w:tr>
        <w:trPr>
          <w:trHeight w:val="397" w:hRule="atLeast"/>
          <w:jc w:val="center"/>
        </w:trPr>
        <w:tc>
          <w:tcPr>
            <w:tcW w:w="136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rPr>
            </w:pPr>
          </w:p>
        </w:tc>
        <w:tc>
          <w:tcPr>
            <w:tcW w:w="517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eastAsia="zh-CN"/>
              </w:rPr>
              <w:t>1</w:t>
            </w:r>
            <w:r>
              <w:rPr>
                <w:rFonts w:hint="default" w:ascii="Times New Roman" w:hAnsi="Times New Roman" w:eastAsia="宋体" w:cs="Times New Roman"/>
                <w:color w:val="auto"/>
                <w:kern w:val="2"/>
                <w:sz w:val="21"/>
                <w:szCs w:val="21"/>
                <w:lang w:val="en-US" w:eastAsia="zh-CN"/>
              </w:rPr>
              <w:t>年以上</w:t>
            </w:r>
          </w:p>
        </w:tc>
        <w:tc>
          <w:tcPr>
            <w:tcW w:w="251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rPr>
              <w:t>5</w:t>
            </w:r>
          </w:p>
        </w:tc>
      </w:tr>
      <w:tr>
        <w:trPr>
          <w:trHeight w:val="397" w:hRule="atLeast"/>
          <w:jc w:val="center"/>
        </w:trPr>
        <w:tc>
          <w:tcPr>
            <w:tcW w:w="136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lang w:eastAsia="zh-CN"/>
              </w:rPr>
              <w:t>受处罚次数</w:t>
            </w: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lang w:eastAsia="zh-CN"/>
              </w:rPr>
            </w:pPr>
            <w:r>
              <w:rPr>
                <w:rFonts w:hint="default" w:ascii="Times New Roman" w:hAnsi="Times New Roman" w:cs="Times New Roman"/>
                <w:color w:val="auto"/>
                <w:sz w:val="20"/>
                <w:szCs w:val="20"/>
              </w:rPr>
              <w:t>两年内未受到过同类处罚</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1</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lang w:eastAsia="zh-CN"/>
              </w:rPr>
            </w:pPr>
            <w:r>
              <w:rPr>
                <w:rFonts w:hint="default" w:ascii="Times New Roman" w:hAnsi="Times New Roman" w:cs="Times New Roman"/>
                <w:color w:val="auto"/>
                <w:sz w:val="20"/>
                <w:szCs w:val="20"/>
              </w:rPr>
              <w:t>两年内受到同类处罚1次</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3</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lang w:eastAsia="zh-CN"/>
              </w:rPr>
            </w:pPr>
            <w:r>
              <w:rPr>
                <w:rFonts w:hint="default" w:ascii="Times New Roman" w:hAnsi="Times New Roman" w:cs="Times New Roman"/>
                <w:color w:val="auto"/>
                <w:sz w:val="20"/>
                <w:szCs w:val="20"/>
              </w:rPr>
              <w:t>两年内受到同类处罚2次以上</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5</w:t>
            </w:r>
          </w:p>
        </w:tc>
      </w:tr>
      <w:tr>
        <w:trPr>
          <w:trHeight w:val="397" w:hRule="atLeast"/>
          <w:jc w:val="center"/>
        </w:trPr>
        <w:tc>
          <w:tcPr>
            <w:tcW w:w="136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执法检查</w:t>
            </w: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51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1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51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51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lang w:eastAsia="zh-CN"/>
              </w:rPr>
            </w:pPr>
            <w:r>
              <w:rPr>
                <w:rFonts w:hint="default" w:ascii="Times New Roman" w:hAnsi="Times New Roman" w:cs="Times New Roman"/>
                <w:b/>
                <w:bCs/>
                <w:color w:val="auto"/>
                <w:sz w:val="20"/>
                <w:szCs w:val="20"/>
                <w:lang w:eastAsia="zh-CN"/>
              </w:rPr>
              <w:t>备注</w:t>
            </w:r>
          </w:p>
        </w:tc>
        <w:tc>
          <w:tcPr>
            <w:tcW w:w="7698"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p>
        </w:tc>
      </w:tr>
    </w:tbl>
    <w:p>
      <w:pPr>
        <w:widowControl/>
        <w:shd w:val="clear" w:color="auto" w:fill="auto"/>
        <w:snapToGrid w:val="0"/>
        <w:spacing w:line="288" w:lineRule="auto"/>
        <w:jc w:val="left"/>
        <w:rPr>
          <w:rFonts w:hint="default" w:ascii="Times New Roman" w:hAnsi="Times New Roman" w:cs="Times New Roman"/>
          <w:color w:val="auto"/>
        </w:rPr>
      </w:pPr>
    </w:p>
    <w:p>
      <w:pPr>
        <w:widowControl/>
        <w:shd w:val="clear" w:color="auto" w:fill="auto"/>
        <w:snapToGrid w:val="0"/>
        <w:spacing w:line="288" w:lineRule="auto"/>
        <w:jc w:val="left"/>
        <w:rPr>
          <w:rFonts w:hint="default" w:ascii="Times New Roman" w:hAnsi="Times New Roman" w:cs="Times New Roman"/>
          <w:color w:val="auto"/>
        </w:rPr>
      </w:pPr>
    </w:p>
    <w:p>
      <w:pPr>
        <w:widowControl/>
        <w:shd w:val="clear" w:color="auto" w:fill="auto"/>
        <w:snapToGrid w:val="0"/>
        <w:spacing w:line="288" w:lineRule="auto"/>
        <w:jc w:val="left"/>
        <w:rPr>
          <w:rFonts w:hint="default" w:ascii="Times New Roman" w:hAnsi="Times New Roman" w:cs="Times New Roman"/>
          <w:color w:val="auto"/>
        </w:rPr>
      </w:pPr>
    </w:p>
    <w:p>
      <w:pPr>
        <w:widowControl/>
        <w:shd w:val="clear" w:color="auto" w:fill="auto"/>
        <w:snapToGrid w:val="0"/>
        <w:spacing w:line="288" w:lineRule="auto"/>
        <w:jc w:val="left"/>
        <w:rPr>
          <w:rFonts w:hint="default" w:ascii="Times New Roman" w:hAnsi="Times New Roman" w:cs="Times New Roman"/>
          <w:color w:val="auto"/>
        </w:rPr>
      </w:pPr>
    </w:p>
    <w:p>
      <w:pPr>
        <w:widowControl/>
        <w:shd w:val="clear" w:color="auto" w:fill="auto"/>
        <w:snapToGrid w:val="0"/>
        <w:spacing w:line="288" w:lineRule="auto"/>
        <w:jc w:val="left"/>
        <w:rPr>
          <w:rFonts w:hint="default" w:ascii="Times New Roman" w:hAnsi="Times New Roman" w:cs="Times New Roman"/>
          <w:color w:val="auto"/>
        </w:rPr>
      </w:pPr>
    </w:p>
    <w:p>
      <w:pPr>
        <w:widowControl/>
        <w:shd w:val="clear" w:color="auto" w:fill="auto"/>
        <w:snapToGrid w:val="0"/>
        <w:spacing w:line="288" w:lineRule="auto"/>
        <w:jc w:val="left"/>
        <w:rPr>
          <w:rFonts w:hint="default" w:ascii="Times New Roman" w:hAnsi="Times New Roman" w:cs="Times New Roman"/>
          <w:color w:val="auto"/>
        </w:rPr>
      </w:pPr>
    </w:p>
    <w:p>
      <w:pPr>
        <w:widowControl/>
        <w:shd w:val="clear" w:color="auto" w:fill="auto"/>
        <w:snapToGrid w:val="0"/>
        <w:spacing w:line="288" w:lineRule="auto"/>
        <w:jc w:val="left"/>
        <w:rPr>
          <w:rFonts w:hint="default" w:ascii="Times New Roman" w:hAnsi="Times New Roman" w:cs="Times New Roman"/>
          <w:color w:val="auto"/>
        </w:rPr>
      </w:pPr>
    </w:p>
    <w:p>
      <w:pPr>
        <w:widowControl/>
        <w:shd w:val="clear" w:color="auto" w:fill="auto"/>
        <w:snapToGrid w:val="0"/>
        <w:spacing w:line="288" w:lineRule="auto"/>
        <w:jc w:val="left"/>
        <w:rPr>
          <w:rFonts w:hint="default" w:ascii="Times New Roman" w:hAnsi="Times New Roman" w:cs="Times New Roman"/>
          <w:color w:val="auto"/>
        </w:rPr>
      </w:pPr>
    </w:p>
    <w:p>
      <w:pPr>
        <w:widowControl/>
        <w:shd w:val="clear" w:color="auto" w:fill="auto"/>
        <w:snapToGrid w:val="0"/>
        <w:spacing w:line="288" w:lineRule="auto"/>
        <w:jc w:val="left"/>
        <w:rPr>
          <w:rFonts w:hint="default" w:ascii="Times New Roman" w:hAnsi="Times New Roman" w:cs="Times New Roman"/>
          <w:color w:val="auto"/>
          <w:sz w:val="10"/>
          <w:szCs w:val="10"/>
        </w:rPr>
      </w:pP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6000"/>
        <w:gridCol w:w="1709"/>
      </w:tblGrid>
      <w:tr>
        <w:trPr>
          <w:trHeight w:val="652"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b/>
                <w:bCs/>
                <w:color w:val="auto"/>
                <w:sz w:val="20"/>
                <w:szCs w:val="20"/>
              </w:rPr>
              <w:t>（二）大气污染防治类</w:t>
            </w:r>
          </w:p>
        </w:tc>
      </w:tr>
      <w:tr>
        <w:trPr>
          <w:trHeight w:val="334" w:hRule="atLeast"/>
          <w:jc w:val="center"/>
        </w:trPr>
        <w:tc>
          <w:tcPr>
            <w:tcW w:w="1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序号</w:t>
            </w:r>
          </w:p>
        </w:tc>
        <w:tc>
          <w:tcPr>
            <w:tcW w:w="7709"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sz w:val="20"/>
                <w:szCs w:val="20"/>
              </w:rPr>
              <w:t>8</w:t>
            </w:r>
          </w:p>
        </w:tc>
      </w:tr>
      <w:tr>
        <w:trPr>
          <w:trHeight w:val="652" w:hRule="atLeast"/>
          <w:jc w:val="center"/>
        </w:trPr>
        <w:tc>
          <w:tcPr>
            <w:tcW w:w="1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违法行为</w:t>
            </w:r>
          </w:p>
        </w:tc>
        <w:tc>
          <w:tcPr>
            <w:tcW w:w="7709" w:type="dxa"/>
            <w:gridSpan w:val="2"/>
            <w:vAlign w:val="top"/>
          </w:tcPr>
          <w:p>
            <w:pPr>
              <w:shd w:val="clear" w:color="auto" w:fill="auto"/>
              <w:snapToGrid w:val="0"/>
              <w:spacing w:before="0" w:beforeAutospacing="0" w:after="0" w:afterAutospacing="0" w:line="320" w:lineRule="exact"/>
              <w:ind w:left="0" w:right="0" w:firstLine="420"/>
              <w:jc w:val="left"/>
              <w:outlineLvl w:val="9"/>
              <w:rPr>
                <w:rFonts w:hint="default" w:ascii="Times New Roman" w:hAnsi="Times New Roman" w:cs="Times New Roman"/>
                <w:color w:val="auto"/>
                <w:sz w:val="20"/>
                <w:szCs w:val="20"/>
              </w:rPr>
            </w:pPr>
            <w:bookmarkStart w:id="51" w:name="_Toc30037"/>
            <w:r>
              <w:rPr>
                <w:rFonts w:hint="default" w:ascii="Times New Roman" w:hAnsi="Times New Roman" w:cs="Times New Roman"/>
                <w:color w:val="auto"/>
                <w:sz w:val="20"/>
                <w:szCs w:val="20"/>
              </w:rPr>
              <w:t>未按照规定安装、使用大气污染物排放自动监测设备或者未按照规定与生态环境主管部门的监控设备联网，并保证监测设备正常运行的</w:t>
            </w:r>
            <w:bookmarkEnd w:id="51"/>
          </w:p>
        </w:tc>
      </w:tr>
      <w:tr>
        <w:trPr>
          <w:trHeight w:val="652" w:hRule="atLeast"/>
          <w:jc w:val="center"/>
        </w:trPr>
        <w:tc>
          <w:tcPr>
            <w:tcW w:w="1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违反条款</w:t>
            </w:r>
          </w:p>
        </w:tc>
        <w:tc>
          <w:tcPr>
            <w:tcW w:w="7709" w:type="dxa"/>
            <w:gridSpan w:val="2"/>
            <w:vAlign w:val="top"/>
          </w:tcPr>
          <w:p>
            <w:pPr>
              <w:pStyle w:val="19"/>
              <w:shd w:val="clear" w:color="auto" w:fill="auto"/>
              <w:snapToGrid w:val="0"/>
              <w:spacing w:before="0" w:beforeAutospacing="0" w:after="0" w:afterAutospacing="0" w:line="320" w:lineRule="exact"/>
              <w:ind w:left="0" w:right="0" w:firstLine="357"/>
              <w:rPr>
                <w:rFonts w:hint="default" w:ascii="Times New Roman" w:hAnsi="Times New Roman" w:cs="Times New Roman"/>
                <w:color w:val="auto"/>
                <w:kern w:val="2"/>
                <w:sz w:val="21"/>
                <w:szCs w:val="21"/>
              </w:rPr>
            </w:pPr>
            <w:r>
              <w:rPr>
                <w:rFonts w:hint="default" w:ascii="Times New Roman" w:hAnsi="Times New Roman" w:cs="Times New Roman"/>
                <w:b/>
                <w:bCs/>
                <w:color w:val="auto"/>
                <w:kern w:val="2"/>
                <w:sz w:val="21"/>
                <w:szCs w:val="21"/>
              </w:rPr>
              <w:t>1.《中华人民共和国大气污染防治法》第二十四条第一款</w:t>
            </w:r>
            <w:r>
              <w:rPr>
                <w:rFonts w:hint="default" w:ascii="Times New Roman" w:hAnsi="Times New Roman" w:cs="Times New Roman"/>
                <w:color w:val="auto"/>
                <w:kern w:val="2"/>
                <w:sz w:val="21"/>
                <w:szCs w:val="21"/>
              </w:rPr>
              <w:t xml:space="preserve"> 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p>
          <w:p>
            <w:pPr>
              <w:pStyle w:val="19"/>
              <w:shd w:val="clear" w:color="auto" w:fill="auto"/>
              <w:snapToGrid w:val="0"/>
              <w:spacing w:before="0" w:beforeAutospacing="0" w:after="0" w:afterAutospacing="0" w:line="320" w:lineRule="exact"/>
              <w:ind w:left="0" w:right="0" w:firstLine="357"/>
              <w:rPr>
                <w:rFonts w:hint="default" w:ascii="Times New Roman" w:hAnsi="Times New Roman" w:cs="Times New Roman"/>
                <w:color w:val="auto"/>
                <w:kern w:val="2"/>
                <w:sz w:val="21"/>
                <w:szCs w:val="21"/>
              </w:rPr>
            </w:pPr>
            <w:r>
              <w:rPr>
                <w:rFonts w:hint="default" w:ascii="Times New Roman" w:hAnsi="Times New Roman" w:cs="Times New Roman"/>
                <w:b/>
                <w:color w:val="auto"/>
                <w:kern w:val="2"/>
                <w:sz w:val="21"/>
                <w:szCs w:val="21"/>
              </w:rPr>
              <w:t>2.《河南省大气污染防治条例》</w:t>
            </w:r>
            <w:r>
              <w:rPr>
                <w:rFonts w:hint="default" w:ascii="Times New Roman" w:hAnsi="Times New Roman" w:cs="Times New Roman"/>
                <w:b/>
                <w:bCs/>
                <w:color w:val="auto"/>
                <w:sz w:val="21"/>
                <w:szCs w:val="21"/>
              </w:rPr>
              <w:t xml:space="preserve">第十八条第一款、第二款 </w:t>
            </w:r>
            <w:r>
              <w:rPr>
                <w:rFonts w:hint="default" w:ascii="Times New Roman" w:hAnsi="Times New Roman" w:cs="Times New Roman"/>
                <w:color w:val="auto"/>
                <w:sz w:val="21"/>
                <w:szCs w:val="21"/>
              </w:rPr>
              <w:t xml:space="preserve"> </w:t>
            </w:r>
            <w:r>
              <w:rPr>
                <w:rFonts w:hint="default" w:ascii="Times New Roman" w:hAnsi="Times New Roman" w:cs="Times New Roman"/>
                <w:color w:val="auto"/>
                <w:kern w:val="2"/>
                <w:sz w:val="21"/>
                <w:szCs w:val="21"/>
              </w:rPr>
              <w:t>排放工业废气或者有毒有害大气污染物的企业事业单位和其他生产经营者应当按照国家有关规定和监测规范开展自行监测。不具备监测能力的排污单位，应当委托有资质的监测机构进行监测。接受委托的监测机构，应当遵守环境保护法律、法规和相关技术规范的要求。监测数据应当按照规定的时间如实报送环境保护主管部门，并依法向社会公开。监测数据保存的时间不得少于三年。</w:t>
            </w:r>
          </w:p>
          <w:p>
            <w:pPr>
              <w:pStyle w:val="19"/>
              <w:shd w:val="clear" w:color="auto" w:fill="auto"/>
              <w:snapToGrid w:val="0"/>
              <w:spacing w:before="0" w:beforeAutospacing="0" w:after="0" w:afterAutospacing="0" w:line="320" w:lineRule="exact"/>
              <w:ind w:left="0" w:right="0" w:firstLine="357"/>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重点排污单位和使用每小时二十蒸吨以上燃煤锅炉或者大气污染物排放量与其相当的窑炉的单位，应当安装、使用自动监测设备，并对自动监测数据的真</w:t>
            </w:r>
            <w:r>
              <w:rPr>
                <w:rFonts w:hint="default" w:ascii="Times New Roman" w:hAnsi="Times New Roman" w:cs="Times New Roman"/>
                <w:color w:val="auto"/>
                <w:sz w:val="21"/>
                <w:szCs w:val="21"/>
              </w:rPr>
              <w:t>实性和准确性负责。自动监测设备应当与环境保护主管部门统一监控系统联网。</w:t>
            </w:r>
          </w:p>
        </w:tc>
      </w:tr>
      <w:tr>
        <w:trPr>
          <w:trHeight w:val="652" w:hRule="atLeast"/>
          <w:jc w:val="center"/>
        </w:trPr>
        <w:tc>
          <w:tcPr>
            <w:tcW w:w="1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处罚依据</w:t>
            </w:r>
          </w:p>
        </w:tc>
        <w:tc>
          <w:tcPr>
            <w:tcW w:w="7709" w:type="dxa"/>
            <w:gridSpan w:val="2"/>
            <w:vAlign w:val="top"/>
          </w:tcPr>
          <w:p>
            <w:pPr>
              <w:shd w:val="clear" w:color="auto" w:fill="auto"/>
              <w:spacing w:before="93" w:beforeAutospacing="0" w:after="0" w:afterAutospacing="0" w:line="320" w:lineRule="exact"/>
              <w:ind w:left="0" w:right="0" w:firstLineChars="20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rPr>
              <w:t>1.《中华人民共和国大气污染防治法》第一百</w:t>
            </w:r>
            <w:r>
              <w:rPr>
                <w:rFonts w:hint="default" w:ascii="Times New Roman" w:hAnsi="Times New Roman" w:cs="Times New Roman"/>
                <w:b/>
                <w:bCs/>
                <w:color w:val="auto"/>
                <w:kern w:val="2"/>
                <w:sz w:val="21"/>
                <w:szCs w:val="21"/>
                <w:shd w:val="clear" w:color="auto" w:fill="auto"/>
              </w:rPr>
              <w:t>条第（三）项</w:t>
            </w:r>
            <w:r>
              <w:rPr>
                <w:rFonts w:hint="default" w:ascii="Times New Roman" w:hAnsi="Times New Roman" w:cs="Times New Roman"/>
                <w:color w:val="auto"/>
                <w:kern w:val="2"/>
                <w:sz w:val="21"/>
                <w:szCs w:val="21"/>
                <w:shd w:val="clear" w:color="auto" w:fill="auto"/>
              </w:rPr>
              <w:t xml:space="preserve"> </w:t>
            </w:r>
            <w:r>
              <w:rPr>
                <w:rFonts w:hint="default" w:ascii="Times New Roman" w:hAnsi="Times New Roman" w:eastAsia="宋体" w:cs="Times New Roman"/>
                <w:i w:val="0"/>
                <w:caps w:val="0"/>
                <w:color w:val="auto"/>
                <w:spacing w:val="0"/>
                <w:sz w:val="21"/>
                <w:szCs w:val="21"/>
                <w:shd w:val="clear" w:color="auto" w:fill="auto"/>
              </w:rPr>
              <w:t>违反本法规定，有下列行为之一的，由县级以上人民政府生态环境主管部门责令改正，处二万元以上二十万元以下的罚款；拒不改正的，责令停产整治：</w:t>
            </w:r>
          </w:p>
          <w:p>
            <w:pPr>
              <w:shd w:val="clear" w:color="auto" w:fill="auto"/>
              <w:spacing w:before="0" w:beforeAutospacing="0" w:after="0" w:afterAutospacing="0" w:line="320" w:lineRule="exact"/>
              <w:ind w:left="0" w:right="0" w:firstLineChars="20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（三）未按照规定安装、使用大气污染物排放自动监测设备或者未按照规定与生态环境主管部门的监控设备联网，并保证监测设备正常运行的。</w:t>
            </w:r>
          </w:p>
          <w:p>
            <w:pPr>
              <w:widowControl/>
              <w:shd w:val="clear" w:color="auto" w:fill="auto"/>
              <w:spacing w:before="0" w:beforeAutospacing="0" w:after="0" w:afterAutospacing="0" w:line="320" w:lineRule="exact"/>
              <w:ind w:left="0" w:right="0" w:firstLine="422" w:firstLineChars="20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b/>
                <w:color w:val="auto"/>
                <w:kern w:val="0"/>
                <w:sz w:val="20"/>
                <w:szCs w:val="20"/>
                <w:shd w:val="clear" w:color="auto" w:fill="auto"/>
              </w:rPr>
              <w:t>2.</w:t>
            </w:r>
            <w:r>
              <w:rPr>
                <w:rFonts w:hint="default" w:ascii="Times New Roman" w:hAnsi="Times New Roman" w:cs="Times New Roman"/>
                <w:b/>
                <w:color w:val="auto"/>
                <w:sz w:val="20"/>
                <w:szCs w:val="20"/>
                <w:shd w:val="clear" w:color="auto" w:fill="auto"/>
              </w:rPr>
              <w:t>《河南省大气污染防治条例》</w:t>
            </w:r>
            <w:r>
              <w:rPr>
                <w:rFonts w:hint="default" w:ascii="Times New Roman" w:hAnsi="Times New Roman" w:cs="Times New Roman"/>
                <w:b/>
                <w:color w:val="auto"/>
                <w:kern w:val="0"/>
                <w:sz w:val="20"/>
                <w:szCs w:val="20"/>
                <w:shd w:val="clear" w:color="auto" w:fill="auto"/>
              </w:rPr>
              <w:t>第六十九条第（一）项</w:t>
            </w:r>
            <w:r>
              <w:rPr>
                <w:rFonts w:hint="default" w:ascii="Times New Roman" w:hAnsi="Times New Roman" w:cs="Times New Roman"/>
                <w:b/>
                <w:color w:val="auto"/>
                <w:kern w:val="0"/>
                <w:sz w:val="20"/>
                <w:szCs w:val="20"/>
                <w:shd w:val="clear" w:color="auto" w:fill="auto"/>
                <w:lang w:val="en-US" w:eastAsia="zh-CN"/>
              </w:rPr>
              <w:t xml:space="preserve"> </w:t>
            </w:r>
            <w:r>
              <w:rPr>
                <w:rFonts w:hint="default" w:ascii="Times New Roman" w:hAnsi="Times New Roman" w:cs="Times New Roman"/>
                <w:color w:val="auto"/>
                <w:sz w:val="20"/>
                <w:szCs w:val="20"/>
                <w:shd w:val="clear" w:color="auto" w:fill="auto"/>
              </w:rPr>
              <w:t>违反本条例第十八条第一款、第二款规定 排放工业废气或者有毒有害大气污染物的企业事业单位和其他生产经营者、重点排污单位、使用每小时二十蒸吨以上燃煤锅炉或者大气污染物排放量与其相当的窑炉的单位，有下列行为之一的，由县级以上人民政府环境保护主管部门责令限期改正，处二万元以上十万元以下罚款；情节严重的，处十万元以上二十万元以下罚款；拒不改正的，责令停产整治：</w:t>
            </w:r>
          </w:p>
          <w:p>
            <w:pPr>
              <w:shd w:val="clear" w:color="auto" w:fill="auto"/>
              <w:spacing w:before="0" w:beforeAutospacing="0" w:after="0" w:afterAutospacing="0" w:line="320" w:lineRule="exact"/>
              <w:ind w:left="0" w:right="0" w:firstLineChars="20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rPr>
              <w:t>（一）未按照规定安装、使用大气污染物排放自动监测设备或者未按照规定与环境保护主管部门监控设备联网，并保证监测设备正常运行的；</w:t>
            </w:r>
          </w:p>
        </w:tc>
      </w:tr>
      <w:tr>
        <w:trPr>
          <w:trHeight w:val="575" w:hRule="atLeast"/>
          <w:jc w:val="center"/>
        </w:trPr>
        <w:tc>
          <w:tcPr>
            <w:tcW w:w="1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600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17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652" w:hRule="atLeast"/>
          <w:jc w:val="center"/>
        </w:trPr>
        <w:tc>
          <w:tcPr>
            <w:tcW w:w="1351" w:type="dxa"/>
            <w:vMerge w:val="restart"/>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6000"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自动监测设备已安装，未按照规定与生态环境主管部门监控设备联网的</w:t>
            </w:r>
          </w:p>
        </w:tc>
        <w:tc>
          <w:tcPr>
            <w:tcW w:w="1709"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90" w:hRule="atLeast"/>
          <w:jc w:val="center"/>
        </w:trPr>
        <w:tc>
          <w:tcPr>
            <w:tcW w:w="1351" w:type="dxa"/>
            <w:vMerge w:val="continue"/>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6000" w:type="dxa"/>
            <w:vAlign w:val="center"/>
          </w:tcPr>
          <w:p>
            <w:pPr>
              <w:shd w:val="clear" w:color="auto" w:fill="auto"/>
              <w:snapToGrid/>
              <w:spacing w:before="0" w:beforeAutospacing="0" w:after="0" w:afterAutospacing="0" w:line="240" w:lineRule="auto"/>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自动监测设备安装、运行维护不符合相关技术规范的</w:t>
            </w:r>
          </w:p>
        </w:tc>
        <w:tc>
          <w:tcPr>
            <w:tcW w:w="17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102" w:hRule="atLeast"/>
          <w:jc w:val="center"/>
        </w:trPr>
        <w:tc>
          <w:tcPr>
            <w:tcW w:w="1351" w:type="dxa"/>
            <w:vMerge w:val="continue"/>
            <w:vAlign w:val="center"/>
          </w:tcPr>
          <w:p>
            <w:pPr>
              <w:shd w:val="clear" w:color="auto" w:fill="auto"/>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6000" w:type="dxa"/>
            <w:vAlign w:val="center"/>
          </w:tcPr>
          <w:p>
            <w:pPr>
              <w:shd w:val="clear" w:color="auto" w:fill="auto"/>
              <w:snapToGrid w:val="0"/>
              <w:spacing w:before="0" w:beforeAutospacing="0" w:after="0" w:afterAutospacing="0" w:line="240" w:lineRule="auto"/>
              <w:ind w:left="0" w:right="0" w:firstLine="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采样方式不符合技术规定</w:t>
            </w:r>
          </w:p>
        </w:tc>
        <w:tc>
          <w:tcPr>
            <w:tcW w:w="1709" w:type="dxa"/>
            <w:vAlign w:val="center"/>
          </w:tcPr>
          <w:p>
            <w:pPr>
              <w:shd w:val="clear" w:color="auto" w:fill="auto"/>
              <w:snapToGrid w:val="0"/>
              <w:spacing w:before="0" w:beforeAutospacing="0" w:after="0" w:afterAutospacing="0" w:line="240" w:lineRule="auto"/>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3</w:t>
            </w:r>
          </w:p>
        </w:tc>
      </w:tr>
      <w:tr>
        <w:trPr>
          <w:trHeight w:val="90" w:hRule="atLeast"/>
          <w:jc w:val="center"/>
        </w:trPr>
        <w:tc>
          <w:tcPr>
            <w:tcW w:w="1351" w:type="dxa"/>
            <w:vMerge w:val="continue"/>
            <w:vAlign w:val="center"/>
          </w:tcPr>
          <w:p>
            <w:pPr>
              <w:shd w:val="clear" w:color="auto" w:fill="auto"/>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6000" w:type="dxa"/>
            <w:vAlign w:val="center"/>
          </w:tcPr>
          <w:p>
            <w:pPr>
              <w:shd w:val="clear" w:color="auto" w:fill="auto"/>
              <w:snapToGrid w:val="0"/>
              <w:spacing w:before="0" w:beforeAutospacing="0" w:after="0" w:afterAutospacing="0" w:line="240" w:lineRule="auto"/>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不按照技术规范传输数据</w:t>
            </w:r>
          </w:p>
        </w:tc>
        <w:tc>
          <w:tcPr>
            <w:tcW w:w="1709" w:type="dxa"/>
            <w:vAlign w:val="center"/>
          </w:tcPr>
          <w:p>
            <w:pPr>
              <w:shd w:val="clear" w:color="auto" w:fill="auto"/>
              <w:snapToGrid w:val="0"/>
              <w:spacing w:before="0" w:beforeAutospacing="0" w:after="0" w:afterAutospacing="0" w:line="240" w:lineRule="auto"/>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652" w:hRule="atLeast"/>
          <w:jc w:val="center"/>
        </w:trPr>
        <w:tc>
          <w:tcPr>
            <w:tcW w:w="1351" w:type="dxa"/>
            <w:vMerge w:val="continue"/>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6000" w:type="dxa"/>
            <w:vAlign w:val="center"/>
          </w:tcPr>
          <w:p>
            <w:pPr>
              <w:shd w:val="clear" w:color="auto" w:fill="auto"/>
              <w:snapToGrid w:val="0"/>
              <w:spacing w:before="0" w:beforeAutospacing="0" w:after="0" w:afterAutospacing="0" w:line="320" w:lineRule="exact"/>
              <w:ind w:left="0" w:right="0" w:firstLine="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未按照规定安装污染物排放自动监测设备，或者擅自停运部分或全部污染源自动监测设备的</w:t>
            </w:r>
          </w:p>
        </w:tc>
        <w:tc>
          <w:tcPr>
            <w:tcW w:w="1709"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5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监测数据</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误差</w:t>
            </w:r>
          </w:p>
        </w:tc>
        <w:tc>
          <w:tcPr>
            <w:tcW w:w="6000" w:type="dxa"/>
            <w:vAlign w:val="center"/>
          </w:tcPr>
          <w:p>
            <w:pPr>
              <w:shd w:val="clear" w:color="auto" w:fill="auto"/>
              <w:snapToGrid w:val="0"/>
              <w:spacing w:before="0" w:beforeAutospacing="0" w:after="0" w:afterAutospacing="0" w:line="24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未保证监测设备正常运行，造成自动监测与人工监测（或者标准物质测试）数据误差超过技术规范允许范围1倍以</w:t>
            </w:r>
            <w:r>
              <w:rPr>
                <w:rFonts w:hint="default" w:ascii="Times New Roman" w:hAnsi="Times New Roman" w:cs="Times New Roman"/>
                <w:color w:val="auto"/>
                <w:sz w:val="20"/>
                <w:szCs w:val="20"/>
                <w:shd w:val="clear" w:color="auto" w:fill="auto"/>
                <w:lang w:eastAsia="zh-CN"/>
              </w:rPr>
              <w:t>下</w:t>
            </w:r>
            <w:r>
              <w:rPr>
                <w:rFonts w:hint="default" w:ascii="Times New Roman" w:hAnsi="Times New Roman" w:cs="Times New Roman"/>
                <w:color w:val="auto"/>
                <w:sz w:val="20"/>
                <w:szCs w:val="20"/>
                <w:shd w:val="clear" w:color="auto" w:fill="auto"/>
              </w:rPr>
              <w:t>的</w:t>
            </w:r>
          </w:p>
        </w:tc>
        <w:tc>
          <w:tcPr>
            <w:tcW w:w="17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5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00" w:type="dxa"/>
            <w:vAlign w:val="center"/>
          </w:tcPr>
          <w:p>
            <w:pPr>
              <w:shd w:val="clear" w:color="auto" w:fill="auto"/>
              <w:snapToGrid w:val="0"/>
              <w:spacing w:before="0" w:beforeAutospacing="0" w:after="0" w:afterAutospacing="0" w:line="24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未保证监测设备正常运行，造成自动监测与人工监测（或者标准物质测试）数据误差超过技术规范允许范围1倍以上2倍以下的</w:t>
            </w:r>
          </w:p>
        </w:tc>
        <w:tc>
          <w:tcPr>
            <w:tcW w:w="17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5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00" w:type="dxa"/>
            <w:vAlign w:val="center"/>
          </w:tcPr>
          <w:p>
            <w:pPr>
              <w:shd w:val="clear" w:color="auto" w:fill="auto"/>
              <w:snapToGrid w:val="0"/>
              <w:spacing w:before="0" w:beforeAutospacing="0" w:after="0" w:afterAutospacing="0" w:line="24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未保证监测设备正常运行，造成自动监测与人工监测（或者标准物质测试）数据误差超过技术规范允许范围2倍以上3倍以下的</w:t>
            </w:r>
          </w:p>
        </w:tc>
        <w:tc>
          <w:tcPr>
            <w:tcW w:w="17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35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00" w:type="dxa"/>
            <w:vAlign w:val="center"/>
          </w:tcPr>
          <w:p>
            <w:pPr>
              <w:shd w:val="clear" w:color="auto" w:fill="auto"/>
              <w:snapToGrid w:val="0"/>
              <w:spacing w:before="0" w:beforeAutospacing="0" w:after="0" w:afterAutospacing="0" w:line="24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未保证自动监测设备正常运行，造成自动监测与人工监测（或者标准物质测试）数据误差超过技术规范允许范围3倍以上的</w:t>
            </w:r>
          </w:p>
        </w:tc>
        <w:tc>
          <w:tcPr>
            <w:tcW w:w="17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5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监测数据</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传输偏差</w:t>
            </w:r>
          </w:p>
        </w:tc>
        <w:tc>
          <w:tcPr>
            <w:tcW w:w="6000" w:type="dxa"/>
            <w:vAlign w:val="center"/>
          </w:tcPr>
          <w:p>
            <w:pPr>
              <w:shd w:val="clear" w:color="auto" w:fill="auto"/>
              <w:snapToGrid w:val="0"/>
              <w:spacing w:before="0" w:beforeAutospacing="0" w:after="0" w:afterAutospacing="0" w:line="24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传输的自动监测数据与现场分析仪表数据不一致，数据偏差1%</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5%</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17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5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00" w:type="dxa"/>
            <w:vAlign w:val="center"/>
          </w:tcPr>
          <w:p>
            <w:pPr>
              <w:shd w:val="clear" w:color="auto" w:fill="auto"/>
              <w:snapToGrid w:val="0"/>
              <w:spacing w:before="0" w:beforeAutospacing="0" w:after="0" w:afterAutospacing="0" w:line="24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传输的自动监测数据与现场分析仪表数据不一致，数据偏差5%</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10%</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17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5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00" w:type="dxa"/>
            <w:vAlign w:val="center"/>
          </w:tcPr>
          <w:p>
            <w:pPr>
              <w:shd w:val="clear" w:color="auto" w:fill="auto"/>
              <w:snapToGrid w:val="0"/>
              <w:spacing w:before="0" w:beforeAutospacing="0" w:after="0" w:afterAutospacing="0" w:line="24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传输的自动监测数据与现场分析仪表数据不一致，数据偏差10%</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的</w:t>
            </w:r>
          </w:p>
        </w:tc>
        <w:tc>
          <w:tcPr>
            <w:tcW w:w="17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5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自动监测</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数据有效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传输率</w:t>
            </w:r>
          </w:p>
        </w:tc>
        <w:tc>
          <w:tcPr>
            <w:tcW w:w="6000" w:type="dxa"/>
            <w:vAlign w:val="center"/>
          </w:tcPr>
          <w:p>
            <w:pPr>
              <w:shd w:val="clear" w:color="auto" w:fill="auto"/>
              <w:snapToGrid w:val="0"/>
              <w:spacing w:before="0" w:beforeAutospacing="0" w:after="0" w:afterAutospacing="0" w:line="24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自动监测季度数据有效传输率</w:t>
            </w:r>
            <w:r>
              <w:rPr>
                <w:rFonts w:hint="eastAsia" w:ascii="Times New Roman" w:hAnsi="Times New Roman" w:cs="Times New Roman"/>
                <w:color w:val="auto"/>
                <w:sz w:val="20"/>
                <w:szCs w:val="20"/>
                <w:shd w:val="clear" w:color="auto" w:fill="auto"/>
                <w:lang w:eastAsia="zh-CN"/>
              </w:rPr>
              <w:t>9</w:t>
            </w:r>
            <w:r>
              <w:rPr>
                <w:rFonts w:hint="eastAsia" w:ascii="Times New Roman" w:hAnsi="Times New Roman" w:cs="Times New Roman"/>
                <w:color w:val="auto"/>
                <w:sz w:val="20"/>
                <w:szCs w:val="20"/>
                <w:shd w:val="clear" w:color="auto" w:fill="auto"/>
                <w:lang w:val="en-US" w:eastAsia="zh-CN"/>
              </w:rPr>
              <w:t>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9</w:t>
            </w:r>
            <w:r>
              <w:rPr>
                <w:rFonts w:hint="eastAsia" w:ascii="Times New Roman" w:hAnsi="Times New Roman" w:cs="Times New Roman"/>
                <w:color w:val="auto"/>
                <w:sz w:val="20"/>
                <w:szCs w:val="20"/>
                <w:shd w:val="clear" w:color="auto" w:fill="auto"/>
                <w:lang w:val="en-US" w:eastAsia="zh-CN"/>
              </w:rPr>
              <w:t>9</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17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5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00" w:type="dxa"/>
            <w:vAlign w:val="center"/>
          </w:tcPr>
          <w:p>
            <w:pPr>
              <w:shd w:val="clear" w:color="auto" w:fill="auto"/>
              <w:snapToGrid w:val="0"/>
              <w:spacing w:before="0" w:beforeAutospacing="0" w:after="0" w:afterAutospacing="0" w:line="24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自动监测季度数据有效传输率</w:t>
            </w:r>
            <w:r>
              <w:rPr>
                <w:rFonts w:hint="eastAsia" w:ascii="Times New Roman" w:hAnsi="Times New Roman" w:cs="Times New Roman"/>
                <w:color w:val="auto"/>
                <w:sz w:val="20"/>
                <w:szCs w:val="20"/>
                <w:shd w:val="clear" w:color="auto" w:fill="auto"/>
                <w:lang w:val="en-US" w:eastAsia="zh-CN"/>
              </w:rPr>
              <w:t>85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9</w:t>
            </w:r>
            <w:r>
              <w:rPr>
                <w:rFonts w:hint="eastAsia" w:ascii="Times New Roman" w:hAnsi="Times New Roman" w:cs="Times New Roman"/>
                <w:color w:val="auto"/>
                <w:sz w:val="20"/>
                <w:szCs w:val="20"/>
                <w:shd w:val="clear" w:color="auto" w:fill="auto"/>
                <w:lang w:val="en-US" w:eastAsia="zh-CN"/>
              </w:rPr>
              <w:t>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17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69" w:hRule="atLeast"/>
          <w:jc w:val="center"/>
        </w:trPr>
        <w:tc>
          <w:tcPr>
            <w:tcW w:w="135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00" w:type="dxa"/>
            <w:vAlign w:val="center"/>
          </w:tcPr>
          <w:p>
            <w:pPr>
              <w:shd w:val="clear" w:color="auto" w:fill="auto"/>
              <w:snapToGrid w:val="0"/>
              <w:spacing w:before="0" w:beforeAutospacing="0" w:after="0" w:afterAutospacing="0" w:line="24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自动监测季度数据有效传输率</w:t>
            </w:r>
            <w:r>
              <w:rPr>
                <w:rFonts w:hint="eastAsia" w:ascii="Times New Roman" w:hAnsi="Times New Roman" w:cs="Times New Roman"/>
                <w:color w:val="auto"/>
                <w:sz w:val="20"/>
                <w:szCs w:val="20"/>
                <w:shd w:val="clear" w:color="auto" w:fill="auto"/>
                <w:lang w:val="en-US" w:eastAsia="zh-CN"/>
              </w:rPr>
              <w:t>75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以上</w:t>
            </w:r>
            <w:r>
              <w:rPr>
                <w:rFonts w:hint="eastAsia" w:ascii="Times New Roman" w:hAnsi="Times New Roman" w:cs="Times New Roman"/>
                <w:color w:val="auto"/>
                <w:sz w:val="20"/>
                <w:szCs w:val="20"/>
                <w:shd w:val="clear" w:color="auto" w:fill="auto"/>
                <w:lang w:val="en-US" w:eastAsia="zh-CN"/>
              </w:rPr>
              <w:t>85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17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35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00" w:type="dxa"/>
            <w:vAlign w:val="center"/>
          </w:tcPr>
          <w:p>
            <w:pPr>
              <w:shd w:val="clear" w:color="auto" w:fill="auto"/>
              <w:snapToGrid w:val="0"/>
              <w:spacing w:before="0" w:beforeAutospacing="0" w:after="0" w:afterAutospacing="0" w:line="24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自动监测季度数据有效传输率60%</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75%</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17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4</w:t>
            </w:r>
          </w:p>
        </w:tc>
      </w:tr>
      <w:tr>
        <w:trPr>
          <w:trHeight w:val="369" w:hRule="atLeast"/>
          <w:jc w:val="center"/>
        </w:trPr>
        <w:tc>
          <w:tcPr>
            <w:tcW w:w="135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00" w:type="dxa"/>
            <w:vAlign w:val="center"/>
          </w:tcPr>
          <w:p>
            <w:pPr>
              <w:shd w:val="clear" w:color="auto" w:fill="auto"/>
              <w:snapToGrid w:val="0"/>
              <w:spacing w:before="0" w:beforeAutospacing="0" w:after="0" w:afterAutospacing="0" w:line="24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自动监测季度数据有效传输率60%</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17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51" w:type="dxa"/>
            <w:vMerge w:val="restart"/>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color w:val="auto"/>
                <w:sz w:val="21"/>
                <w:szCs w:val="21"/>
                <w:shd w:val="clear" w:color="auto" w:fill="auto"/>
              </w:rPr>
              <w:t>废气类别</w:t>
            </w:r>
          </w:p>
        </w:tc>
        <w:tc>
          <w:tcPr>
            <w:tcW w:w="6000" w:type="dxa"/>
            <w:vAlign w:val="center"/>
          </w:tcPr>
          <w:p>
            <w:pPr>
              <w:shd w:val="clear" w:color="auto" w:fill="auto"/>
              <w:snapToGrid w:val="0"/>
              <w:spacing w:before="0" w:beforeAutospacing="0" w:after="0" w:afterAutospacing="0" w:line="24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机械、汽车修理废气/畜禽养殖废气</w:t>
            </w:r>
          </w:p>
        </w:tc>
        <w:tc>
          <w:tcPr>
            <w:tcW w:w="1709"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1</w:t>
            </w:r>
          </w:p>
        </w:tc>
      </w:tr>
      <w:tr>
        <w:trPr>
          <w:trHeight w:val="369" w:hRule="atLeast"/>
          <w:jc w:val="center"/>
        </w:trPr>
        <w:tc>
          <w:tcPr>
            <w:tcW w:w="1351" w:type="dxa"/>
            <w:vMerge w:val="continue"/>
            <w:vAlign w:val="center"/>
          </w:tcPr>
          <w:p>
            <w:pPr>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6000" w:type="dxa"/>
            <w:vAlign w:val="center"/>
          </w:tcPr>
          <w:p>
            <w:pPr>
              <w:shd w:val="clear" w:color="auto" w:fill="auto"/>
              <w:snapToGrid w:val="0"/>
              <w:spacing w:before="0" w:beforeAutospacing="0" w:after="0" w:afterAutospacing="0" w:line="24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农业生产、工业扬尘废气/燃煤锅炉废气（30蒸吨以下）</w:t>
            </w:r>
          </w:p>
        </w:tc>
        <w:tc>
          <w:tcPr>
            <w:tcW w:w="1709"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2</w:t>
            </w:r>
          </w:p>
        </w:tc>
      </w:tr>
      <w:tr>
        <w:trPr>
          <w:trHeight w:val="369" w:hRule="atLeast"/>
          <w:jc w:val="center"/>
        </w:trPr>
        <w:tc>
          <w:tcPr>
            <w:tcW w:w="1351" w:type="dxa"/>
            <w:vMerge w:val="continue"/>
            <w:vAlign w:val="center"/>
          </w:tcPr>
          <w:p>
            <w:pPr>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6000" w:type="dxa"/>
            <w:vAlign w:val="center"/>
          </w:tcPr>
          <w:p>
            <w:pPr>
              <w:shd w:val="clear" w:color="auto" w:fill="auto"/>
              <w:snapToGrid w:val="0"/>
              <w:spacing w:before="0" w:beforeAutospacing="0" w:after="0" w:afterAutospacing="0" w:line="24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一般工业废气/含恶臭污染物的废气/医疗废气/实验室废气</w:t>
            </w:r>
          </w:p>
        </w:tc>
        <w:tc>
          <w:tcPr>
            <w:tcW w:w="1709"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3</w:t>
            </w:r>
          </w:p>
        </w:tc>
      </w:tr>
      <w:tr>
        <w:trPr>
          <w:trHeight w:val="369" w:hRule="atLeast"/>
          <w:jc w:val="center"/>
        </w:trPr>
        <w:tc>
          <w:tcPr>
            <w:tcW w:w="1351" w:type="dxa"/>
            <w:vMerge w:val="continue"/>
            <w:vAlign w:val="center"/>
          </w:tcPr>
          <w:p>
            <w:pPr>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6000" w:type="dxa"/>
            <w:vAlign w:val="center"/>
          </w:tcPr>
          <w:p>
            <w:pPr>
              <w:shd w:val="clear" w:color="auto" w:fill="auto"/>
              <w:snapToGrid w:val="0"/>
              <w:spacing w:before="0" w:beforeAutospacing="0" w:after="0" w:afterAutospacing="0" w:line="24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火电、钢铁、石化、水泥、炼焦、有色、化工废气、烟尘/燃煤锅炉废气（30蒸吨以上）</w:t>
            </w:r>
          </w:p>
        </w:tc>
        <w:tc>
          <w:tcPr>
            <w:tcW w:w="1709"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4</w:t>
            </w:r>
          </w:p>
        </w:tc>
      </w:tr>
      <w:tr>
        <w:trPr>
          <w:trHeight w:val="369" w:hRule="atLeast"/>
          <w:jc w:val="center"/>
        </w:trPr>
        <w:tc>
          <w:tcPr>
            <w:tcW w:w="1351" w:type="dxa"/>
            <w:vMerge w:val="continue"/>
            <w:vAlign w:val="center"/>
          </w:tcPr>
          <w:p>
            <w:pPr>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6000" w:type="dxa"/>
            <w:vAlign w:val="center"/>
          </w:tcPr>
          <w:p>
            <w:pPr>
              <w:shd w:val="clear" w:color="auto" w:fill="auto"/>
              <w:snapToGrid w:val="0"/>
              <w:spacing w:before="0" w:beforeAutospacing="0" w:after="0" w:afterAutospacing="0" w:line="24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含有毒有害物质的废气</w:t>
            </w:r>
          </w:p>
        </w:tc>
        <w:tc>
          <w:tcPr>
            <w:tcW w:w="1709"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1"/>
                <w:szCs w:val="21"/>
                <w:shd w:val="clear" w:color="auto" w:fill="auto"/>
              </w:rPr>
              <w:t>5</w:t>
            </w:r>
          </w:p>
        </w:tc>
      </w:tr>
      <w:tr>
        <w:trPr>
          <w:trHeight w:val="369" w:hRule="atLeast"/>
          <w:jc w:val="center"/>
        </w:trPr>
        <w:tc>
          <w:tcPr>
            <w:tcW w:w="135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6000" w:type="dxa"/>
            <w:vAlign w:val="center"/>
          </w:tcPr>
          <w:p>
            <w:pPr>
              <w:shd w:val="clear" w:color="auto" w:fill="auto"/>
              <w:snapToGrid w:val="0"/>
              <w:spacing w:before="0" w:beforeAutospacing="0" w:after="0" w:afterAutospacing="0" w:line="24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17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5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00" w:type="dxa"/>
            <w:vAlign w:val="center"/>
          </w:tcPr>
          <w:p>
            <w:pPr>
              <w:shd w:val="clear" w:color="auto" w:fill="auto"/>
              <w:snapToGrid w:val="0"/>
              <w:spacing w:before="0" w:beforeAutospacing="0" w:after="0" w:afterAutospacing="0" w:line="24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17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35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00" w:type="dxa"/>
            <w:vAlign w:val="center"/>
          </w:tcPr>
          <w:p>
            <w:pPr>
              <w:shd w:val="clear" w:color="auto" w:fill="auto"/>
              <w:snapToGrid w:val="0"/>
              <w:spacing w:before="0" w:beforeAutospacing="0" w:after="0" w:afterAutospacing="0" w:line="24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17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35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00" w:type="dxa"/>
            <w:vAlign w:val="center"/>
          </w:tcPr>
          <w:p>
            <w:pPr>
              <w:shd w:val="clear" w:color="auto" w:fill="auto"/>
              <w:snapToGrid w:val="0"/>
              <w:spacing w:before="0" w:beforeAutospacing="0" w:after="0" w:afterAutospacing="0" w:line="240" w:lineRule="exact"/>
              <w:ind w:left="0" w:right="0" w:firstLine="2520" w:firstLineChars="1200"/>
              <w:jc w:val="both"/>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17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35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6000" w:type="dxa"/>
            <w:vAlign w:val="center"/>
          </w:tcPr>
          <w:p>
            <w:pPr>
              <w:shd w:val="clear" w:color="auto" w:fill="auto"/>
              <w:snapToGrid w:val="0"/>
              <w:spacing w:before="0" w:beforeAutospacing="0" w:after="0" w:afterAutospacing="0" w:line="24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170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69" w:hRule="atLeast"/>
          <w:jc w:val="center"/>
        </w:trPr>
        <w:tc>
          <w:tcPr>
            <w:tcW w:w="135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00" w:type="dxa"/>
            <w:vAlign w:val="center"/>
          </w:tcPr>
          <w:p>
            <w:pPr>
              <w:shd w:val="clear" w:color="auto" w:fill="auto"/>
              <w:snapToGrid w:val="0"/>
              <w:spacing w:before="0" w:beforeAutospacing="0" w:after="0" w:afterAutospacing="0" w:line="24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170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35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00" w:type="dxa"/>
            <w:vAlign w:val="center"/>
          </w:tcPr>
          <w:p>
            <w:pPr>
              <w:shd w:val="clear" w:color="auto" w:fill="auto"/>
              <w:snapToGrid w:val="0"/>
              <w:spacing w:before="0" w:beforeAutospacing="0" w:after="0" w:afterAutospacing="0" w:line="24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170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35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6000" w:type="dxa"/>
            <w:vAlign w:val="center"/>
          </w:tcPr>
          <w:p>
            <w:pPr>
              <w:shd w:val="clear" w:color="auto" w:fill="auto"/>
              <w:snapToGrid w:val="0"/>
              <w:spacing w:before="0" w:beforeAutospacing="0" w:after="0" w:afterAutospacing="0" w:line="24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17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5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00" w:type="dxa"/>
            <w:vAlign w:val="center"/>
          </w:tcPr>
          <w:p>
            <w:pPr>
              <w:shd w:val="clear" w:color="auto" w:fill="auto"/>
              <w:snapToGrid w:val="0"/>
              <w:spacing w:before="0" w:beforeAutospacing="0" w:after="0" w:afterAutospacing="0" w:line="24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17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5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00" w:type="dxa"/>
            <w:vAlign w:val="center"/>
          </w:tcPr>
          <w:p>
            <w:pPr>
              <w:shd w:val="clear" w:color="auto" w:fill="auto"/>
              <w:snapToGrid w:val="0"/>
              <w:spacing w:before="0" w:beforeAutospacing="0" w:after="0" w:afterAutospacing="0" w:line="24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17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5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600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170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5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0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170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35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0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170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35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0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170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709"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widowControl/>
        <w:shd w:val="clear" w:color="auto" w:fill="auto"/>
        <w:snapToGrid w:val="0"/>
        <w:jc w:val="left"/>
        <w:rPr>
          <w:rFonts w:hint="default" w:ascii="Times New Roman" w:hAnsi="Times New Roman" w:cs="Times New Roman"/>
          <w:color w:val="auto"/>
          <w:sz w:val="10"/>
          <w:szCs w:val="10"/>
          <w:shd w:val="clear" w:color="auto" w:fill="auto"/>
        </w:rPr>
      </w:pP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5168"/>
        <w:gridCol w:w="2537"/>
      </w:tblGrid>
      <w:tr>
        <w:trPr>
          <w:trHeight w:val="56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567" w:hRule="atLeast"/>
          <w:jc w:val="center"/>
        </w:trPr>
        <w:tc>
          <w:tcPr>
            <w:tcW w:w="135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05"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eastAsia="宋体" w:cs="Times New Roman"/>
                <w:color w:val="auto"/>
                <w:sz w:val="20"/>
                <w:szCs w:val="20"/>
                <w:shd w:val="clear" w:color="auto" w:fill="auto"/>
                <w:lang w:val="en-US" w:eastAsia="zh-CN"/>
              </w:rPr>
            </w:pPr>
            <w:bookmarkStart w:id="52" w:name="_Toc5018"/>
            <w:r>
              <w:rPr>
                <w:rFonts w:hint="default" w:ascii="Times New Roman" w:hAnsi="Times New Roman" w:cs="Times New Roman"/>
                <w:color w:val="auto"/>
                <w:sz w:val="20"/>
                <w:szCs w:val="20"/>
                <w:shd w:val="clear" w:color="auto" w:fill="auto"/>
                <w:lang w:eastAsia="zh-CN"/>
              </w:rPr>
              <w:t>9</w:t>
            </w:r>
            <w:bookmarkEnd w:id="52"/>
          </w:p>
        </w:tc>
      </w:tr>
      <w:tr>
        <w:trPr>
          <w:trHeight w:val="567" w:hRule="atLeast"/>
          <w:jc w:val="center"/>
        </w:trPr>
        <w:tc>
          <w:tcPr>
            <w:tcW w:w="135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05" w:type="dxa"/>
            <w:gridSpan w:val="2"/>
            <w:vAlign w:val="center"/>
          </w:tcPr>
          <w:p>
            <w:pPr>
              <w:shd w:val="clear" w:color="auto" w:fill="auto"/>
              <w:snapToGrid w:val="0"/>
              <w:spacing w:before="0" w:beforeAutospacing="0" w:after="0" w:afterAutospacing="0" w:line="320" w:lineRule="exact"/>
              <w:ind w:left="0" w:right="0" w:firstLine="420" w:firstLineChars="200"/>
              <w:jc w:val="center"/>
              <w:outlineLvl w:val="9"/>
              <w:rPr>
                <w:rFonts w:hint="default" w:ascii="Times New Roman" w:hAnsi="Times New Roman" w:cs="Times New Roman"/>
                <w:color w:val="auto"/>
                <w:sz w:val="20"/>
                <w:szCs w:val="20"/>
                <w:shd w:val="clear" w:color="auto" w:fill="auto"/>
              </w:rPr>
            </w:pPr>
            <w:bookmarkStart w:id="53" w:name="_Toc20908"/>
            <w:r>
              <w:rPr>
                <w:rFonts w:hint="default" w:ascii="Times New Roman" w:hAnsi="Times New Roman" w:cs="Times New Roman"/>
                <w:color w:val="auto"/>
                <w:sz w:val="20"/>
                <w:szCs w:val="20"/>
                <w:shd w:val="clear" w:color="auto" w:fill="auto"/>
              </w:rPr>
              <w:t>重点排污单位不公开或者不如实公开自动监测数据的</w:t>
            </w:r>
            <w:bookmarkEnd w:id="53"/>
          </w:p>
        </w:tc>
      </w:tr>
      <w:tr>
        <w:trPr>
          <w:trHeight w:val="567" w:hRule="atLeast"/>
          <w:jc w:val="center"/>
        </w:trPr>
        <w:tc>
          <w:tcPr>
            <w:tcW w:w="135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05" w:type="dxa"/>
            <w:gridSpan w:val="2"/>
            <w:vAlign w:val="top"/>
          </w:tcPr>
          <w:p>
            <w:pPr>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1.《中华人民共和国大气污染防治法》第二十四条 </w:t>
            </w:r>
            <w:r>
              <w:rPr>
                <w:rFonts w:hint="default" w:ascii="Times New Roman" w:hAnsi="Times New Roman" w:cs="Times New Roman"/>
                <w:b/>
                <w:bCs/>
                <w:color w:val="auto"/>
                <w:sz w:val="20"/>
                <w:szCs w:val="20"/>
                <w:shd w:val="clear" w:color="auto" w:fill="auto"/>
                <w:lang w:val="en-US"/>
              </w:rPr>
              <w:t>第一款</w:t>
            </w:r>
            <w:r>
              <w:rPr>
                <w:rFonts w:hint="default" w:ascii="Times New Roman" w:hAnsi="Times New Roman" w:cs="Times New Roman"/>
                <w:color w:val="auto"/>
                <w:sz w:val="20"/>
                <w:szCs w:val="20"/>
                <w:shd w:val="clear" w:color="auto" w:fill="auto"/>
              </w:rPr>
              <w:t>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p>
          <w:p>
            <w:pPr>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2.《中华人民共和国大气污染防治法》第二十五条 </w:t>
            </w:r>
            <w:r>
              <w:rPr>
                <w:rFonts w:hint="default" w:ascii="Times New Roman" w:hAnsi="Times New Roman" w:cs="Times New Roman"/>
                <w:color w:val="auto"/>
                <w:sz w:val="20"/>
                <w:szCs w:val="20"/>
                <w:shd w:val="clear" w:color="auto" w:fill="auto"/>
              </w:rPr>
              <w:t>重点排污单位应当对自动监测数据的真实性和准确性负责。生态环境主管部门发现重点排污单位的大气污染物排放自动监测设备传输数据异常，应当及时进行调查。</w:t>
            </w:r>
          </w:p>
          <w:p>
            <w:pPr>
              <w:shd w:val="clear" w:color="auto" w:fill="auto"/>
              <w:snapToGrid w:val="0"/>
              <w:spacing w:before="0" w:beforeAutospacing="0" w:after="0" w:afterAutospacing="0" w:line="320" w:lineRule="exact"/>
              <w:ind w:left="0" w:right="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 xml:space="preserve">    </w:t>
            </w:r>
            <w:r>
              <w:rPr>
                <w:rFonts w:hint="default" w:ascii="Times New Roman" w:hAnsi="Times New Roman" w:cs="Times New Roman"/>
                <w:b/>
                <w:bCs/>
                <w:color w:val="auto"/>
                <w:sz w:val="20"/>
                <w:szCs w:val="20"/>
                <w:shd w:val="clear" w:color="auto" w:fill="auto"/>
              </w:rPr>
              <w:t>3.</w:t>
            </w:r>
            <w:r>
              <w:rPr>
                <w:rFonts w:hint="default" w:ascii="Times New Roman" w:hAnsi="Times New Roman" w:cs="Times New Roman"/>
                <w:color w:val="auto"/>
                <w:sz w:val="20"/>
                <w:szCs w:val="20"/>
                <w:shd w:val="clear" w:color="auto" w:fill="auto"/>
              </w:rPr>
              <w:t>《</w:t>
            </w:r>
            <w:r>
              <w:rPr>
                <w:rFonts w:hint="default" w:ascii="Times New Roman" w:hAnsi="Times New Roman" w:cs="Times New Roman"/>
                <w:b/>
                <w:bCs/>
                <w:color w:val="auto"/>
                <w:sz w:val="20"/>
                <w:szCs w:val="20"/>
                <w:shd w:val="clear" w:color="auto" w:fill="auto"/>
              </w:rPr>
              <w:t>河南省大气污染防治条例</w:t>
            </w:r>
            <w:r>
              <w:rPr>
                <w:rFonts w:hint="default" w:ascii="Times New Roman" w:hAnsi="Times New Roman" w:cs="Times New Roman"/>
                <w:color w:val="auto"/>
                <w:sz w:val="20"/>
                <w:szCs w:val="20"/>
                <w:shd w:val="clear" w:color="auto" w:fill="auto"/>
              </w:rPr>
              <w:t>》</w:t>
            </w:r>
            <w:r>
              <w:rPr>
                <w:rFonts w:hint="default" w:ascii="Times New Roman" w:hAnsi="Times New Roman" w:cs="Times New Roman"/>
                <w:b/>
                <w:bCs/>
                <w:color w:val="auto"/>
                <w:sz w:val="20"/>
                <w:szCs w:val="20"/>
                <w:shd w:val="clear" w:color="auto" w:fill="auto"/>
              </w:rPr>
              <w:t>第十八条</w:t>
            </w:r>
            <w:r>
              <w:rPr>
                <w:rFonts w:hint="default" w:ascii="Times New Roman" w:hAnsi="Times New Roman" w:cs="Times New Roman"/>
                <w:b/>
                <w:bCs/>
                <w:color w:val="auto"/>
                <w:sz w:val="20"/>
                <w:szCs w:val="20"/>
                <w:shd w:val="clear" w:color="auto" w:fill="auto"/>
                <w:lang w:val="en-US"/>
              </w:rPr>
              <w:t>第一款</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lang w:val="en-US"/>
              </w:rPr>
              <w:t>第二款</w:t>
            </w:r>
            <w:r>
              <w:rPr>
                <w:rFonts w:hint="default" w:ascii="Times New Roman" w:hAnsi="Times New Roman" w:cs="Times New Roman"/>
                <w:b/>
                <w:bCs/>
                <w:color w:val="auto"/>
                <w:sz w:val="20"/>
                <w:szCs w:val="20"/>
                <w:shd w:val="clear" w:color="auto" w:fill="auto"/>
              </w:rPr>
              <w:t xml:space="preserve"> </w:t>
            </w:r>
            <w:r>
              <w:rPr>
                <w:rFonts w:hint="default" w:ascii="Times New Roman" w:hAnsi="Times New Roman" w:cs="Times New Roman"/>
                <w:color w:val="auto"/>
                <w:sz w:val="20"/>
                <w:szCs w:val="20"/>
                <w:shd w:val="clear" w:color="auto" w:fill="auto"/>
              </w:rPr>
              <w:t>排放工业废气或者有毒有害大气污染物的企业事业单位和其他生产经营者应当按照国家有关规定和监测规范开展自行监测。不具备监测能力的排污单位，应当委托有资质的监测机构进行监测。接受委托的监测机构，应当遵守环境保护法律、法规和相关技术规范的要求。监测数据应当按照规定的时间如实报送环境保护主管部门，并依法向社会公开。监测数据保存的时间不得少于三年。</w:t>
            </w:r>
          </w:p>
          <w:p>
            <w:pPr>
              <w:shd w:val="clear" w:color="auto" w:fill="auto"/>
              <w:snapToGrid w:val="0"/>
              <w:spacing w:before="0" w:beforeAutospacing="0" w:after="0" w:afterAutospacing="0" w:line="320" w:lineRule="exact"/>
              <w:ind w:left="0" w:right="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 xml:space="preserve">    重点排污单位和使用每小时二十蒸吨以上燃煤锅炉或者大气污染物排放量与其相当的窑炉的单位，应当安装、使用自动监测设备，并对自动监测数据的真实性和准确性负责。自动监测设备应当与环境保护主管部门统一监控系统联网。</w:t>
            </w:r>
          </w:p>
        </w:tc>
      </w:tr>
      <w:tr>
        <w:trPr>
          <w:trHeight w:val="567" w:hRule="atLeast"/>
          <w:jc w:val="center"/>
        </w:trPr>
        <w:tc>
          <w:tcPr>
            <w:tcW w:w="135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05" w:type="dxa"/>
            <w:gridSpan w:val="2"/>
            <w:vAlign w:val="top"/>
          </w:tcPr>
          <w:p>
            <w:pPr>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1.《中华人民共和国大气污染防治法》第一百条</w:t>
            </w:r>
            <w:r>
              <w:rPr>
                <w:rFonts w:hint="default" w:ascii="Times New Roman" w:hAnsi="Times New Roman" w:cs="Times New Roman"/>
                <w:b/>
                <w:bCs/>
                <w:color w:val="auto"/>
                <w:sz w:val="20"/>
                <w:szCs w:val="20"/>
                <w:shd w:val="clear" w:color="auto" w:fill="auto"/>
                <w:lang w:eastAsia="zh-CN"/>
              </w:rPr>
              <w:t>第（四）项</w:t>
            </w:r>
            <w:r>
              <w:rPr>
                <w:rFonts w:hint="default" w:ascii="Times New Roman" w:hAnsi="Times New Roman" w:cs="Times New Roman"/>
                <w:b/>
                <w:bCs/>
                <w:color w:val="auto"/>
                <w:sz w:val="20"/>
                <w:szCs w:val="20"/>
                <w:shd w:val="clear" w:color="auto" w:fill="auto"/>
                <w:lang w:val="en-US" w:eastAsia="zh-CN"/>
              </w:rPr>
              <w:t xml:space="preserve"> </w:t>
            </w:r>
            <w:r>
              <w:rPr>
                <w:rFonts w:hint="default" w:ascii="Times New Roman" w:hAnsi="Times New Roman" w:cs="Times New Roman"/>
                <w:color w:val="auto"/>
                <w:sz w:val="20"/>
                <w:szCs w:val="20"/>
                <w:shd w:val="clear" w:color="auto" w:fill="auto"/>
              </w:rPr>
              <w:t>违反本法规定，有下列行为之一的，由县级以上人民政府生态环境主管部门责令改正，处二万元以上二十万元以下的罚款；拒不改正的，责令停产整治：</w:t>
            </w:r>
          </w:p>
          <w:p>
            <w:pPr>
              <w:shd w:val="clear" w:color="auto" w:fill="auto"/>
              <w:snapToGrid w:val="0"/>
              <w:spacing w:before="0" w:beforeAutospacing="0" w:after="0" w:afterAutospacing="0" w:line="320" w:lineRule="exact"/>
              <w:ind w:left="0" w:right="0" w:firstLine="420"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（四）重点排污单位不公开或者不如实公开自动监测数据的。</w:t>
            </w:r>
          </w:p>
          <w:p>
            <w:pPr>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2.《河南省大气污染防治条例》第六十九条</w:t>
            </w:r>
            <w:r>
              <w:rPr>
                <w:rFonts w:hint="default" w:ascii="Times New Roman" w:hAnsi="Times New Roman" w:cs="Times New Roman"/>
                <w:b/>
                <w:bCs/>
                <w:color w:val="auto"/>
                <w:sz w:val="20"/>
                <w:szCs w:val="20"/>
                <w:shd w:val="clear" w:color="auto" w:fill="auto"/>
                <w:lang w:eastAsia="zh-CN"/>
              </w:rPr>
              <w:t>第（三）项</w:t>
            </w:r>
            <w:r>
              <w:rPr>
                <w:rFonts w:hint="default" w:ascii="Times New Roman" w:hAnsi="Times New Roman" w:cs="Times New Roman"/>
                <w:b/>
                <w:bCs/>
                <w:color w:val="auto"/>
                <w:sz w:val="20"/>
                <w:szCs w:val="20"/>
                <w:shd w:val="clear" w:color="auto" w:fill="auto"/>
                <w:lang w:val="en-US" w:eastAsia="zh-CN"/>
              </w:rPr>
              <w:t xml:space="preserve"> </w:t>
            </w:r>
            <w:r>
              <w:rPr>
                <w:rFonts w:hint="default" w:ascii="Times New Roman" w:hAnsi="Times New Roman" w:cs="Times New Roman"/>
                <w:color w:val="auto"/>
                <w:sz w:val="20"/>
                <w:szCs w:val="20"/>
                <w:shd w:val="clear" w:color="auto" w:fill="auto"/>
              </w:rPr>
              <w:t>违反本条例第十八条第一款、第二款规定，排放工业废气或者有毒有害大气污染物的企业事业单位和其他生产经营者、重点排污单位、使用每小时二十蒸吨以上燃煤锅炉或者大气污染物排放量与其相当的窑炉的单位，有下列行为之一的，由县级以上人民政府环境保护主管部门责令限期改正，处二万元以上十万元以下罚款；情节严重的，处十万元以上二十万元以下罚款；拒不改正的，责令停产整治：</w:t>
            </w:r>
          </w:p>
          <w:p>
            <w:pPr>
              <w:shd w:val="clear" w:color="auto" w:fill="auto"/>
              <w:snapToGrid w:val="0"/>
              <w:spacing w:before="0" w:beforeAutospacing="0" w:after="0" w:afterAutospacing="0" w:line="320" w:lineRule="exact"/>
              <w:ind w:left="0" w:right="0" w:firstLine="420"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（三）不公开或者不如实公开自动监测数据信息的。</w:t>
            </w:r>
          </w:p>
        </w:tc>
      </w:tr>
      <w:tr>
        <w:trPr>
          <w:trHeight w:val="567" w:hRule="atLeast"/>
          <w:jc w:val="center"/>
        </w:trPr>
        <w:tc>
          <w:tcPr>
            <w:tcW w:w="135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567" w:hRule="atLeast"/>
          <w:jc w:val="center"/>
        </w:trPr>
        <w:tc>
          <w:tcPr>
            <w:tcW w:w="1355"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未完全公开污染物排放信息</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567"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未公开污染物排放信息</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567"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公开污染物排放信息存在弄虚作假的</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55" w:type="dxa"/>
            <w:vMerge w:val="restart"/>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color w:val="auto"/>
                <w:sz w:val="21"/>
                <w:szCs w:val="21"/>
                <w:shd w:val="clear" w:color="auto" w:fill="auto"/>
              </w:rPr>
              <w:t>废气类别</w:t>
            </w:r>
          </w:p>
        </w:tc>
        <w:tc>
          <w:tcPr>
            <w:tcW w:w="5168"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机械、汽车修理废气/畜禽养殖废气</w:t>
            </w:r>
          </w:p>
        </w:tc>
        <w:tc>
          <w:tcPr>
            <w:tcW w:w="2537"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1</w:t>
            </w:r>
          </w:p>
        </w:tc>
      </w:tr>
      <w:tr>
        <w:trPr>
          <w:trHeight w:val="397" w:hRule="atLeast"/>
          <w:jc w:val="center"/>
        </w:trPr>
        <w:tc>
          <w:tcPr>
            <w:tcW w:w="1355" w:type="dxa"/>
            <w:vMerge w:val="continue"/>
            <w:vAlign w:val="center"/>
          </w:tcPr>
          <w:p>
            <w:pPr>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农业生产、工业扬尘废气/燃煤锅炉废气（30蒸吨以下）</w:t>
            </w:r>
          </w:p>
        </w:tc>
        <w:tc>
          <w:tcPr>
            <w:tcW w:w="2537"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2</w:t>
            </w:r>
          </w:p>
        </w:tc>
      </w:tr>
      <w:tr>
        <w:trPr>
          <w:trHeight w:val="397" w:hRule="atLeast"/>
          <w:jc w:val="center"/>
        </w:trPr>
        <w:tc>
          <w:tcPr>
            <w:tcW w:w="1355" w:type="dxa"/>
            <w:vMerge w:val="continue"/>
            <w:vAlign w:val="center"/>
          </w:tcPr>
          <w:p>
            <w:pPr>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一般工业废气/含恶臭污染物的废气/医疗废气/实验室废气</w:t>
            </w:r>
          </w:p>
        </w:tc>
        <w:tc>
          <w:tcPr>
            <w:tcW w:w="2537"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3</w:t>
            </w:r>
          </w:p>
        </w:tc>
      </w:tr>
      <w:tr>
        <w:trPr>
          <w:trHeight w:val="397" w:hRule="atLeast"/>
          <w:jc w:val="center"/>
        </w:trPr>
        <w:tc>
          <w:tcPr>
            <w:tcW w:w="1355" w:type="dxa"/>
            <w:vMerge w:val="continue"/>
            <w:vAlign w:val="center"/>
          </w:tcPr>
          <w:p>
            <w:pPr>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火电、钢铁、石化、水泥、炼焦、有色、化工废气、烟尘/燃煤锅炉废气（30蒸吨以上）</w:t>
            </w:r>
          </w:p>
        </w:tc>
        <w:tc>
          <w:tcPr>
            <w:tcW w:w="2537"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4</w:t>
            </w:r>
          </w:p>
        </w:tc>
      </w:tr>
      <w:tr>
        <w:trPr>
          <w:trHeight w:val="397" w:hRule="atLeast"/>
          <w:jc w:val="center"/>
        </w:trPr>
        <w:tc>
          <w:tcPr>
            <w:tcW w:w="1355" w:type="dxa"/>
            <w:vMerge w:val="continue"/>
            <w:vAlign w:val="center"/>
          </w:tcPr>
          <w:p>
            <w:pPr>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含有毒有害物质的废气</w:t>
            </w:r>
          </w:p>
        </w:tc>
        <w:tc>
          <w:tcPr>
            <w:tcW w:w="2537"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5</w:t>
            </w:r>
          </w:p>
        </w:tc>
      </w:tr>
      <w:tr>
        <w:trPr>
          <w:trHeight w:val="397" w:hRule="atLeast"/>
          <w:jc w:val="center"/>
        </w:trPr>
        <w:tc>
          <w:tcPr>
            <w:tcW w:w="1355"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none"/>
                <w:shd w:val="clear" w:color="auto" w:fill="auto"/>
                <w:lang w:val="en-US"/>
              </w:rPr>
            </w:pPr>
            <w:r>
              <w:rPr>
                <w:rFonts w:hint="default" w:ascii="Times New Roman" w:hAnsi="Times New Roman" w:cs="Times New Roman"/>
                <w:b/>
                <w:bCs/>
                <w:color w:val="auto"/>
                <w:sz w:val="20"/>
                <w:szCs w:val="20"/>
                <w:highlight w:val="none"/>
                <w:shd w:val="clear" w:color="auto" w:fill="auto"/>
              </w:rPr>
              <w:t>违法</w:t>
            </w:r>
            <w:r>
              <w:rPr>
                <w:rFonts w:hint="default" w:ascii="Times New Roman" w:hAnsi="Times New Roman" w:cs="Times New Roman"/>
                <w:b/>
                <w:bCs/>
                <w:color w:val="auto"/>
                <w:sz w:val="20"/>
                <w:szCs w:val="20"/>
                <w:highlight w:val="none"/>
                <w:shd w:val="clear" w:color="auto" w:fill="auto"/>
                <w:lang w:val="en-US"/>
              </w:rPr>
              <w:t>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none"/>
                <w:shd w:val="clear" w:color="auto" w:fill="auto"/>
              </w:rPr>
            </w:pPr>
            <w:r>
              <w:rPr>
                <w:rFonts w:hint="default" w:ascii="Times New Roman" w:hAnsi="Times New Roman" w:cs="Times New Roman"/>
                <w:b/>
                <w:bCs/>
                <w:color w:val="auto"/>
                <w:sz w:val="20"/>
                <w:szCs w:val="20"/>
                <w:highlight w:val="none"/>
                <w:shd w:val="clear" w:color="auto" w:fill="auto"/>
                <w:lang w:val="en-US"/>
              </w:rPr>
              <w:t>持续</w:t>
            </w:r>
            <w:r>
              <w:rPr>
                <w:rFonts w:hint="default" w:ascii="Times New Roman" w:hAnsi="Times New Roman" w:cs="Times New Roman"/>
                <w:b/>
                <w:bCs/>
                <w:color w:val="auto"/>
                <w:sz w:val="20"/>
                <w:szCs w:val="20"/>
                <w:highlight w:val="none"/>
                <w:shd w:val="clear" w:color="auto" w:fill="auto"/>
              </w:rPr>
              <w:t>时间</w:t>
            </w:r>
          </w:p>
        </w:tc>
        <w:tc>
          <w:tcPr>
            <w:tcW w:w="516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highlight w:val="none"/>
                <w:shd w:val="clear" w:color="auto" w:fill="auto"/>
              </w:rPr>
            </w:pPr>
            <w:r>
              <w:rPr>
                <w:rFonts w:hint="default" w:ascii="Times New Roman" w:hAnsi="Times New Roman" w:eastAsia="宋体" w:cs="Times New Roman"/>
                <w:color w:val="auto"/>
                <w:kern w:val="2"/>
                <w:sz w:val="21"/>
                <w:szCs w:val="21"/>
                <w:highlight w:val="none"/>
                <w:shd w:val="clear" w:color="auto" w:fill="auto"/>
                <w:lang w:val="en-US" w:eastAsia="zh-CN"/>
              </w:rPr>
              <w:t>1个月</w:t>
            </w:r>
            <w:r>
              <w:rPr>
                <w:rFonts w:hint="default" w:ascii="Times New Roman" w:hAnsi="Times New Roman" w:cs="Times New Roman"/>
                <w:color w:val="auto"/>
                <w:kern w:val="2"/>
                <w:sz w:val="21"/>
                <w:szCs w:val="21"/>
                <w:highlight w:val="none"/>
                <w:shd w:val="clear" w:color="auto" w:fill="auto"/>
                <w:lang w:val="en-US"/>
              </w:rPr>
              <w:t>以下</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highlight w:val="none"/>
                <w:shd w:val="clear" w:color="auto" w:fill="auto"/>
              </w:rPr>
            </w:pPr>
            <w:r>
              <w:rPr>
                <w:rFonts w:hint="default" w:ascii="Times New Roman" w:hAnsi="Times New Roman" w:cs="Times New Roman"/>
                <w:color w:val="auto"/>
                <w:sz w:val="20"/>
                <w:szCs w:val="20"/>
                <w:highlight w:val="none"/>
                <w:shd w:val="clear" w:color="auto" w:fill="auto"/>
              </w:rPr>
              <w:t>1</w:t>
            </w:r>
          </w:p>
        </w:tc>
      </w:tr>
      <w:tr>
        <w:trPr>
          <w:trHeight w:val="397"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highlight w:val="none"/>
                <w:shd w:val="clear" w:color="auto" w:fill="auto"/>
              </w:rPr>
            </w:pPr>
          </w:p>
        </w:tc>
        <w:tc>
          <w:tcPr>
            <w:tcW w:w="516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highlight w:val="none"/>
                <w:shd w:val="clear" w:color="auto" w:fill="auto"/>
              </w:rPr>
            </w:pPr>
            <w:r>
              <w:rPr>
                <w:rFonts w:hint="default" w:ascii="Times New Roman" w:hAnsi="Times New Roman" w:eastAsia="宋体" w:cs="Times New Roman"/>
                <w:color w:val="auto"/>
                <w:kern w:val="2"/>
                <w:sz w:val="21"/>
                <w:szCs w:val="21"/>
                <w:highlight w:val="none"/>
                <w:shd w:val="clear" w:color="auto" w:fill="auto"/>
                <w:lang w:val="en-US" w:eastAsia="zh-CN"/>
              </w:rPr>
              <w:t>1个月以上3个月</w:t>
            </w:r>
            <w:r>
              <w:rPr>
                <w:rFonts w:hint="default" w:ascii="Times New Roman" w:hAnsi="Times New Roman" w:cs="Times New Roman"/>
                <w:color w:val="auto"/>
                <w:kern w:val="2"/>
                <w:sz w:val="21"/>
                <w:szCs w:val="21"/>
                <w:highlight w:val="none"/>
                <w:shd w:val="clear" w:color="auto" w:fill="auto"/>
                <w:lang w:val="en-US"/>
              </w:rPr>
              <w:t>以下</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none"/>
                <w:shd w:val="clear" w:color="auto" w:fill="auto"/>
              </w:rPr>
            </w:pPr>
            <w:r>
              <w:rPr>
                <w:rFonts w:hint="default" w:ascii="Times New Roman" w:hAnsi="Times New Roman" w:cs="Times New Roman"/>
                <w:color w:val="auto"/>
                <w:sz w:val="20"/>
                <w:szCs w:val="20"/>
                <w:highlight w:val="none"/>
                <w:shd w:val="clear" w:color="auto" w:fill="auto"/>
              </w:rPr>
              <w:t>2</w:t>
            </w:r>
          </w:p>
        </w:tc>
      </w:tr>
      <w:tr>
        <w:trPr>
          <w:trHeight w:val="397"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highlight w:val="none"/>
                <w:shd w:val="clear" w:color="auto" w:fill="auto"/>
              </w:rPr>
            </w:pPr>
          </w:p>
        </w:tc>
        <w:tc>
          <w:tcPr>
            <w:tcW w:w="516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highlight w:val="none"/>
                <w:shd w:val="clear" w:color="auto" w:fill="auto"/>
              </w:rPr>
            </w:pPr>
            <w:r>
              <w:rPr>
                <w:rFonts w:hint="default" w:ascii="Times New Roman" w:hAnsi="Times New Roman" w:eastAsia="宋体" w:cs="Times New Roman"/>
                <w:color w:val="auto"/>
                <w:kern w:val="2"/>
                <w:sz w:val="21"/>
                <w:szCs w:val="21"/>
                <w:highlight w:val="none"/>
                <w:shd w:val="clear" w:color="auto" w:fill="auto"/>
                <w:lang w:val="en-US" w:eastAsia="zh-CN"/>
              </w:rPr>
              <w:t>3个月以上</w:t>
            </w:r>
            <w:r>
              <w:rPr>
                <w:rFonts w:hint="default" w:ascii="Times New Roman" w:hAnsi="Times New Roman" w:cs="Times New Roman"/>
                <w:color w:val="auto"/>
                <w:kern w:val="2"/>
                <w:sz w:val="21"/>
                <w:szCs w:val="21"/>
                <w:highlight w:val="none"/>
                <w:shd w:val="clear" w:color="auto" w:fill="auto"/>
                <w:lang w:eastAsia="zh-CN"/>
              </w:rPr>
              <w:t>6</w:t>
            </w:r>
            <w:r>
              <w:rPr>
                <w:rFonts w:hint="default" w:ascii="Times New Roman" w:hAnsi="Times New Roman" w:eastAsia="宋体" w:cs="Times New Roman"/>
                <w:color w:val="auto"/>
                <w:kern w:val="2"/>
                <w:sz w:val="21"/>
                <w:szCs w:val="21"/>
                <w:highlight w:val="none"/>
                <w:shd w:val="clear" w:color="auto" w:fill="auto"/>
                <w:lang w:val="en-US" w:eastAsia="zh-CN"/>
              </w:rPr>
              <w:t>个月</w:t>
            </w:r>
            <w:r>
              <w:rPr>
                <w:rFonts w:hint="default" w:ascii="Times New Roman" w:hAnsi="Times New Roman" w:cs="Times New Roman"/>
                <w:color w:val="auto"/>
                <w:kern w:val="2"/>
                <w:sz w:val="21"/>
                <w:szCs w:val="21"/>
                <w:highlight w:val="none"/>
                <w:shd w:val="clear" w:color="auto" w:fill="auto"/>
                <w:lang w:val="en-US"/>
              </w:rPr>
              <w:t>以下</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none"/>
                <w:shd w:val="clear" w:color="auto" w:fill="auto"/>
              </w:rPr>
            </w:pPr>
            <w:r>
              <w:rPr>
                <w:rFonts w:hint="default" w:ascii="Times New Roman" w:hAnsi="Times New Roman" w:cs="Times New Roman"/>
                <w:color w:val="auto"/>
                <w:sz w:val="20"/>
                <w:szCs w:val="20"/>
                <w:highlight w:val="none"/>
                <w:shd w:val="clear" w:color="auto" w:fill="auto"/>
              </w:rPr>
              <w:t>3</w:t>
            </w:r>
          </w:p>
        </w:tc>
      </w:tr>
      <w:tr>
        <w:trPr>
          <w:trHeight w:val="397"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highlight w:val="none"/>
                <w:shd w:val="clear" w:color="auto" w:fill="auto"/>
              </w:rPr>
            </w:pPr>
          </w:p>
        </w:tc>
        <w:tc>
          <w:tcPr>
            <w:tcW w:w="516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val="0"/>
                <w:bCs w:val="0"/>
                <w:color w:val="auto"/>
                <w:sz w:val="20"/>
                <w:szCs w:val="20"/>
                <w:highlight w:val="none"/>
                <w:shd w:val="clear" w:color="auto" w:fill="auto"/>
              </w:rPr>
            </w:pPr>
            <w:r>
              <w:rPr>
                <w:rFonts w:hint="default" w:ascii="Times New Roman" w:hAnsi="Times New Roman" w:cs="Times New Roman"/>
                <w:color w:val="auto"/>
                <w:kern w:val="2"/>
                <w:sz w:val="21"/>
                <w:szCs w:val="21"/>
                <w:highlight w:val="none"/>
                <w:shd w:val="clear" w:color="auto" w:fill="auto"/>
                <w:lang w:val="en-US" w:eastAsia="zh-CN"/>
              </w:rPr>
              <w:t>6</w:t>
            </w:r>
            <w:r>
              <w:rPr>
                <w:rFonts w:hint="default" w:ascii="Times New Roman" w:hAnsi="Times New Roman" w:eastAsia="宋体" w:cs="Times New Roman"/>
                <w:color w:val="auto"/>
                <w:kern w:val="2"/>
                <w:sz w:val="21"/>
                <w:szCs w:val="21"/>
                <w:highlight w:val="none"/>
                <w:shd w:val="clear" w:color="auto" w:fill="auto"/>
                <w:lang w:val="en-US" w:eastAsia="zh-CN"/>
              </w:rPr>
              <w:t>个月以上</w:t>
            </w:r>
            <w:r>
              <w:rPr>
                <w:rFonts w:hint="default" w:ascii="Times New Roman" w:hAnsi="Times New Roman" w:cs="Times New Roman"/>
                <w:color w:val="auto"/>
                <w:kern w:val="2"/>
                <w:sz w:val="21"/>
                <w:szCs w:val="21"/>
                <w:highlight w:val="none"/>
                <w:shd w:val="clear" w:color="auto" w:fill="auto"/>
                <w:lang w:eastAsia="zh-CN"/>
              </w:rPr>
              <w:t>1</w:t>
            </w:r>
            <w:r>
              <w:rPr>
                <w:rFonts w:hint="default" w:ascii="Times New Roman" w:hAnsi="Times New Roman" w:eastAsia="宋体" w:cs="Times New Roman"/>
                <w:color w:val="auto"/>
                <w:kern w:val="2"/>
                <w:sz w:val="21"/>
                <w:szCs w:val="21"/>
                <w:highlight w:val="none"/>
                <w:shd w:val="clear" w:color="auto" w:fill="auto"/>
                <w:lang w:val="en-US" w:eastAsia="zh-CN"/>
              </w:rPr>
              <w:t>年</w:t>
            </w:r>
            <w:r>
              <w:rPr>
                <w:rFonts w:hint="default" w:ascii="Times New Roman" w:hAnsi="Times New Roman" w:cs="Times New Roman"/>
                <w:color w:val="auto"/>
                <w:kern w:val="2"/>
                <w:sz w:val="21"/>
                <w:szCs w:val="21"/>
                <w:highlight w:val="none"/>
                <w:shd w:val="clear" w:color="auto" w:fill="auto"/>
                <w:lang w:val="en-US"/>
              </w:rPr>
              <w:t>以下</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none"/>
                <w:shd w:val="clear" w:color="auto" w:fill="auto"/>
              </w:rPr>
            </w:pPr>
            <w:r>
              <w:rPr>
                <w:rFonts w:hint="default" w:ascii="Times New Roman" w:hAnsi="Times New Roman" w:cs="Times New Roman"/>
                <w:color w:val="auto"/>
                <w:sz w:val="20"/>
                <w:szCs w:val="20"/>
                <w:highlight w:val="none"/>
                <w:shd w:val="clear" w:color="auto" w:fill="auto"/>
              </w:rPr>
              <w:t>4</w:t>
            </w:r>
          </w:p>
        </w:tc>
      </w:tr>
      <w:tr>
        <w:trPr>
          <w:trHeight w:val="397"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highlight w:val="none"/>
                <w:shd w:val="clear" w:color="auto" w:fill="auto"/>
              </w:rPr>
            </w:pPr>
          </w:p>
        </w:tc>
        <w:tc>
          <w:tcPr>
            <w:tcW w:w="51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val="0"/>
                <w:bCs w:val="0"/>
                <w:color w:val="auto"/>
                <w:sz w:val="20"/>
                <w:szCs w:val="20"/>
                <w:highlight w:val="none"/>
                <w:shd w:val="clear" w:color="auto" w:fill="auto"/>
              </w:rPr>
            </w:pPr>
            <w:r>
              <w:rPr>
                <w:rFonts w:hint="default" w:ascii="Times New Roman" w:hAnsi="Times New Roman" w:eastAsia="宋体" w:cs="Times New Roman"/>
                <w:color w:val="auto"/>
                <w:kern w:val="2"/>
                <w:sz w:val="21"/>
                <w:szCs w:val="21"/>
                <w:highlight w:val="none"/>
                <w:shd w:val="clear" w:color="auto" w:fill="auto"/>
                <w:lang w:eastAsia="zh-CN"/>
              </w:rPr>
              <w:t>1</w:t>
            </w:r>
            <w:r>
              <w:rPr>
                <w:rFonts w:hint="default" w:ascii="Times New Roman" w:hAnsi="Times New Roman" w:eastAsia="宋体" w:cs="Times New Roman"/>
                <w:color w:val="auto"/>
                <w:kern w:val="2"/>
                <w:sz w:val="21"/>
                <w:szCs w:val="21"/>
                <w:highlight w:val="none"/>
                <w:shd w:val="clear" w:color="auto" w:fill="auto"/>
                <w:lang w:val="en-US" w:eastAsia="zh-CN"/>
              </w:rPr>
              <w:t>年以上</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none"/>
                <w:shd w:val="clear" w:color="auto" w:fill="auto"/>
              </w:rPr>
            </w:pPr>
            <w:r>
              <w:rPr>
                <w:rFonts w:hint="default" w:ascii="Times New Roman" w:hAnsi="Times New Roman" w:cs="Times New Roman"/>
                <w:color w:val="auto"/>
                <w:sz w:val="20"/>
                <w:szCs w:val="20"/>
                <w:highlight w:val="none"/>
                <w:shd w:val="clear" w:color="auto" w:fill="auto"/>
              </w:rPr>
              <w:t>5</w:t>
            </w:r>
          </w:p>
        </w:tc>
      </w:tr>
      <w:tr>
        <w:trPr>
          <w:trHeight w:val="397" w:hRule="atLeast"/>
          <w:jc w:val="center"/>
        </w:trPr>
        <w:tc>
          <w:tcPr>
            <w:tcW w:w="1355"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改正时间</w:t>
            </w:r>
          </w:p>
        </w:tc>
        <w:tc>
          <w:tcPr>
            <w:tcW w:w="5168"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highlight w:val="none"/>
                <w:shd w:val="clear" w:color="auto" w:fill="auto"/>
                <w:lang w:eastAsia="zh-CN"/>
              </w:rPr>
            </w:pPr>
            <w:r>
              <w:rPr>
                <w:rFonts w:hint="eastAsia" w:ascii="Times New Roman" w:hAnsi="Times New Roman" w:cs="Times New Roman"/>
                <w:color w:val="auto"/>
                <w:kern w:val="2"/>
                <w:sz w:val="21"/>
                <w:szCs w:val="21"/>
                <w:shd w:val="clear" w:color="auto" w:fill="auto"/>
                <w:lang w:eastAsia="zh-CN"/>
              </w:rPr>
              <w:t>限期改正</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highlight w:val="none"/>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35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p>
        </w:tc>
        <w:tc>
          <w:tcPr>
            <w:tcW w:w="51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3天以下</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5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4</w:t>
            </w:r>
          </w:p>
        </w:tc>
      </w:tr>
      <w:tr>
        <w:trPr>
          <w:trHeight w:val="90" w:hRule="atLeast"/>
          <w:jc w:val="center"/>
        </w:trPr>
        <w:tc>
          <w:tcPr>
            <w:tcW w:w="135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5</w:t>
            </w:r>
          </w:p>
        </w:tc>
      </w:tr>
      <w:tr>
        <w:trPr>
          <w:trHeight w:val="462" w:hRule="atLeast"/>
          <w:jc w:val="center"/>
        </w:trPr>
        <w:tc>
          <w:tcPr>
            <w:tcW w:w="1355" w:type="dxa"/>
            <w:vMerge w:val="restart"/>
            <w:vAlign w:val="center"/>
          </w:tcPr>
          <w:p>
            <w:pPr>
              <w:shd w:val="clear" w:color="auto" w:fill="auto"/>
              <w:snapToGrid w:val="0"/>
              <w:spacing w:before="0" w:beforeAutospacing="0" w:after="0" w:afterAutospacing="0" w:line="320" w:lineRule="exact"/>
              <w:ind w:left="0" w:right="0" w:firstLine="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企业规模</w:t>
            </w:r>
          </w:p>
        </w:tc>
        <w:tc>
          <w:tcPr>
            <w:tcW w:w="51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55"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受处罚次数</w:t>
            </w:r>
          </w:p>
        </w:tc>
        <w:tc>
          <w:tcPr>
            <w:tcW w:w="51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55"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521" w:hRule="atLeast"/>
          <w:jc w:val="center"/>
        </w:trPr>
        <w:tc>
          <w:tcPr>
            <w:tcW w:w="135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05" w:type="dxa"/>
            <w:gridSpan w:val="2"/>
            <w:vAlign w:val="center"/>
          </w:tcPr>
          <w:p>
            <w:pPr>
              <w:shd w:val="clear" w:color="auto" w:fill="auto"/>
              <w:snapToGrid w:val="0"/>
              <w:spacing w:before="0" w:beforeAutospacing="0" w:after="0" w:afterAutospacing="0" w:line="320" w:lineRule="exact"/>
              <w:ind w:left="0" w:right="0" w:firstLine="0"/>
              <w:jc w:val="both"/>
              <w:rPr>
                <w:rFonts w:hint="default" w:ascii="Times New Roman" w:hAnsi="Times New Roman" w:eastAsia="宋体" w:cs="Times New Roman"/>
                <w:color w:val="auto"/>
                <w:sz w:val="20"/>
                <w:szCs w:val="20"/>
                <w:shd w:val="clear" w:color="auto" w:fill="auto"/>
                <w:lang w:val="en-US" w:eastAsia="zh-CN"/>
              </w:rPr>
            </w:pPr>
          </w:p>
        </w:tc>
      </w:tr>
    </w:tbl>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5572"/>
        <w:gridCol w:w="2145"/>
      </w:tblGrid>
      <w:tr>
        <w:trPr>
          <w:trHeight w:val="397" w:hRule="atLeast"/>
          <w:jc w:val="center"/>
        </w:trPr>
        <w:tc>
          <w:tcPr>
            <w:tcW w:w="9060" w:type="dxa"/>
            <w:gridSpan w:val="3"/>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97" w:hRule="atLeast"/>
          <w:jc w:val="center"/>
        </w:trPr>
        <w:tc>
          <w:tcPr>
            <w:tcW w:w="1343"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17" w:type="dxa"/>
            <w:gridSpan w:val="2"/>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w:t>
            </w:r>
          </w:p>
        </w:tc>
      </w:tr>
      <w:tr>
        <w:trPr>
          <w:trHeight w:val="397" w:hRule="atLeast"/>
          <w:jc w:val="center"/>
        </w:trPr>
        <w:tc>
          <w:tcPr>
            <w:tcW w:w="1343"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17" w:type="dxa"/>
            <w:gridSpan w:val="2"/>
            <w:vAlign w:val="center"/>
          </w:tcPr>
          <w:p>
            <w:pPr>
              <w:widowControl w:val="0"/>
              <w:shd w:val="clear" w:color="auto" w:fill="auto"/>
              <w:wordWrap/>
              <w:adjustRightInd/>
              <w:snapToGrid w:val="0"/>
              <w:spacing w:before="0" w:beforeAutospacing="0" w:after="0" w:afterAutospacing="0" w:line="300" w:lineRule="exact"/>
              <w:ind w:left="0" w:right="0" w:firstLine="420"/>
              <w:jc w:val="center"/>
              <w:textAlignment w:val="auto"/>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未按照规定设置大气污染物排放口的</w:t>
            </w:r>
          </w:p>
        </w:tc>
      </w:tr>
      <w:tr>
        <w:trPr>
          <w:trHeight w:val="1350" w:hRule="atLeast"/>
          <w:jc w:val="center"/>
        </w:trPr>
        <w:tc>
          <w:tcPr>
            <w:tcW w:w="1343"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17" w:type="dxa"/>
            <w:gridSpan w:val="2"/>
            <w:vAlign w:val="center"/>
          </w:tcPr>
          <w:p>
            <w:pPr>
              <w:widowControl w:val="0"/>
              <w:shd w:val="clear" w:color="auto" w:fill="auto"/>
              <w:wordWrap/>
              <w:adjustRightInd/>
              <w:snapToGrid w:val="0"/>
              <w:spacing w:before="0" w:beforeAutospacing="0" w:after="0" w:afterAutospacing="0" w:line="300" w:lineRule="exact"/>
              <w:ind w:left="0" w:right="0" w:firstLine="422" w:firstLineChars="20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《中华人民共和国大气污染防治法》第二十条</w:t>
            </w:r>
            <w:r>
              <w:rPr>
                <w:rFonts w:hint="default" w:ascii="Times New Roman" w:hAnsi="Times New Roman" w:cs="Times New Roman"/>
                <w:b/>
                <w:bCs/>
                <w:color w:val="auto"/>
                <w:sz w:val="20"/>
                <w:szCs w:val="20"/>
                <w:shd w:val="clear" w:color="auto" w:fill="auto"/>
                <w:lang w:eastAsia="zh-CN"/>
              </w:rPr>
              <w:t>第一款</w:t>
            </w:r>
            <w:r>
              <w:rPr>
                <w:rFonts w:hint="default" w:ascii="Times New Roman" w:hAnsi="Times New Roman" w:cs="Times New Roman"/>
                <w:b/>
                <w:bCs/>
                <w:color w:val="auto"/>
                <w:sz w:val="20"/>
                <w:szCs w:val="20"/>
                <w:shd w:val="clear" w:color="auto" w:fill="auto"/>
              </w:rPr>
              <w:t xml:space="preserve"> </w:t>
            </w:r>
            <w:r>
              <w:rPr>
                <w:rFonts w:hint="default" w:ascii="Times New Roman" w:hAnsi="Times New Roman" w:cs="Times New Roman"/>
                <w:color w:val="auto"/>
                <w:sz w:val="20"/>
                <w:szCs w:val="20"/>
                <w:shd w:val="clear" w:color="auto" w:fill="auto"/>
              </w:rPr>
              <w:t>企业事业单位和其他生产经营者向大气排放污染物的，应当依照法律法规和国务院生态环境主管部门的规定设置大气污染物排放口。</w:t>
            </w:r>
          </w:p>
        </w:tc>
      </w:tr>
      <w:tr>
        <w:trPr>
          <w:trHeight w:val="1567" w:hRule="atLeast"/>
          <w:jc w:val="center"/>
        </w:trPr>
        <w:tc>
          <w:tcPr>
            <w:tcW w:w="1343"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17" w:type="dxa"/>
            <w:gridSpan w:val="2"/>
            <w:vAlign w:val="center"/>
          </w:tcPr>
          <w:p>
            <w:pPr>
              <w:widowControl w:val="0"/>
              <w:shd w:val="clear" w:color="auto" w:fill="auto"/>
              <w:wordWrap/>
              <w:adjustRightInd/>
              <w:snapToGrid w:val="0"/>
              <w:spacing w:before="0" w:beforeAutospacing="0" w:after="0" w:afterAutospacing="0" w:line="300" w:lineRule="exact"/>
              <w:ind w:left="0" w:right="0" w:firstLine="42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《中华人民共和国大气污染防治法》第一百条</w:t>
            </w:r>
            <w:r>
              <w:rPr>
                <w:rFonts w:hint="default" w:ascii="Times New Roman" w:hAnsi="Times New Roman" w:cs="Times New Roman"/>
                <w:b/>
                <w:bCs/>
                <w:color w:val="auto"/>
                <w:sz w:val="20"/>
                <w:szCs w:val="20"/>
                <w:shd w:val="clear" w:color="auto" w:fill="auto"/>
                <w:lang w:eastAsia="zh-CN"/>
              </w:rPr>
              <w:t>第（五）项</w:t>
            </w:r>
            <w:r>
              <w:rPr>
                <w:rFonts w:hint="default" w:ascii="Times New Roman" w:hAnsi="Times New Roman" w:cs="Times New Roman"/>
                <w:b/>
                <w:bCs/>
                <w:color w:val="auto"/>
                <w:sz w:val="20"/>
                <w:szCs w:val="20"/>
                <w:shd w:val="clear" w:color="auto" w:fill="auto"/>
              </w:rPr>
              <w:t xml:space="preserve"> </w:t>
            </w:r>
            <w:r>
              <w:rPr>
                <w:rFonts w:hint="default" w:ascii="Times New Roman" w:hAnsi="Times New Roman" w:cs="Times New Roman"/>
                <w:color w:val="auto"/>
                <w:sz w:val="20"/>
                <w:szCs w:val="20"/>
                <w:shd w:val="clear" w:color="auto" w:fill="auto"/>
              </w:rPr>
              <w:t>违反本法规定，有下列行为之一的，由县级以上人民政府生态环境主管部门责令改正，处二万元以上二十万元以下的罚款；拒不改正的，责令停产整治：</w:t>
            </w:r>
          </w:p>
          <w:p>
            <w:pPr>
              <w:widowControl w:val="0"/>
              <w:shd w:val="clear" w:color="auto" w:fill="auto"/>
              <w:wordWrap/>
              <w:adjustRightInd/>
              <w:snapToGrid w:val="0"/>
              <w:spacing w:before="0" w:beforeAutospacing="0" w:after="0" w:afterAutospacing="0" w:line="300" w:lineRule="exact"/>
              <w:ind w:left="0" w:right="0" w:firstLine="42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（五）未按照规定设置大气污染物排放口的。</w:t>
            </w:r>
          </w:p>
        </w:tc>
      </w:tr>
      <w:tr>
        <w:trPr>
          <w:trHeight w:val="482" w:hRule="atLeast"/>
          <w:jc w:val="center"/>
        </w:trPr>
        <w:tc>
          <w:tcPr>
            <w:tcW w:w="1343"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572"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145"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82" w:hRule="atLeast"/>
          <w:jc w:val="center"/>
        </w:trPr>
        <w:tc>
          <w:tcPr>
            <w:tcW w:w="1343" w:type="dxa"/>
            <w:vMerge w:val="restart"/>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572"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数量多1个或少1个；排污口高度低于标准10%以</w:t>
            </w:r>
            <w:r>
              <w:rPr>
                <w:rFonts w:hint="default" w:ascii="Times New Roman" w:hAnsi="Times New Roman" w:cs="Times New Roman"/>
                <w:color w:val="auto"/>
                <w:sz w:val="20"/>
                <w:szCs w:val="20"/>
                <w:shd w:val="clear" w:color="auto" w:fill="auto"/>
                <w:lang w:eastAsia="zh-CN"/>
              </w:rPr>
              <w:t>下；</w:t>
            </w:r>
          </w:p>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未按规定设置标志牌</w:t>
            </w:r>
          </w:p>
        </w:tc>
        <w:tc>
          <w:tcPr>
            <w:tcW w:w="2145"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82" w:hRule="atLeast"/>
          <w:jc w:val="center"/>
        </w:trPr>
        <w:tc>
          <w:tcPr>
            <w:tcW w:w="1343" w:type="dxa"/>
            <w:vMerge w:val="continue"/>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572"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数量多2个或少2个；排污口高度低于标准10</w:t>
            </w:r>
            <w:r>
              <w:rPr>
                <w:rFonts w:hint="eastAsia" w:ascii="Times New Roman" w:hAnsi="Times New Roman" w:cs="Times New Roman"/>
                <w:color w:val="auto"/>
                <w:sz w:val="20"/>
                <w:szCs w:val="20"/>
                <w:shd w:val="clear" w:color="auto" w:fill="auto"/>
                <w:lang w:val="en-US" w:eastAsia="zh-CN"/>
              </w:rPr>
              <w:t>%以上</w:t>
            </w:r>
            <w:r>
              <w:rPr>
                <w:rFonts w:hint="default" w:ascii="Times New Roman" w:hAnsi="Times New Roman" w:cs="Times New Roman"/>
                <w:color w:val="auto"/>
                <w:sz w:val="20"/>
                <w:szCs w:val="20"/>
                <w:shd w:val="clear" w:color="auto" w:fill="auto"/>
              </w:rPr>
              <w:t>20%</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lang w:eastAsia="zh-CN"/>
              </w:rPr>
              <w:t>；</w:t>
            </w:r>
          </w:p>
        </w:tc>
        <w:tc>
          <w:tcPr>
            <w:tcW w:w="2145"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482" w:hRule="atLeast"/>
          <w:jc w:val="center"/>
        </w:trPr>
        <w:tc>
          <w:tcPr>
            <w:tcW w:w="1343" w:type="dxa"/>
            <w:vMerge w:val="continue"/>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572"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数量多3个或少3个；排污口高度低于标准20</w:t>
            </w:r>
            <w:r>
              <w:rPr>
                <w:rFonts w:hint="eastAsia" w:ascii="Times New Roman" w:hAnsi="Times New Roman" w:cs="Times New Roman"/>
                <w:color w:val="auto"/>
                <w:sz w:val="20"/>
                <w:szCs w:val="20"/>
                <w:shd w:val="clear" w:color="auto" w:fill="auto"/>
                <w:lang w:val="en-US" w:eastAsia="zh-CN"/>
              </w:rPr>
              <w:t>%以上</w:t>
            </w:r>
            <w:r>
              <w:rPr>
                <w:rFonts w:hint="default" w:ascii="Times New Roman" w:hAnsi="Times New Roman" w:cs="Times New Roman"/>
                <w:color w:val="auto"/>
                <w:sz w:val="20"/>
                <w:szCs w:val="20"/>
                <w:shd w:val="clear" w:color="auto" w:fill="auto"/>
              </w:rPr>
              <w:t>30%</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lang w:eastAsia="zh-CN"/>
              </w:rPr>
              <w:t>；</w:t>
            </w:r>
            <w:r>
              <w:rPr>
                <w:rFonts w:hint="default" w:ascii="Times New Roman" w:hAnsi="Times New Roman" w:cs="Times New Roman"/>
                <w:color w:val="auto"/>
                <w:sz w:val="20"/>
                <w:szCs w:val="20"/>
                <w:shd w:val="clear" w:color="auto" w:fill="auto"/>
              </w:rPr>
              <w:t>按规定应间接排放污染物的，经处理后直接排放</w:t>
            </w:r>
          </w:p>
        </w:tc>
        <w:tc>
          <w:tcPr>
            <w:tcW w:w="2145"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482" w:hRule="atLeast"/>
          <w:jc w:val="center"/>
        </w:trPr>
        <w:tc>
          <w:tcPr>
            <w:tcW w:w="1343" w:type="dxa"/>
            <w:vMerge w:val="continue"/>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572"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eastAsia"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数量多4个或少4个；排污口高度低于标准30</w:t>
            </w:r>
            <w:r>
              <w:rPr>
                <w:rFonts w:hint="eastAsia" w:ascii="Times New Roman" w:hAnsi="Times New Roman" w:cs="Times New Roman"/>
                <w:color w:val="auto"/>
                <w:sz w:val="20"/>
                <w:szCs w:val="20"/>
                <w:shd w:val="clear" w:color="auto" w:fill="auto"/>
                <w:lang w:val="en-US" w:eastAsia="zh-CN"/>
              </w:rPr>
              <w:t>%以上</w:t>
            </w:r>
            <w:r>
              <w:rPr>
                <w:rFonts w:hint="default" w:ascii="Times New Roman" w:hAnsi="Times New Roman" w:cs="Times New Roman"/>
                <w:color w:val="auto"/>
                <w:sz w:val="20"/>
                <w:szCs w:val="20"/>
                <w:shd w:val="clear" w:color="auto" w:fill="auto"/>
              </w:rPr>
              <w:t>40%</w:t>
            </w:r>
            <w:r>
              <w:rPr>
                <w:rFonts w:hint="eastAsia" w:ascii="Times New Roman" w:hAnsi="Times New Roman" w:cs="Times New Roman"/>
                <w:color w:val="auto"/>
                <w:sz w:val="20"/>
                <w:szCs w:val="20"/>
                <w:shd w:val="clear" w:color="auto" w:fill="auto"/>
                <w:lang w:eastAsia="zh-CN"/>
              </w:rPr>
              <w:t>以下</w:t>
            </w:r>
          </w:p>
        </w:tc>
        <w:tc>
          <w:tcPr>
            <w:tcW w:w="2145"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482" w:hRule="atLeast"/>
          <w:jc w:val="center"/>
        </w:trPr>
        <w:tc>
          <w:tcPr>
            <w:tcW w:w="1343" w:type="dxa"/>
            <w:vMerge w:val="continue"/>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572"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数量多或少5个</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的；排污口高度低于标准40%以上</w:t>
            </w:r>
          </w:p>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在禁设排污口位置设置排污口；</w:t>
            </w:r>
            <w:r>
              <w:rPr>
                <w:rFonts w:hint="default" w:ascii="Times New Roman" w:hAnsi="Times New Roman" w:cs="Times New Roman"/>
                <w:color w:val="auto"/>
                <w:sz w:val="20"/>
                <w:szCs w:val="20"/>
                <w:shd w:val="clear" w:color="auto" w:fill="auto"/>
              </w:rPr>
              <w:t>按规定应间接排放污染物的，未经处理直接排放/未经处理直接排放</w:t>
            </w:r>
          </w:p>
        </w:tc>
        <w:tc>
          <w:tcPr>
            <w:tcW w:w="2145"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5</w:t>
            </w:r>
          </w:p>
        </w:tc>
      </w:tr>
      <w:tr>
        <w:trPr>
          <w:trHeight w:val="482" w:hRule="atLeast"/>
          <w:jc w:val="center"/>
        </w:trPr>
        <w:tc>
          <w:tcPr>
            <w:tcW w:w="1343" w:type="dxa"/>
            <w:vMerge w:val="restart"/>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color w:val="auto"/>
                <w:sz w:val="21"/>
                <w:szCs w:val="21"/>
                <w:shd w:val="clear" w:color="auto" w:fill="auto"/>
              </w:rPr>
              <w:t>废气类别</w:t>
            </w:r>
          </w:p>
        </w:tc>
        <w:tc>
          <w:tcPr>
            <w:tcW w:w="5572"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机械、汽车修理废气/畜禽养殖废气</w:t>
            </w:r>
          </w:p>
        </w:tc>
        <w:tc>
          <w:tcPr>
            <w:tcW w:w="2145"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1</w:t>
            </w:r>
          </w:p>
        </w:tc>
      </w:tr>
      <w:tr>
        <w:trPr>
          <w:trHeight w:val="482" w:hRule="atLeast"/>
          <w:jc w:val="center"/>
        </w:trPr>
        <w:tc>
          <w:tcPr>
            <w:tcW w:w="1343"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firstLine="420" w:firstLineChars="0"/>
              <w:jc w:val="center"/>
              <w:textAlignment w:val="auto"/>
              <w:rPr>
                <w:rFonts w:hint="default" w:ascii="Times New Roman" w:hAnsi="Times New Roman" w:cs="Times New Roman"/>
                <w:color w:val="auto"/>
                <w:sz w:val="20"/>
                <w:szCs w:val="20"/>
                <w:shd w:val="clear" w:color="auto" w:fill="auto"/>
              </w:rPr>
            </w:pPr>
          </w:p>
        </w:tc>
        <w:tc>
          <w:tcPr>
            <w:tcW w:w="5572"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农业生产、工业扬尘废气/燃煤锅炉废气（30蒸吨以下）</w:t>
            </w:r>
          </w:p>
        </w:tc>
        <w:tc>
          <w:tcPr>
            <w:tcW w:w="2145"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2</w:t>
            </w:r>
          </w:p>
        </w:tc>
      </w:tr>
      <w:tr>
        <w:trPr>
          <w:trHeight w:val="482" w:hRule="atLeast"/>
          <w:jc w:val="center"/>
        </w:trPr>
        <w:tc>
          <w:tcPr>
            <w:tcW w:w="1343"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firstLine="420" w:firstLineChars="0"/>
              <w:jc w:val="center"/>
              <w:textAlignment w:val="auto"/>
              <w:rPr>
                <w:rFonts w:hint="default" w:ascii="Times New Roman" w:hAnsi="Times New Roman" w:cs="Times New Roman"/>
                <w:color w:val="auto"/>
                <w:sz w:val="20"/>
                <w:szCs w:val="20"/>
                <w:shd w:val="clear" w:color="auto" w:fill="auto"/>
              </w:rPr>
            </w:pPr>
          </w:p>
        </w:tc>
        <w:tc>
          <w:tcPr>
            <w:tcW w:w="5572"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一般工业废气/含恶臭污染物的废气/医疗废气/实验室废气</w:t>
            </w:r>
          </w:p>
        </w:tc>
        <w:tc>
          <w:tcPr>
            <w:tcW w:w="2145"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3</w:t>
            </w:r>
          </w:p>
        </w:tc>
      </w:tr>
      <w:tr>
        <w:trPr>
          <w:trHeight w:val="482" w:hRule="atLeast"/>
          <w:jc w:val="center"/>
        </w:trPr>
        <w:tc>
          <w:tcPr>
            <w:tcW w:w="1343"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firstLine="420" w:firstLineChars="0"/>
              <w:jc w:val="center"/>
              <w:textAlignment w:val="auto"/>
              <w:rPr>
                <w:rFonts w:hint="default" w:ascii="Times New Roman" w:hAnsi="Times New Roman" w:cs="Times New Roman"/>
                <w:color w:val="auto"/>
                <w:sz w:val="20"/>
                <w:szCs w:val="20"/>
                <w:shd w:val="clear" w:color="auto" w:fill="auto"/>
              </w:rPr>
            </w:pPr>
          </w:p>
        </w:tc>
        <w:tc>
          <w:tcPr>
            <w:tcW w:w="5572"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火电、钢铁、石化、水泥、炼焦、有色、化工废气、烟尘/燃煤锅炉废气（30蒸吨以上）</w:t>
            </w:r>
          </w:p>
        </w:tc>
        <w:tc>
          <w:tcPr>
            <w:tcW w:w="2145"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4</w:t>
            </w:r>
          </w:p>
        </w:tc>
      </w:tr>
      <w:tr>
        <w:trPr>
          <w:trHeight w:val="482" w:hRule="atLeast"/>
          <w:jc w:val="center"/>
        </w:trPr>
        <w:tc>
          <w:tcPr>
            <w:tcW w:w="1343"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firstLine="420" w:firstLineChars="0"/>
              <w:jc w:val="center"/>
              <w:textAlignment w:val="auto"/>
              <w:rPr>
                <w:rFonts w:hint="default" w:ascii="Times New Roman" w:hAnsi="Times New Roman" w:cs="Times New Roman"/>
                <w:color w:val="auto"/>
                <w:sz w:val="20"/>
                <w:szCs w:val="20"/>
                <w:shd w:val="clear" w:color="auto" w:fill="auto"/>
              </w:rPr>
            </w:pPr>
          </w:p>
        </w:tc>
        <w:tc>
          <w:tcPr>
            <w:tcW w:w="5572"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含有毒有害物质的废气</w:t>
            </w:r>
          </w:p>
        </w:tc>
        <w:tc>
          <w:tcPr>
            <w:tcW w:w="2145"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5</w:t>
            </w:r>
          </w:p>
        </w:tc>
      </w:tr>
      <w:tr>
        <w:trPr>
          <w:trHeight w:val="482" w:hRule="atLeast"/>
          <w:jc w:val="center"/>
        </w:trPr>
        <w:tc>
          <w:tcPr>
            <w:tcW w:w="1343" w:type="dxa"/>
            <w:vMerge w:val="restart"/>
            <w:vAlign w:val="center"/>
          </w:tcPr>
          <w:p>
            <w:pPr>
              <w:widowControl w:val="0"/>
              <w:shd w:val="clear" w:color="auto" w:fill="auto"/>
              <w:wordWrap/>
              <w:adjustRightInd/>
              <w:snapToGrid w:val="0"/>
              <w:spacing w:before="0" w:beforeAutospacing="0" w:after="0" w:afterAutospacing="0" w:line="300" w:lineRule="exact"/>
              <w:ind w:left="0" w:leftChars="0" w:right="0" w:firstLine="0" w:firstLineChars="0"/>
              <w:jc w:val="center"/>
              <w:textAlignment w:val="auto"/>
              <w:rPr>
                <w:rFonts w:hint="default" w:ascii="Times New Roman" w:hAnsi="Times New Roman" w:cs="Times New Roman"/>
                <w:b/>
                <w:color w:val="auto"/>
                <w:sz w:val="20"/>
                <w:szCs w:val="20"/>
                <w:shd w:val="clear" w:color="auto" w:fill="auto"/>
                <w:lang w:eastAsia="zh-CN"/>
              </w:rPr>
            </w:pPr>
            <w:r>
              <w:rPr>
                <w:rFonts w:hint="default" w:ascii="Times New Roman" w:hAnsi="Times New Roman" w:cs="Times New Roman"/>
                <w:b/>
                <w:color w:val="auto"/>
                <w:sz w:val="20"/>
                <w:szCs w:val="20"/>
                <w:shd w:val="clear" w:color="auto" w:fill="auto"/>
                <w:lang w:eastAsia="zh-CN"/>
              </w:rPr>
              <w:t>排污口</w:t>
            </w:r>
          </w:p>
          <w:p>
            <w:pPr>
              <w:widowControl w:val="0"/>
              <w:shd w:val="clear" w:color="auto" w:fill="auto"/>
              <w:wordWrap/>
              <w:adjustRightInd/>
              <w:snapToGrid w:val="0"/>
              <w:spacing w:before="0" w:beforeAutospacing="0" w:after="0" w:afterAutospacing="0" w:line="300" w:lineRule="exact"/>
              <w:ind w:left="0" w:right="0" w:firstLine="0" w:firstLineChars="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b/>
                <w:color w:val="auto"/>
                <w:sz w:val="20"/>
                <w:szCs w:val="20"/>
                <w:shd w:val="clear" w:color="auto" w:fill="auto"/>
                <w:lang w:eastAsia="zh-CN"/>
              </w:rPr>
              <w:t>设置</w:t>
            </w:r>
            <w:r>
              <w:rPr>
                <w:rFonts w:hint="default" w:ascii="Times New Roman" w:hAnsi="Times New Roman" w:cs="Times New Roman"/>
                <w:b/>
                <w:color w:val="auto"/>
                <w:sz w:val="20"/>
                <w:szCs w:val="20"/>
                <w:shd w:val="clear" w:color="auto" w:fill="auto"/>
                <w:lang w:val="en-US"/>
              </w:rPr>
              <w:t>时</w:t>
            </w:r>
            <w:r>
              <w:rPr>
                <w:rFonts w:hint="default" w:ascii="Times New Roman" w:hAnsi="Times New Roman" w:cs="Times New Roman"/>
                <w:b/>
                <w:color w:val="auto"/>
                <w:sz w:val="20"/>
                <w:szCs w:val="20"/>
                <w:shd w:val="clear" w:color="auto" w:fill="auto"/>
                <w:lang w:eastAsia="zh-CN"/>
              </w:rPr>
              <w:t>间</w:t>
            </w:r>
          </w:p>
        </w:tc>
        <w:tc>
          <w:tcPr>
            <w:tcW w:w="5572"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建设项目调试生产期间</w:t>
            </w:r>
          </w:p>
        </w:tc>
        <w:tc>
          <w:tcPr>
            <w:tcW w:w="2145"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482" w:hRule="atLeast"/>
          <w:jc w:val="center"/>
        </w:trPr>
        <w:tc>
          <w:tcPr>
            <w:tcW w:w="1343" w:type="dxa"/>
            <w:vMerge w:val="continue"/>
            <w:tcBorders>
              <w:bottom w:val="single" w:color="auto" w:sz="4" w:space="0"/>
            </w:tcBorders>
            <w:vAlign w:val="center"/>
          </w:tcPr>
          <w:p>
            <w:pPr>
              <w:widowControl w:val="0"/>
              <w:shd w:val="clear" w:color="auto" w:fill="auto"/>
              <w:wordWrap/>
              <w:adjustRightInd/>
              <w:snapToGrid w:val="0"/>
              <w:spacing w:before="0" w:beforeAutospacing="0" w:after="0" w:afterAutospacing="0" w:line="300" w:lineRule="exact"/>
              <w:ind w:left="0" w:right="0" w:firstLine="420"/>
              <w:jc w:val="center"/>
              <w:textAlignment w:val="auto"/>
              <w:rPr>
                <w:rFonts w:hint="default" w:ascii="Times New Roman" w:hAnsi="Times New Roman" w:cs="Times New Roman"/>
                <w:color w:val="auto"/>
                <w:sz w:val="20"/>
                <w:szCs w:val="20"/>
                <w:shd w:val="clear" w:color="auto" w:fill="auto"/>
              </w:rPr>
            </w:pPr>
          </w:p>
        </w:tc>
        <w:tc>
          <w:tcPr>
            <w:tcW w:w="5572" w:type="dxa"/>
            <w:tcBorders>
              <w:bottom w:val="single" w:color="auto" w:sz="4" w:space="0"/>
            </w:tcBorders>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已投入生产</w:t>
            </w:r>
          </w:p>
        </w:tc>
        <w:tc>
          <w:tcPr>
            <w:tcW w:w="2145"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482" w:hRule="atLeast"/>
          <w:jc w:val="center"/>
        </w:trPr>
        <w:tc>
          <w:tcPr>
            <w:tcW w:w="1343" w:type="dxa"/>
            <w:vMerge w:val="restart"/>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排放口</w:t>
            </w:r>
          </w:p>
          <w:p>
            <w:pPr>
              <w:widowControl w:val="0"/>
              <w:shd w:val="clear" w:color="auto" w:fill="auto"/>
              <w:wordWrap/>
              <w:adjustRightInd/>
              <w:snapToGrid w:val="0"/>
              <w:spacing w:before="0" w:beforeAutospacing="0" w:after="0" w:afterAutospacing="0" w:line="300" w:lineRule="exact"/>
              <w:ind w:left="0" w:right="0" w:firstLine="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设置地点</w:t>
            </w:r>
          </w:p>
        </w:tc>
        <w:tc>
          <w:tcPr>
            <w:tcW w:w="5572" w:type="dxa"/>
            <w:tcBorders>
              <w:bottom w:val="single" w:color="auto" w:sz="4" w:space="0"/>
            </w:tcBorders>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符合环境功能区划</w:t>
            </w:r>
          </w:p>
        </w:tc>
        <w:tc>
          <w:tcPr>
            <w:tcW w:w="2145"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eastAsia"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482" w:hRule="atLeast"/>
          <w:jc w:val="center"/>
        </w:trPr>
        <w:tc>
          <w:tcPr>
            <w:tcW w:w="1343" w:type="dxa"/>
            <w:vMerge w:val="continue"/>
            <w:vAlign w:val="center"/>
          </w:tcPr>
          <w:p>
            <w:pPr>
              <w:widowControl w:val="0"/>
              <w:shd w:val="clear" w:color="auto" w:fill="auto"/>
              <w:wordWrap/>
              <w:adjustRightInd/>
              <w:snapToGrid w:val="0"/>
              <w:spacing w:before="0" w:beforeAutospacing="0" w:after="0" w:afterAutospacing="0" w:line="300" w:lineRule="exact"/>
              <w:ind w:left="0" w:right="0" w:firstLine="0"/>
              <w:jc w:val="center"/>
              <w:textAlignment w:val="auto"/>
              <w:rPr>
                <w:rFonts w:hint="default" w:ascii="Times New Roman" w:hAnsi="Times New Roman" w:cs="Times New Roman"/>
                <w:b/>
                <w:bCs/>
                <w:color w:val="auto"/>
                <w:sz w:val="20"/>
                <w:szCs w:val="20"/>
                <w:shd w:val="clear" w:color="auto" w:fill="auto"/>
              </w:rPr>
            </w:pPr>
          </w:p>
        </w:tc>
        <w:tc>
          <w:tcPr>
            <w:tcW w:w="5572" w:type="dxa"/>
            <w:tcBorders>
              <w:bottom w:val="single" w:color="auto" w:sz="4" w:space="0"/>
            </w:tcBorders>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不符合环境功能区划，但位于居住区、商业交通居民混合区、文化区、工业区和农村地区</w:t>
            </w:r>
          </w:p>
        </w:tc>
        <w:tc>
          <w:tcPr>
            <w:tcW w:w="2145"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eastAsia"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482" w:hRule="atLeast"/>
          <w:jc w:val="center"/>
        </w:trPr>
        <w:tc>
          <w:tcPr>
            <w:tcW w:w="1343" w:type="dxa"/>
            <w:vMerge w:val="continue"/>
            <w:tcBorders>
              <w:bottom w:val="single" w:color="auto" w:sz="4" w:space="0"/>
            </w:tcBorders>
            <w:vAlign w:val="center"/>
          </w:tcPr>
          <w:p>
            <w:pPr>
              <w:widowControl w:val="0"/>
              <w:shd w:val="clear" w:color="auto" w:fill="auto"/>
              <w:wordWrap/>
              <w:adjustRightInd/>
              <w:snapToGrid w:val="0"/>
              <w:spacing w:before="0" w:beforeAutospacing="0" w:after="0" w:afterAutospacing="0" w:line="300" w:lineRule="exact"/>
              <w:ind w:left="0" w:right="0" w:firstLine="420"/>
              <w:jc w:val="center"/>
              <w:textAlignment w:val="auto"/>
              <w:rPr>
                <w:rFonts w:hint="default" w:ascii="Times New Roman" w:hAnsi="Times New Roman" w:cs="Times New Roman"/>
                <w:color w:val="auto"/>
                <w:sz w:val="20"/>
                <w:szCs w:val="20"/>
                <w:shd w:val="clear" w:color="auto" w:fill="auto"/>
              </w:rPr>
            </w:pPr>
          </w:p>
        </w:tc>
        <w:tc>
          <w:tcPr>
            <w:tcW w:w="5572" w:type="dxa"/>
            <w:tcBorders>
              <w:bottom w:val="single" w:color="auto" w:sz="4" w:space="0"/>
            </w:tcBorders>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不符合环境功能区划，但位于自然保护区、风景名胜区和其他需要特殊保护的区域</w:t>
            </w:r>
          </w:p>
        </w:tc>
        <w:tc>
          <w:tcPr>
            <w:tcW w:w="2145"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eastAsia"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43" w:type="dxa"/>
            <w:vMerge w:val="restart"/>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企业规模</w:t>
            </w: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14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43"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14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43"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14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43"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20" w:lineRule="exact"/>
              <w:ind w:left="0" w:right="0" w:firstLine="2310" w:firstLineChars="1100"/>
              <w:jc w:val="both"/>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14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43"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5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14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jc w:val="center"/>
        </w:trPr>
        <w:tc>
          <w:tcPr>
            <w:tcW w:w="1343"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14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jc w:val="center"/>
        </w:trPr>
        <w:tc>
          <w:tcPr>
            <w:tcW w:w="1343"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14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jc w:val="center"/>
        </w:trPr>
        <w:tc>
          <w:tcPr>
            <w:tcW w:w="1343"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14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jc w:val="center"/>
        </w:trPr>
        <w:tc>
          <w:tcPr>
            <w:tcW w:w="1343"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14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343" w:type="dxa"/>
            <w:vMerge w:val="restart"/>
            <w:vAlign w:val="center"/>
          </w:tcPr>
          <w:p>
            <w:pPr>
              <w:shd w:val="clear" w:color="auto" w:fill="auto"/>
              <w:snapToGrid w:val="0"/>
              <w:spacing w:before="0" w:beforeAutospacing="0" w:after="0" w:afterAutospacing="0" w:line="320" w:lineRule="exact"/>
              <w:ind w:left="0" w:right="0"/>
              <w:jc w:val="both"/>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w:t>
            </w:r>
            <w:r>
              <w:rPr>
                <w:rFonts w:hint="default" w:ascii="Times New Roman" w:hAnsi="Times New Roman" w:cs="Times New Roman"/>
                <w:b/>
                <w:bCs/>
                <w:color w:val="auto"/>
                <w:sz w:val="20"/>
                <w:szCs w:val="20"/>
                <w:shd w:val="clear" w:color="auto" w:fill="auto"/>
              </w:rPr>
              <w:t>次数</w:t>
            </w: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14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43" w:type="dxa"/>
            <w:vMerge w:val="continue"/>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tabs>
                <w:tab w:val="center" w:pos="4153"/>
                <w:tab w:val="right" w:pos="830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145" w:type="dxa"/>
            <w:vAlign w:val="center"/>
          </w:tcPr>
          <w:p>
            <w:pPr>
              <w:shd w:val="clear" w:color="auto" w:fill="auto"/>
              <w:tabs>
                <w:tab w:val="center" w:pos="4153"/>
                <w:tab w:val="right" w:pos="830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43" w:type="dxa"/>
            <w:vMerge w:val="continue"/>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tabs>
                <w:tab w:val="center" w:pos="4153"/>
                <w:tab w:val="right" w:pos="830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145" w:type="dxa"/>
            <w:vAlign w:val="center"/>
          </w:tcPr>
          <w:p>
            <w:pPr>
              <w:shd w:val="clear" w:color="auto" w:fill="auto"/>
              <w:tabs>
                <w:tab w:val="center" w:pos="4153"/>
                <w:tab w:val="right" w:pos="830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4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57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1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4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1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4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1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4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1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17" w:type="dxa"/>
            <w:gridSpan w:val="2"/>
            <w:vAlign w:val="center"/>
          </w:tcPr>
          <w:p>
            <w:pPr>
              <w:shd w:val="clear" w:color="auto" w:fill="auto"/>
              <w:snapToGrid w:val="0"/>
              <w:spacing w:before="0" w:beforeAutospacing="0" w:after="0" w:afterAutospacing="0" w:line="320" w:lineRule="exact"/>
              <w:ind w:left="0" w:right="0" w:firstLine="0"/>
              <w:jc w:val="both"/>
              <w:rPr>
                <w:rFonts w:hint="default" w:ascii="Times New Roman" w:hAnsi="Times New Roman" w:cs="Times New Roman"/>
                <w:color w:val="auto"/>
                <w:sz w:val="20"/>
                <w:szCs w:val="20"/>
                <w:shd w:val="clear" w:color="auto" w:fill="auto"/>
                <w:lang w:val="en-US" w:eastAsia="zh-CN"/>
              </w:rPr>
            </w:pPr>
          </w:p>
        </w:tc>
      </w:tr>
    </w:tbl>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z w:val="10"/>
          <w:szCs w:val="10"/>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5338"/>
        <w:gridCol w:w="2428"/>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97" w:hRule="atLeast"/>
          <w:jc w:val="center"/>
        </w:trPr>
        <w:tc>
          <w:tcPr>
            <w:tcW w:w="12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66"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54" w:name="_Toc14058"/>
            <w:r>
              <w:rPr>
                <w:rFonts w:hint="default" w:ascii="Times New Roman" w:hAnsi="Times New Roman" w:cs="Times New Roman"/>
                <w:color w:val="auto"/>
                <w:sz w:val="20"/>
                <w:szCs w:val="20"/>
                <w:shd w:val="clear" w:color="auto" w:fill="auto"/>
              </w:rPr>
              <w:t>11</w:t>
            </w:r>
            <w:bookmarkEnd w:id="54"/>
          </w:p>
        </w:tc>
      </w:tr>
      <w:tr>
        <w:trPr>
          <w:trHeight w:val="397" w:hRule="atLeast"/>
          <w:jc w:val="center"/>
        </w:trPr>
        <w:tc>
          <w:tcPr>
            <w:tcW w:w="12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66"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55" w:name="_Toc9790"/>
            <w:r>
              <w:rPr>
                <w:rFonts w:hint="default" w:ascii="Times New Roman" w:hAnsi="Times New Roman" w:cs="Times New Roman"/>
                <w:color w:val="auto"/>
                <w:sz w:val="20"/>
                <w:szCs w:val="20"/>
                <w:highlight w:val="none"/>
                <w:shd w:val="clear" w:color="auto" w:fill="auto"/>
              </w:rPr>
              <w:t>燃用</w:t>
            </w:r>
            <w:r>
              <w:rPr>
                <w:rFonts w:hint="default" w:ascii="Times New Roman" w:hAnsi="Times New Roman" w:cs="Times New Roman"/>
                <w:color w:val="auto"/>
                <w:sz w:val="20"/>
                <w:szCs w:val="20"/>
                <w:shd w:val="clear" w:color="auto" w:fill="auto"/>
              </w:rPr>
              <w:t>不符合质量标准的煤炭、石油焦的</w:t>
            </w:r>
            <w:bookmarkEnd w:id="55"/>
          </w:p>
        </w:tc>
      </w:tr>
      <w:tr>
        <w:trPr>
          <w:trHeight w:val="397" w:hRule="atLeast"/>
          <w:jc w:val="center"/>
        </w:trPr>
        <w:tc>
          <w:tcPr>
            <w:tcW w:w="12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66"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《中华人民共和国大气污染防治法》第三十五条第一款</w:t>
            </w:r>
            <w:r>
              <w:rPr>
                <w:rFonts w:hint="default" w:ascii="Times New Roman" w:hAnsi="Times New Roman" w:cs="Times New Roman"/>
                <w:color w:val="auto"/>
                <w:sz w:val="21"/>
                <w:szCs w:val="21"/>
                <w:shd w:val="clear" w:color="auto" w:fill="auto"/>
              </w:rPr>
              <w:t xml:space="preserve"> 国家禁止进口、销售和燃用不符合质量标准的煤炭，鼓励燃用优质煤炭。</w:t>
            </w:r>
          </w:p>
          <w:p>
            <w:pPr>
              <w:pStyle w:val="18"/>
              <w:shd w:val="clear" w:color="auto" w:fill="auto"/>
              <w:snapToGrid w:val="0"/>
              <w:spacing w:before="0" w:beforeAutospacing="0" w:after="0" w:afterAutospacing="0" w:line="320" w:lineRule="exact"/>
              <w:ind w:left="0" w:right="0" w:firstLine="420"/>
              <w:rPr>
                <w:rFonts w:hint="default" w:ascii="Times New Roman" w:hAnsi="Times New Roman" w:eastAsia="宋体" w:cs="Times New Roman"/>
                <w:color w:val="auto"/>
                <w:sz w:val="21"/>
                <w:szCs w:val="21"/>
                <w:shd w:val="clear" w:color="auto" w:fill="auto"/>
                <w:lang w:val="en-US"/>
              </w:rPr>
            </w:pPr>
            <w:r>
              <w:rPr>
                <w:rFonts w:hint="default" w:ascii="Times New Roman" w:hAnsi="Times New Roman" w:cs="Times New Roman"/>
                <w:color w:val="auto"/>
                <w:sz w:val="21"/>
                <w:szCs w:val="21"/>
                <w:shd w:val="clear" w:color="auto" w:fill="auto"/>
                <w:lang w:val="en-US"/>
              </w:rPr>
              <w:t>第三十七条第二款</w:t>
            </w:r>
            <w:r>
              <w:rPr>
                <w:rFonts w:hint="default" w:ascii="Times New Roman" w:hAnsi="Times New Roman" w:cs="Times New Roman"/>
                <w:color w:val="auto"/>
                <w:sz w:val="21"/>
                <w:szCs w:val="21"/>
                <w:shd w:val="clear" w:color="auto" w:fill="auto"/>
                <w:lang/>
              </w:rPr>
              <w:t>禁止进口、销售和燃用不符合质量标准的石油焦。</w:t>
            </w:r>
          </w:p>
        </w:tc>
      </w:tr>
      <w:tr>
        <w:trPr>
          <w:trHeight w:val="397" w:hRule="atLeast"/>
          <w:jc w:val="center"/>
        </w:trPr>
        <w:tc>
          <w:tcPr>
            <w:tcW w:w="12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66"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《中华人民共和国大气污染防治法》第一百零五条</w:t>
            </w:r>
            <w:r>
              <w:rPr>
                <w:rFonts w:hint="default" w:ascii="Times New Roman" w:hAnsi="Times New Roman" w:cs="Times New Roman"/>
                <w:color w:val="auto"/>
                <w:sz w:val="21"/>
                <w:szCs w:val="21"/>
                <w:shd w:val="clear" w:color="auto" w:fill="auto"/>
              </w:rPr>
              <w:t xml:space="preserve"> 违反本法规定，单位燃用不符合质量标准的煤炭、石油焦的，由县级以上人民政府生态环境主管部门责令改正，处货值金额一倍以上三倍以下的罚款。</w:t>
            </w:r>
          </w:p>
        </w:tc>
      </w:tr>
      <w:tr>
        <w:trPr>
          <w:trHeight w:val="471" w:hRule="atLeast"/>
          <w:jc w:val="center"/>
        </w:trPr>
        <w:tc>
          <w:tcPr>
            <w:tcW w:w="12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33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4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54" w:hRule="atLeast"/>
          <w:jc w:val="center"/>
        </w:trPr>
        <w:tc>
          <w:tcPr>
            <w:tcW w:w="1294" w:type="dxa"/>
            <w:vMerge w:val="restart"/>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★煤炭、石油焦质量</w:t>
            </w:r>
          </w:p>
        </w:tc>
        <w:tc>
          <w:tcPr>
            <w:tcW w:w="5338"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超过</w:t>
            </w:r>
            <w:r>
              <w:rPr>
                <w:rFonts w:hint="default" w:ascii="Times New Roman" w:hAnsi="Times New Roman" w:cs="Times New Roman"/>
                <w:color w:val="auto"/>
                <w:sz w:val="20"/>
                <w:szCs w:val="20"/>
                <w:shd w:val="clear" w:color="auto" w:fill="auto"/>
              </w:rPr>
              <w:t>质量标准</w:t>
            </w:r>
            <w:r>
              <w:rPr>
                <w:rFonts w:hint="default" w:ascii="Times New Roman" w:hAnsi="Times New Roman" w:cs="Times New Roman"/>
                <w:color w:val="auto"/>
                <w:sz w:val="20"/>
                <w:szCs w:val="20"/>
                <w:shd w:val="clear" w:color="auto" w:fill="auto"/>
                <w:lang w:val="en-US" w:eastAsia="zh-CN"/>
              </w:rPr>
              <w:t>10%以下</w:t>
            </w:r>
          </w:p>
        </w:tc>
        <w:tc>
          <w:tcPr>
            <w:tcW w:w="2428"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54" w:hRule="atLeast"/>
          <w:jc w:val="center"/>
        </w:trPr>
        <w:tc>
          <w:tcPr>
            <w:tcW w:w="1294" w:type="dxa"/>
            <w:vMerge w:val="continue"/>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38"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超过</w:t>
            </w:r>
            <w:r>
              <w:rPr>
                <w:rFonts w:hint="default" w:ascii="Times New Roman" w:hAnsi="Times New Roman" w:cs="Times New Roman"/>
                <w:color w:val="auto"/>
                <w:sz w:val="20"/>
                <w:szCs w:val="20"/>
                <w:shd w:val="clear" w:color="auto" w:fill="auto"/>
              </w:rPr>
              <w:t>质量标准</w:t>
            </w:r>
            <w:r>
              <w:rPr>
                <w:rFonts w:hint="default" w:ascii="Times New Roman" w:hAnsi="Times New Roman" w:cs="Times New Roman"/>
                <w:color w:val="auto"/>
                <w:sz w:val="20"/>
                <w:szCs w:val="20"/>
                <w:shd w:val="clear" w:color="auto" w:fill="auto"/>
                <w:lang w:val="en-US" w:eastAsia="zh-CN"/>
              </w:rPr>
              <w:t>10%以上30%以下</w:t>
            </w:r>
          </w:p>
        </w:tc>
        <w:tc>
          <w:tcPr>
            <w:tcW w:w="2428"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54" w:hRule="atLeast"/>
          <w:jc w:val="center"/>
        </w:trPr>
        <w:tc>
          <w:tcPr>
            <w:tcW w:w="1294" w:type="dxa"/>
            <w:vMerge w:val="continue"/>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38"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超过质量标准</w:t>
            </w:r>
            <w:r>
              <w:rPr>
                <w:rFonts w:hint="default" w:ascii="Times New Roman" w:hAnsi="Times New Roman" w:cs="Times New Roman"/>
                <w:color w:val="auto"/>
                <w:sz w:val="20"/>
                <w:szCs w:val="20"/>
                <w:shd w:val="clear" w:color="auto" w:fill="auto"/>
                <w:lang w:val="en-US" w:eastAsia="zh-CN"/>
              </w:rPr>
              <w:t>3</w:t>
            </w:r>
            <w:r>
              <w:rPr>
                <w:rFonts w:hint="default" w:ascii="Times New Roman" w:hAnsi="Times New Roman" w:cs="Times New Roman"/>
                <w:color w:val="auto"/>
                <w:sz w:val="20"/>
                <w:szCs w:val="20"/>
                <w:shd w:val="clear" w:color="auto" w:fill="auto"/>
              </w:rPr>
              <w:t>0%以上</w:t>
            </w:r>
            <w:r>
              <w:rPr>
                <w:rFonts w:hint="default" w:ascii="Times New Roman" w:hAnsi="Times New Roman" w:cs="Times New Roman"/>
                <w:color w:val="auto"/>
                <w:sz w:val="20"/>
                <w:szCs w:val="20"/>
                <w:shd w:val="clear" w:color="auto" w:fill="auto"/>
                <w:lang w:val="en-US" w:eastAsia="zh-CN"/>
              </w:rPr>
              <w:t>5</w:t>
            </w:r>
            <w:r>
              <w:rPr>
                <w:rFonts w:hint="default" w:ascii="Times New Roman" w:hAnsi="Times New Roman" w:cs="Times New Roman"/>
                <w:color w:val="auto"/>
                <w:sz w:val="20"/>
                <w:szCs w:val="20"/>
                <w:shd w:val="clear" w:color="auto" w:fill="auto"/>
              </w:rPr>
              <w:t>0%</w:t>
            </w:r>
            <w:r>
              <w:rPr>
                <w:rFonts w:hint="default" w:ascii="Times New Roman" w:hAnsi="Times New Roman" w:cs="Times New Roman"/>
                <w:color w:val="auto"/>
                <w:sz w:val="20"/>
                <w:szCs w:val="20"/>
                <w:shd w:val="clear" w:color="auto" w:fill="auto"/>
                <w:lang w:val="en-US" w:eastAsia="zh-CN"/>
              </w:rPr>
              <w:t>以下</w:t>
            </w:r>
          </w:p>
        </w:tc>
        <w:tc>
          <w:tcPr>
            <w:tcW w:w="2428"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val="0"/>
                <w:bCs w:val="0"/>
                <w:color w:val="auto"/>
                <w:sz w:val="20"/>
                <w:szCs w:val="20"/>
                <w:shd w:val="clear" w:color="auto" w:fill="auto"/>
              </w:rPr>
              <w:t>4</w:t>
            </w:r>
          </w:p>
        </w:tc>
      </w:tr>
      <w:tr>
        <w:trPr>
          <w:trHeight w:val="454" w:hRule="atLeast"/>
          <w:jc w:val="center"/>
        </w:trPr>
        <w:tc>
          <w:tcPr>
            <w:tcW w:w="1294" w:type="dxa"/>
            <w:vMerge w:val="continue"/>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38"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超过.</w:t>
            </w:r>
            <w:r>
              <w:rPr>
                <w:rFonts w:hint="default" w:ascii="Times New Roman" w:hAnsi="Times New Roman" w:cs="Times New Roman"/>
                <w:color w:val="auto"/>
                <w:sz w:val="20"/>
                <w:szCs w:val="20"/>
                <w:shd w:val="clear" w:color="auto" w:fill="auto"/>
              </w:rPr>
              <w:t>质量标准</w:t>
            </w:r>
            <w:r>
              <w:rPr>
                <w:rFonts w:hint="default" w:ascii="Times New Roman" w:hAnsi="Times New Roman" w:cs="Times New Roman"/>
                <w:color w:val="auto"/>
                <w:sz w:val="20"/>
                <w:szCs w:val="20"/>
                <w:shd w:val="clear" w:color="auto" w:fill="auto"/>
                <w:lang w:val="en-US" w:eastAsia="zh-CN"/>
              </w:rPr>
              <w:t>50%以上</w:t>
            </w:r>
          </w:p>
        </w:tc>
        <w:tc>
          <w:tcPr>
            <w:tcW w:w="2428"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54" w:hRule="atLeast"/>
          <w:jc w:val="center"/>
        </w:trPr>
        <w:tc>
          <w:tcPr>
            <w:tcW w:w="129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★累计燃用</w:t>
            </w:r>
          </w:p>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吨数</w:t>
            </w:r>
          </w:p>
        </w:tc>
        <w:tc>
          <w:tcPr>
            <w:tcW w:w="5338" w:type="dxa"/>
            <w:vAlign w:val="center"/>
          </w:tcPr>
          <w:p>
            <w:pPr>
              <w:pStyle w:val="19"/>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燃用不符合质量标准的煤炭</w:t>
            </w:r>
            <w:r>
              <w:rPr>
                <w:rFonts w:hint="default" w:ascii="Times New Roman" w:hAnsi="Times New Roman" w:cs="Times New Roman"/>
                <w:color w:val="auto"/>
                <w:kern w:val="2"/>
                <w:sz w:val="21"/>
                <w:szCs w:val="21"/>
                <w:shd w:val="clear" w:color="auto" w:fill="auto"/>
                <w:lang w:val="en-US" w:eastAsia="zh-CN"/>
              </w:rPr>
              <w:t>2000吨以下/</w:t>
            </w:r>
            <w:r>
              <w:rPr>
                <w:rFonts w:hint="default" w:ascii="Times New Roman" w:hAnsi="Times New Roman" w:cs="Times New Roman"/>
                <w:color w:val="auto"/>
                <w:sz w:val="21"/>
                <w:szCs w:val="21"/>
                <w:shd w:val="clear" w:color="auto" w:fill="auto"/>
              </w:rPr>
              <w:t>燃用不符合质量标准的</w:t>
            </w:r>
            <w:r>
              <w:rPr>
                <w:rFonts w:hint="default" w:ascii="Times New Roman" w:hAnsi="Times New Roman" w:cs="Times New Roman"/>
                <w:color w:val="auto"/>
                <w:kern w:val="2"/>
                <w:sz w:val="21"/>
                <w:szCs w:val="21"/>
                <w:shd w:val="clear" w:color="auto" w:fill="auto"/>
              </w:rPr>
              <w:t>石油焦100吨以下的</w:t>
            </w:r>
          </w:p>
        </w:tc>
        <w:tc>
          <w:tcPr>
            <w:tcW w:w="2428"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54" w:hRule="atLeast"/>
          <w:jc w:val="center"/>
        </w:trPr>
        <w:tc>
          <w:tcPr>
            <w:tcW w:w="1294" w:type="dxa"/>
            <w:vMerge w:val="continue"/>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38"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燃用不符合质量标准的煤炭</w:t>
            </w:r>
            <w:r>
              <w:rPr>
                <w:rFonts w:hint="default" w:ascii="Times New Roman" w:hAnsi="Times New Roman" w:cs="Times New Roman"/>
                <w:color w:val="auto"/>
                <w:kern w:val="2"/>
                <w:sz w:val="21"/>
                <w:szCs w:val="21"/>
                <w:shd w:val="clear" w:color="auto" w:fill="auto"/>
                <w:lang w:val="en-US" w:eastAsia="zh-CN"/>
              </w:rPr>
              <w:t>2000吨以上5000吨以下/</w:t>
            </w:r>
            <w:r>
              <w:rPr>
                <w:rFonts w:hint="default" w:ascii="Times New Roman" w:hAnsi="Times New Roman" w:cs="Times New Roman"/>
                <w:color w:val="auto"/>
                <w:sz w:val="21"/>
                <w:szCs w:val="21"/>
                <w:shd w:val="clear" w:color="auto" w:fill="auto"/>
              </w:rPr>
              <w:t>燃用不符合质量标准的</w:t>
            </w:r>
            <w:r>
              <w:rPr>
                <w:rFonts w:hint="default" w:ascii="Times New Roman" w:hAnsi="Times New Roman" w:cs="Times New Roman"/>
                <w:color w:val="auto"/>
                <w:kern w:val="2"/>
                <w:sz w:val="21"/>
                <w:szCs w:val="21"/>
                <w:shd w:val="clear" w:color="auto" w:fill="auto"/>
              </w:rPr>
              <w:t>石油焦</w:t>
            </w:r>
          </w:p>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100吨以上500吨以下的</w:t>
            </w:r>
          </w:p>
        </w:tc>
        <w:tc>
          <w:tcPr>
            <w:tcW w:w="2428"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54" w:hRule="atLeast"/>
          <w:jc w:val="center"/>
        </w:trPr>
        <w:tc>
          <w:tcPr>
            <w:tcW w:w="1294" w:type="dxa"/>
            <w:vMerge w:val="continue"/>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38"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燃用不符合质量标准的煤炭</w:t>
            </w:r>
            <w:r>
              <w:rPr>
                <w:rFonts w:hint="default" w:ascii="Times New Roman" w:hAnsi="Times New Roman" w:cs="Times New Roman"/>
                <w:color w:val="auto"/>
                <w:sz w:val="20"/>
                <w:szCs w:val="20"/>
                <w:shd w:val="clear" w:color="auto" w:fill="auto"/>
                <w:lang w:val="en-US" w:eastAsia="zh-CN"/>
              </w:rPr>
              <w:t>5000吨以上/</w:t>
            </w:r>
            <w:r>
              <w:rPr>
                <w:rFonts w:hint="default" w:ascii="Times New Roman" w:hAnsi="Times New Roman" w:cs="Times New Roman"/>
                <w:color w:val="auto"/>
                <w:sz w:val="21"/>
                <w:szCs w:val="21"/>
                <w:shd w:val="clear" w:color="auto" w:fill="auto"/>
              </w:rPr>
              <w:t>燃用不符合质量标准的</w:t>
            </w:r>
            <w:r>
              <w:rPr>
                <w:rFonts w:hint="default" w:ascii="Times New Roman" w:hAnsi="Times New Roman" w:cs="Times New Roman"/>
                <w:color w:val="auto"/>
                <w:sz w:val="20"/>
                <w:szCs w:val="20"/>
                <w:shd w:val="clear" w:color="auto" w:fill="auto"/>
              </w:rPr>
              <w:t>石油焦500吨以上的</w:t>
            </w:r>
          </w:p>
        </w:tc>
        <w:tc>
          <w:tcPr>
            <w:tcW w:w="2428"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54" w:hRule="atLeast"/>
          <w:jc w:val="center"/>
        </w:trPr>
        <w:tc>
          <w:tcPr>
            <w:tcW w:w="129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污染防治设施建设使用情况</w:t>
            </w:r>
          </w:p>
        </w:tc>
        <w:tc>
          <w:tcPr>
            <w:tcW w:w="533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rPr>
              <w:t>配套污染防治设施已建成的</w:t>
            </w:r>
          </w:p>
        </w:tc>
        <w:tc>
          <w:tcPr>
            <w:tcW w:w="24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54" w:hRule="atLeast"/>
          <w:jc w:val="center"/>
        </w:trPr>
        <w:tc>
          <w:tcPr>
            <w:tcW w:w="12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3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配套污染防治设施正在建设的</w:t>
            </w:r>
          </w:p>
        </w:tc>
        <w:tc>
          <w:tcPr>
            <w:tcW w:w="24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54" w:hRule="atLeast"/>
          <w:jc w:val="center"/>
        </w:trPr>
        <w:tc>
          <w:tcPr>
            <w:tcW w:w="12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3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配套污染防治设施尚未建设的</w:t>
            </w:r>
          </w:p>
        </w:tc>
        <w:tc>
          <w:tcPr>
            <w:tcW w:w="24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54" w:hRule="atLeast"/>
          <w:jc w:val="center"/>
        </w:trPr>
        <w:tc>
          <w:tcPr>
            <w:tcW w:w="129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燃用地点</w:t>
            </w:r>
          </w:p>
        </w:tc>
        <w:tc>
          <w:tcPr>
            <w:tcW w:w="5338" w:type="dxa"/>
            <w:vAlign w:val="center"/>
          </w:tcPr>
          <w:p>
            <w:pPr>
              <w:shd w:val="clear" w:color="auto" w:fill="auto"/>
              <w:tabs>
                <w:tab w:val="center" w:pos="4153"/>
                <w:tab w:val="right" w:pos="830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居住区、商业交通居民混合区、文化区、工业区和农村地区</w:t>
            </w:r>
          </w:p>
        </w:tc>
        <w:tc>
          <w:tcPr>
            <w:tcW w:w="2428" w:type="dxa"/>
            <w:vAlign w:val="center"/>
          </w:tcPr>
          <w:p>
            <w:pPr>
              <w:shd w:val="clear" w:color="auto" w:fill="auto"/>
              <w:tabs>
                <w:tab w:val="center" w:pos="4153"/>
                <w:tab w:val="right" w:pos="830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54" w:hRule="atLeast"/>
          <w:jc w:val="center"/>
        </w:trPr>
        <w:tc>
          <w:tcPr>
            <w:tcW w:w="12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38" w:type="dxa"/>
            <w:vAlign w:val="center"/>
          </w:tcPr>
          <w:p>
            <w:pPr>
              <w:shd w:val="clear" w:color="auto" w:fill="auto"/>
              <w:tabs>
                <w:tab w:val="center" w:pos="4153"/>
                <w:tab w:val="right" w:pos="830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自然保护区、风景名胜区和其他需要特殊保护的区域</w:t>
            </w:r>
          </w:p>
        </w:tc>
        <w:tc>
          <w:tcPr>
            <w:tcW w:w="2428" w:type="dxa"/>
            <w:vAlign w:val="center"/>
          </w:tcPr>
          <w:p>
            <w:pPr>
              <w:shd w:val="clear" w:color="auto" w:fill="auto"/>
              <w:tabs>
                <w:tab w:val="center" w:pos="4153"/>
                <w:tab w:val="right" w:pos="830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54" w:hRule="atLeast"/>
          <w:jc w:val="center"/>
        </w:trPr>
        <w:tc>
          <w:tcPr>
            <w:tcW w:w="129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企业规模</w:t>
            </w:r>
          </w:p>
        </w:tc>
        <w:tc>
          <w:tcPr>
            <w:tcW w:w="533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4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54" w:hRule="atLeast"/>
          <w:jc w:val="center"/>
        </w:trPr>
        <w:tc>
          <w:tcPr>
            <w:tcW w:w="12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3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4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54" w:hRule="atLeast"/>
          <w:jc w:val="center"/>
        </w:trPr>
        <w:tc>
          <w:tcPr>
            <w:tcW w:w="12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3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4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54" w:hRule="atLeast"/>
          <w:jc w:val="center"/>
        </w:trPr>
        <w:tc>
          <w:tcPr>
            <w:tcW w:w="12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38"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4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454" w:hRule="atLeast"/>
          <w:jc w:val="center"/>
        </w:trPr>
        <w:tc>
          <w:tcPr>
            <w:tcW w:w="129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33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42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454" w:hRule="atLeast"/>
          <w:jc w:val="center"/>
        </w:trPr>
        <w:tc>
          <w:tcPr>
            <w:tcW w:w="12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33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42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471" w:hRule="atLeast"/>
          <w:jc w:val="center"/>
        </w:trPr>
        <w:tc>
          <w:tcPr>
            <w:tcW w:w="12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33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42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294"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33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42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jc w:val="center"/>
        </w:trPr>
        <w:tc>
          <w:tcPr>
            <w:tcW w:w="129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3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42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jc w:val="center"/>
        </w:trPr>
        <w:tc>
          <w:tcPr>
            <w:tcW w:w="129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3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42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jc w:val="center"/>
        </w:trPr>
        <w:tc>
          <w:tcPr>
            <w:tcW w:w="129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3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42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90" w:hRule="atLeast"/>
          <w:jc w:val="center"/>
        </w:trPr>
        <w:tc>
          <w:tcPr>
            <w:tcW w:w="129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3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42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29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33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4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38" w:type="dxa"/>
            <w:vAlign w:val="center"/>
          </w:tcPr>
          <w:p>
            <w:pPr>
              <w:shd w:val="clear" w:color="auto" w:fill="auto"/>
              <w:tabs>
                <w:tab w:val="center" w:pos="4153"/>
                <w:tab w:val="right" w:pos="830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428" w:type="dxa"/>
            <w:vAlign w:val="center"/>
          </w:tcPr>
          <w:p>
            <w:pPr>
              <w:shd w:val="clear" w:color="auto" w:fill="auto"/>
              <w:tabs>
                <w:tab w:val="center" w:pos="4153"/>
                <w:tab w:val="right" w:pos="830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38" w:type="dxa"/>
            <w:vAlign w:val="center"/>
          </w:tcPr>
          <w:p>
            <w:pPr>
              <w:shd w:val="clear" w:color="auto" w:fill="auto"/>
              <w:tabs>
                <w:tab w:val="center" w:pos="4153"/>
                <w:tab w:val="right" w:pos="830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428" w:type="dxa"/>
            <w:vAlign w:val="center"/>
          </w:tcPr>
          <w:p>
            <w:pPr>
              <w:shd w:val="clear" w:color="auto" w:fill="auto"/>
              <w:tabs>
                <w:tab w:val="center" w:pos="4153"/>
                <w:tab w:val="right" w:pos="830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9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33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42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3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42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2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3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42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2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3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42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66" w:type="dxa"/>
            <w:gridSpan w:val="2"/>
            <w:vAlign w:val="center"/>
          </w:tcPr>
          <w:p>
            <w:pPr>
              <w:shd w:val="clear" w:color="auto" w:fill="auto"/>
              <w:snapToGrid w:val="0"/>
              <w:spacing w:before="0" w:beforeAutospacing="0" w:after="0" w:afterAutospacing="0" w:line="320" w:lineRule="exact"/>
              <w:ind w:left="0" w:right="0" w:firstLine="42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适用裁量计算公式裁定罚款金额时，M值（法定处罚金额上限）取货值金额三倍的罚款，N值（法定处罚金额下限）取货值金额一倍的罚款</w:t>
            </w:r>
          </w:p>
        </w:tc>
      </w:tr>
    </w:tbl>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z w:val="10"/>
          <w:szCs w:val="10"/>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5891"/>
        <w:gridCol w:w="1837"/>
      </w:tblGrid>
      <w:tr>
        <w:trPr>
          <w:trHeight w:val="397" w:hRule="atLeast"/>
          <w:jc w:val="center"/>
        </w:trPr>
        <w:tc>
          <w:tcPr>
            <w:tcW w:w="9060" w:type="dxa"/>
            <w:gridSpan w:val="3"/>
            <w:vAlign w:val="top"/>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97" w:hRule="atLeast"/>
          <w:jc w:val="center"/>
        </w:trPr>
        <w:tc>
          <w:tcPr>
            <w:tcW w:w="1332"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28" w:type="dxa"/>
            <w:gridSpan w:val="2"/>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56" w:name="_Toc1035"/>
            <w:r>
              <w:rPr>
                <w:rFonts w:hint="default" w:ascii="Times New Roman" w:hAnsi="Times New Roman" w:cs="Times New Roman"/>
                <w:color w:val="auto"/>
                <w:sz w:val="20"/>
                <w:szCs w:val="20"/>
                <w:shd w:val="clear" w:color="auto" w:fill="auto"/>
              </w:rPr>
              <w:t>12</w:t>
            </w:r>
            <w:bookmarkEnd w:id="56"/>
          </w:p>
        </w:tc>
      </w:tr>
      <w:tr>
        <w:trPr>
          <w:trHeight w:val="397" w:hRule="atLeast"/>
          <w:jc w:val="center"/>
        </w:trPr>
        <w:tc>
          <w:tcPr>
            <w:tcW w:w="1332"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28" w:type="dxa"/>
            <w:gridSpan w:val="2"/>
            <w:vAlign w:val="center"/>
          </w:tcPr>
          <w:p>
            <w:pPr>
              <w:widowControl w:val="0"/>
              <w:shd w:val="clear" w:color="auto" w:fill="auto"/>
              <w:wordWrap/>
              <w:adjustRightInd/>
              <w:snapToGrid w:val="0"/>
              <w:spacing w:before="0" w:beforeAutospacing="0" w:after="0" w:afterAutospacing="0" w:line="300" w:lineRule="exact"/>
              <w:ind w:left="0" w:right="0" w:firstLine="420"/>
              <w:textAlignment w:val="auto"/>
              <w:outlineLvl w:val="9"/>
              <w:rPr>
                <w:rFonts w:hint="default" w:ascii="Times New Roman" w:hAnsi="Times New Roman" w:cs="Times New Roman"/>
                <w:color w:val="auto"/>
                <w:sz w:val="20"/>
                <w:szCs w:val="20"/>
                <w:shd w:val="clear" w:color="auto" w:fill="auto"/>
              </w:rPr>
            </w:pPr>
            <w:bookmarkStart w:id="57" w:name="_Toc11956"/>
            <w:r>
              <w:rPr>
                <w:rFonts w:hint="default" w:ascii="Times New Roman" w:hAnsi="Times New Roman" w:cs="Times New Roman"/>
                <w:color w:val="auto"/>
                <w:sz w:val="20"/>
                <w:szCs w:val="20"/>
                <w:shd w:val="clear" w:color="auto" w:fill="auto"/>
              </w:rPr>
              <w:t>在禁燃区内新建、扩建燃用高污染燃料的设施，或者未按照规定停止燃用高污染燃料的</w:t>
            </w:r>
            <w:bookmarkEnd w:id="57"/>
          </w:p>
        </w:tc>
      </w:tr>
      <w:tr>
        <w:trPr>
          <w:trHeight w:val="397" w:hRule="atLeast"/>
          <w:jc w:val="center"/>
        </w:trPr>
        <w:tc>
          <w:tcPr>
            <w:tcW w:w="1332"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28" w:type="dxa"/>
            <w:gridSpan w:val="2"/>
            <w:vAlign w:val="top"/>
          </w:tcPr>
          <w:p>
            <w:pPr>
              <w:widowControl w:val="0"/>
              <w:shd w:val="clear" w:color="auto" w:fill="auto"/>
              <w:wordWrap/>
              <w:adjustRightInd/>
              <w:snapToGrid w:val="0"/>
              <w:spacing w:before="0" w:beforeAutospacing="0" w:after="0" w:afterAutospacing="0" w:line="300" w:lineRule="exact"/>
              <w:ind w:left="0" w:right="0" w:firstLine="482"/>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《中华人民共和国大气污染防治法》第三十八条</w:t>
            </w:r>
            <w:r>
              <w:rPr>
                <w:rFonts w:hint="default" w:ascii="Times New Roman" w:hAnsi="Times New Roman" w:cs="Times New Roman"/>
                <w:b/>
                <w:bCs/>
                <w:color w:val="auto"/>
                <w:sz w:val="20"/>
                <w:szCs w:val="20"/>
                <w:shd w:val="clear" w:color="auto" w:fill="auto"/>
                <w:lang w:val="en-US"/>
              </w:rPr>
              <w:t>第二款</w:t>
            </w:r>
            <w:r>
              <w:rPr>
                <w:rFonts w:hint="default" w:ascii="Times New Roman" w:hAnsi="Times New Roman" w:cs="Times New Roman"/>
                <w:b/>
                <w:bCs/>
                <w:color w:val="auto"/>
                <w:sz w:val="20"/>
                <w:szCs w:val="20"/>
                <w:shd w:val="clear" w:color="auto" w:fill="auto"/>
              </w:rPr>
              <w:t xml:space="preserve"> </w:t>
            </w:r>
            <w:r>
              <w:rPr>
                <w:rFonts w:hint="default" w:ascii="Times New Roman" w:hAnsi="Times New Roman" w:cs="Times New Roman"/>
                <w:color w:val="auto"/>
                <w:sz w:val="20"/>
                <w:szCs w:val="20"/>
                <w:shd w:val="clear" w:color="auto" w:fill="auto"/>
              </w:rPr>
              <w:t>在禁燃区内，禁止销售、燃用高污染燃料；禁止新建、扩建燃用高污染燃料的设施，已建成的，应当在城市人民政府规定的期限内改用天然气、页岩气、液化石油气、电或者其他清洁能源。</w:t>
            </w:r>
          </w:p>
        </w:tc>
      </w:tr>
      <w:tr>
        <w:trPr>
          <w:trHeight w:val="397" w:hRule="atLeast"/>
          <w:jc w:val="center"/>
        </w:trPr>
        <w:tc>
          <w:tcPr>
            <w:tcW w:w="1332"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28" w:type="dxa"/>
            <w:gridSpan w:val="2"/>
            <w:vAlign w:val="top"/>
          </w:tcPr>
          <w:p>
            <w:pPr>
              <w:widowControl w:val="0"/>
              <w:shd w:val="clear" w:color="auto" w:fill="auto"/>
              <w:wordWrap/>
              <w:adjustRightInd/>
              <w:snapToGrid w:val="0"/>
              <w:spacing w:before="0" w:beforeAutospacing="0" w:after="0" w:afterAutospacing="0" w:line="300" w:lineRule="exact"/>
              <w:ind w:left="0" w:right="0" w:firstLine="42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《中华人民共和国大气污染防治法》第一百零七条第一款 </w:t>
            </w:r>
            <w:r>
              <w:rPr>
                <w:rFonts w:hint="default" w:ascii="Times New Roman" w:hAnsi="Times New Roman" w:cs="Times New Roman"/>
                <w:color w:val="auto"/>
                <w:sz w:val="20"/>
                <w:szCs w:val="20"/>
                <w:shd w:val="clear" w:color="auto" w:fill="auto"/>
              </w:rPr>
              <w:t>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tc>
      </w:tr>
      <w:tr>
        <w:trPr>
          <w:trHeight w:val="397" w:hRule="atLeast"/>
          <w:jc w:val="center"/>
        </w:trPr>
        <w:tc>
          <w:tcPr>
            <w:tcW w:w="1332"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891"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1837"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jc w:val="center"/>
        </w:trPr>
        <w:tc>
          <w:tcPr>
            <w:tcW w:w="1332" w:type="dxa"/>
            <w:vMerge w:val="restart"/>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891"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为建设</w:t>
            </w:r>
            <w:r>
              <w:rPr>
                <w:rFonts w:hint="default" w:ascii="Times New Roman" w:hAnsi="Times New Roman" w:cs="Times New Roman"/>
                <w:color w:val="auto"/>
                <w:sz w:val="20"/>
                <w:szCs w:val="20"/>
                <w:shd w:val="clear" w:color="auto" w:fill="auto"/>
                <w:lang w:val="en-US"/>
              </w:rPr>
              <w:t>燃用高污染</w:t>
            </w:r>
            <w:r>
              <w:rPr>
                <w:rFonts w:hint="default" w:ascii="Times New Roman" w:hAnsi="Times New Roman" w:cs="Times New Roman"/>
                <w:color w:val="auto"/>
                <w:sz w:val="20"/>
                <w:szCs w:val="20"/>
                <w:shd w:val="clear" w:color="auto" w:fill="auto"/>
                <w:lang w:eastAsia="zh-CN"/>
              </w:rPr>
              <w:t>燃料设施做准备的</w:t>
            </w:r>
          </w:p>
        </w:tc>
        <w:tc>
          <w:tcPr>
            <w:tcW w:w="1837"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设施已开工建设但未建成的</w:t>
            </w:r>
          </w:p>
        </w:tc>
        <w:tc>
          <w:tcPr>
            <w:tcW w:w="1837"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设施已建成但未投入使用的</w:t>
            </w:r>
          </w:p>
        </w:tc>
        <w:tc>
          <w:tcPr>
            <w:tcW w:w="1837"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设施已建成投用或者未按照规定停止燃用高污染燃料</w:t>
            </w:r>
          </w:p>
        </w:tc>
        <w:tc>
          <w:tcPr>
            <w:tcW w:w="1837"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2" w:type="dxa"/>
            <w:vMerge w:val="restart"/>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污染防治设施建设使用情况</w:t>
            </w:r>
          </w:p>
        </w:tc>
        <w:tc>
          <w:tcPr>
            <w:tcW w:w="5891"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配套污染防治设施已建成的</w:t>
            </w:r>
          </w:p>
        </w:tc>
        <w:tc>
          <w:tcPr>
            <w:tcW w:w="1837"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配套污染防治设施正在建设的</w:t>
            </w:r>
          </w:p>
        </w:tc>
        <w:tc>
          <w:tcPr>
            <w:tcW w:w="1837"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配套污染防治设施尚未建设的</w:t>
            </w:r>
          </w:p>
        </w:tc>
        <w:tc>
          <w:tcPr>
            <w:tcW w:w="1837"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2" w:type="dxa"/>
            <w:vMerge w:val="restart"/>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燃料控制</w:t>
            </w:r>
          </w:p>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严格程度</w:t>
            </w:r>
          </w:p>
        </w:tc>
        <w:tc>
          <w:tcPr>
            <w:tcW w:w="5891"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I</w:t>
            </w:r>
            <w:r>
              <w:rPr>
                <w:rFonts w:hint="default" w:ascii="Times New Roman" w:hAnsi="Times New Roman" w:cs="Times New Roman"/>
                <w:color w:val="auto"/>
                <w:sz w:val="20"/>
                <w:szCs w:val="20"/>
                <w:shd w:val="clear" w:color="auto" w:fill="auto"/>
                <w:lang w:eastAsia="zh-CN"/>
              </w:rPr>
              <w:t>类（一般）</w:t>
            </w:r>
          </w:p>
        </w:tc>
        <w:tc>
          <w:tcPr>
            <w:tcW w:w="1837"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II类（较严）</w:t>
            </w:r>
          </w:p>
        </w:tc>
        <w:tc>
          <w:tcPr>
            <w:tcW w:w="1837"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III</w:t>
            </w:r>
            <w:r>
              <w:rPr>
                <w:rFonts w:hint="default" w:ascii="Times New Roman" w:hAnsi="Times New Roman" w:cs="Times New Roman"/>
                <w:color w:val="auto"/>
                <w:sz w:val="20"/>
                <w:szCs w:val="20"/>
                <w:shd w:val="clear" w:color="auto" w:fill="auto"/>
                <w:lang w:eastAsia="zh-CN"/>
              </w:rPr>
              <w:t>（严格）</w:t>
            </w:r>
          </w:p>
        </w:tc>
        <w:tc>
          <w:tcPr>
            <w:tcW w:w="1837"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5</w:t>
            </w:r>
          </w:p>
        </w:tc>
      </w:tr>
      <w:tr>
        <w:trPr>
          <w:trHeight w:val="397" w:hRule="atLeast"/>
          <w:jc w:val="center"/>
        </w:trPr>
        <w:tc>
          <w:tcPr>
            <w:tcW w:w="1332" w:type="dxa"/>
            <w:vMerge w:val="restart"/>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val="en-US" w:eastAsia="zh-CN"/>
              </w:rPr>
            </w:pPr>
            <w:r>
              <w:rPr>
                <w:rFonts w:hint="default" w:ascii="Times New Roman" w:hAnsi="Times New Roman" w:cs="Times New Roman"/>
                <w:b/>
                <w:bCs/>
                <w:color w:val="auto"/>
                <w:sz w:val="20"/>
                <w:szCs w:val="20"/>
                <w:shd w:val="clear" w:color="auto" w:fill="auto"/>
                <w:lang w:val="en-US"/>
              </w:rPr>
              <w:t>改正时间</w:t>
            </w:r>
          </w:p>
        </w:tc>
        <w:tc>
          <w:tcPr>
            <w:tcW w:w="5891"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kern w:val="2"/>
                <w:sz w:val="21"/>
                <w:szCs w:val="21"/>
                <w:shd w:val="clear" w:color="auto" w:fill="auto"/>
                <w:lang w:eastAsia="zh-CN"/>
              </w:rPr>
              <w:t>限期改正</w:t>
            </w:r>
          </w:p>
        </w:tc>
        <w:tc>
          <w:tcPr>
            <w:tcW w:w="1837"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val="en-US" w:eastAsia="zh-CN"/>
              </w:rPr>
            </w:pPr>
          </w:p>
        </w:tc>
        <w:tc>
          <w:tcPr>
            <w:tcW w:w="5891"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Style w:val="14"/>
                <w:rFonts w:hint="default" w:ascii="Times New Roman" w:hAnsi="Times New Roman" w:cs="Times New Roman"/>
                <w:color w:val="auto"/>
                <w:sz w:val="19"/>
                <w:szCs w:val="19"/>
                <w:shd w:val="clear" w:color="auto" w:fill="auto"/>
              </w:rPr>
            </w:pPr>
            <w:r>
              <w:rPr>
                <w:rFonts w:hint="default" w:ascii="Times New Roman" w:hAnsi="Times New Roman" w:cs="Times New Roman"/>
                <w:color w:val="auto"/>
                <w:sz w:val="20"/>
                <w:szCs w:val="20"/>
                <w:shd w:val="clear" w:color="auto" w:fill="auto"/>
                <w:lang w:val="en-US" w:eastAsia="zh-CN"/>
              </w:rPr>
              <w:t>3天以下</w:t>
            </w:r>
          </w:p>
        </w:tc>
        <w:tc>
          <w:tcPr>
            <w:tcW w:w="1837"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Style w:val="14"/>
                <w:rFonts w:hint="default" w:ascii="Times New Roman" w:hAnsi="Times New Roman" w:cs="Times New Roman"/>
                <w:color w:val="auto"/>
                <w:sz w:val="19"/>
                <w:szCs w:val="19"/>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1837"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Style w:val="14"/>
                <w:rFonts w:hint="default" w:ascii="Times New Roman" w:hAnsi="Times New Roman" w:cs="Times New Roman"/>
                <w:color w:val="auto"/>
                <w:sz w:val="19"/>
                <w:szCs w:val="19"/>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1837"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32" w:type="dxa"/>
            <w:vMerge w:val="restart"/>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891"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1837"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1837"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1837"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300" w:lineRule="exact"/>
              <w:ind w:left="0" w:right="0" w:firstLine="2520" w:firstLineChars="1200"/>
              <w:jc w:val="both"/>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1837"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32" w:type="dxa"/>
            <w:vMerge w:val="restart"/>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891" w:type="dxa"/>
            <w:vAlign w:val="center"/>
          </w:tcPr>
          <w:p>
            <w:pPr>
              <w:widowControl w:val="0"/>
              <w:shd w:val="clear" w:color="auto" w:fill="auto"/>
              <w:tabs>
                <w:tab w:val="left" w:pos="3498"/>
              </w:tabs>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1837"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tabs>
                <w:tab w:val="left" w:pos="3498"/>
              </w:tabs>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1837"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1837"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32"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发生时期</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环境敏感度</w:t>
            </w: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一般期间</w:t>
            </w:r>
          </w:p>
        </w:tc>
        <w:tc>
          <w:tcPr>
            <w:tcW w:w="18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jc w:val="center"/>
        </w:trPr>
        <w:tc>
          <w:tcPr>
            <w:tcW w:w="13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重污染天气黄色预警期间</w:t>
            </w:r>
          </w:p>
        </w:tc>
        <w:tc>
          <w:tcPr>
            <w:tcW w:w="18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jc w:val="center"/>
        </w:trPr>
        <w:tc>
          <w:tcPr>
            <w:tcW w:w="13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重污染天气橙色预警期间</w:t>
            </w:r>
          </w:p>
        </w:tc>
        <w:tc>
          <w:tcPr>
            <w:tcW w:w="18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jc w:val="center"/>
        </w:trPr>
        <w:tc>
          <w:tcPr>
            <w:tcW w:w="13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重污染天气红色预警期间</w:t>
            </w:r>
          </w:p>
        </w:tc>
        <w:tc>
          <w:tcPr>
            <w:tcW w:w="18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jc w:val="center"/>
        </w:trPr>
        <w:tc>
          <w:tcPr>
            <w:tcW w:w="13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特殊或重大活动期间</w:t>
            </w:r>
          </w:p>
        </w:tc>
        <w:tc>
          <w:tcPr>
            <w:tcW w:w="18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332"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89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18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jc w:val="center"/>
        </w:trPr>
        <w:tc>
          <w:tcPr>
            <w:tcW w:w="13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18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jc w:val="center"/>
        </w:trPr>
        <w:tc>
          <w:tcPr>
            <w:tcW w:w="13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18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jc w:val="center"/>
        </w:trPr>
        <w:tc>
          <w:tcPr>
            <w:tcW w:w="13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18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jc w:val="center"/>
        </w:trPr>
        <w:tc>
          <w:tcPr>
            <w:tcW w:w="13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18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33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受处罚次数</w:t>
            </w: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color w:val="auto"/>
                <w:sz w:val="21"/>
                <w:szCs w:val="21"/>
                <w:shd w:val="clear" w:color="auto" w:fill="auto"/>
              </w:rPr>
            </w:pPr>
            <w:r>
              <w:rPr>
                <w:rFonts w:hint="default" w:ascii="Times New Roman" w:hAnsi="Times New Roman" w:cs="Times New Roman"/>
                <w:b/>
                <w:color w:val="auto"/>
                <w:sz w:val="21"/>
                <w:szCs w:val="21"/>
                <w:shd w:val="clear" w:color="auto" w:fill="auto"/>
              </w:rPr>
              <w:t>是否配合</w:t>
            </w:r>
          </w:p>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color w:val="auto"/>
                <w:sz w:val="21"/>
                <w:szCs w:val="21"/>
                <w:shd w:val="clear" w:color="auto" w:fill="auto"/>
              </w:rPr>
              <w:t>执法检查</w:t>
            </w: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eastAsia="zh-CN"/>
              </w:rPr>
              <w:t>配合检查</w:t>
            </w:r>
          </w:p>
        </w:tc>
        <w:tc>
          <w:tcPr>
            <w:tcW w:w="18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2" w:type="dxa"/>
            <w:vMerge w:val="continue"/>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18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32" w:type="dxa"/>
            <w:vMerge w:val="continue"/>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eastAsia="zh-CN"/>
              </w:rPr>
              <w:t>围堵、滞留执法人员</w:t>
            </w:r>
          </w:p>
        </w:tc>
        <w:tc>
          <w:tcPr>
            <w:tcW w:w="18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32" w:type="dxa"/>
            <w:vMerge w:val="continue"/>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eastAsia="zh-CN"/>
              </w:rPr>
              <w:t>暴力抗法</w:t>
            </w:r>
          </w:p>
        </w:tc>
        <w:tc>
          <w:tcPr>
            <w:tcW w:w="18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28" w:type="dxa"/>
            <w:gridSpan w:val="2"/>
            <w:vAlign w:val="center"/>
          </w:tcPr>
          <w:p>
            <w:pPr>
              <w:shd w:val="clear" w:color="auto" w:fill="auto"/>
              <w:snapToGrid w:val="0"/>
              <w:spacing w:before="0" w:beforeAutospacing="0" w:after="0" w:afterAutospacing="0" w:line="320" w:lineRule="exact"/>
              <w:ind w:left="0" w:right="0" w:firstLine="0"/>
              <w:jc w:val="both"/>
              <w:rPr>
                <w:rFonts w:hint="default" w:ascii="Times New Roman" w:hAnsi="Times New Roman" w:cs="Times New Roman"/>
                <w:color w:val="auto"/>
                <w:sz w:val="20"/>
                <w:szCs w:val="20"/>
                <w:shd w:val="clear" w:color="auto" w:fill="auto"/>
                <w:lang w:val="en-US"/>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z w:val="10"/>
          <w:szCs w:val="10"/>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5168"/>
        <w:gridCol w:w="2537"/>
      </w:tblGrid>
      <w:tr>
        <w:trPr>
          <w:trHeight w:val="369"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69" w:hRule="atLeast"/>
          <w:jc w:val="center"/>
        </w:trPr>
        <w:tc>
          <w:tcPr>
            <w:tcW w:w="135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05"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58" w:name="_Toc19516"/>
            <w:r>
              <w:rPr>
                <w:rFonts w:hint="default" w:ascii="Times New Roman" w:hAnsi="Times New Roman" w:cs="Times New Roman"/>
                <w:color w:val="auto"/>
                <w:sz w:val="20"/>
                <w:szCs w:val="20"/>
                <w:shd w:val="clear" w:color="auto" w:fill="auto"/>
              </w:rPr>
              <w:t>13</w:t>
            </w:r>
            <w:bookmarkEnd w:id="58"/>
          </w:p>
        </w:tc>
      </w:tr>
      <w:tr>
        <w:trPr>
          <w:trHeight w:val="369" w:hRule="atLeast"/>
          <w:jc w:val="center"/>
        </w:trPr>
        <w:tc>
          <w:tcPr>
            <w:tcW w:w="135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05" w:type="dxa"/>
            <w:gridSpan w:val="2"/>
            <w:vAlign w:val="center"/>
          </w:tcPr>
          <w:p>
            <w:pPr>
              <w:shd w:val="clear" w:color="auto" w:fill="auto"/>
              <w:snapToGrid w:val="0"/>
              <w:spacing w:before="0" w:beforeAutospacing="0" w:after="0" w:afterAutospacing="0" w:line="320" w:lineRule="exact"/>
              <w:ind w:left="0" w:right="0" w:firstLine="420"/>
              <w:jc w:val="both"/>
              <w:outlineLvl w:val="9"/>
              <w:rPr>
                <w:rFonts w:hint="default" w:ascii="Times New Roman" w:hAnsi="Times New Roman" w:cs="Times New Roman"/>
                <w:color w:val="auto"/>
                <w:sz w:val="20"/>
                <w:szCs w:val="20"/>
                <w:shd w:val="clear" w:color="auto" w:fill="auto"/>
              </w:rPr>
            </w:pPr>
            <w:bookmarkStart w:id="59" w:name="_Toc7688"/>
            <w:r>
              <w:rPr>
                <w:rFonts w:hint="default" w:ascii="Times New Roman" w:hAnsi="Times New Roman" w:cs="Times New Roman"/>
                <w:color w:val="auto"/>
                <w:sz w:val="20"/>
                <w:szCs w:val="20"/>
                <w:shd w:val="clear" w:color="auto" w:fill="auto"/>
              </w:rPr>
              <w:t>在城市集中供热管网覆盖地区新建、扩建分散燃煤供热锅炉的</w:t>
            </w:r>
            <w:bookmarkEnd w:id="59"/>
          </w:p>
        </w:tc>
      </w:tr>
      <w:tr>
        <w:trPr>
          <w:trHeight w:val="369" w:hRule="atLeast"/>
          <w:jc w:val="center"/>
        </w:trPr>
        <w:tc>
          <w:tcPr>
            <w:tcW w:w="135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05" w:type="dxa"/>
            <w:gridSpan w:val="2"/>
            <w:vAlign w:val="top"/>
          </w:tcPr>
          <w:p>
            <w:pPr>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《中华人民共和国大气污染防治法》第三十九条 </w:t>
            </w:r>
            <w:r>
              <w:rPr>
                <w:rFonts w:hint="default" w:ascii="Times New Roman" w:hAnsi="Times New Roman" w:cs="Times New Roman"/>
                <w:color w:val="auto"/>
                <w:sz w:val="20"/>
                <w:szCs w:val="20"/>
                <w:shd w:val="clear" w:color="auto" w:fill="auto"/>
              </w:rPr>
              <w:t>城市建设应当统筹规划，在燃煤供热地区，推进热电联产和集中供热。在集中供热管网覆盖地区，禁止新建、扩建分散燃煤供热锅炉；已建成的不能达标排放的燃煤供热锅炉，应当在城市人民政府规定的期限内拆除。</w:t>
            </w:r>
          </w:p>
        </w:tc>
      </w:tr>
      <w:tr>
        <w:trPr>
          <w:trHeight w:val="369" w:hRule="atLeast"/>
          <w:jc w:val="center"/>
        </w:trPr>
        <w:tc>
          <w:tcPr>
            <w:tcW w:w="135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05" w:type="dxa"/>
            <w:gridSpan w:val="2"/>
            <w:vAlign w:val="top"/>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《中华人民共和国大气污染防治法》第一百零七条第一款 </w:t>
            </w:r>
            <w:r>
              <w:rPr>
                <w:rFonts w:hint="default" w:ascii="Times New Roman" w:hAnsi="Times New Roman" w:cs="Times New Roman"/>
                <w:color w:val="auto"/>
                <w:sz w:val="20"/>
                <w:szCs w:val="20"/>
                <w:shd w:val="clear" w:color="auto" w:fill="auto"/>
              </w:rPr>
              <w:t>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tc>
      </w:tr>
      <w:tr>
        <w:trPr>
          <w:trHeight w:val="369" w:hRule="atLeast"/>
          <w:jc w:val="center"/>
        </w:trPr>
        <w:tc>
          <w:tcPr>
            <w:tcW w:w="135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jc w:val="center"/>
        </w:trPr>
        <w:tc>
          <w:tcPr>
            <w:tcW w:w="1355"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为建设燃煤锅炉做准备的</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69"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燃煤锅炉已开工建设但未建成的</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燃煤锅炉已建成但未投入使用的</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燃煤锅炉已建成投用</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55"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污染防治设施建设使用情况</w:t>
            </w:r>
          </w:p>
        </w:tc>
        <w:tc>
          <w:tcPr>
            <w:tcW w:w="51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配套污染防治设施已建成的</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配套污染防治设施正在建设的</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配套污染防治设施尚未建设的</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55" w:type="dxa"/>
            <w:vMerge w:val="restart"/>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锅炉规模</w:t>
            </w:r>
          </w:p>
        </w:tc>
        <w:tc>
          <w:tcPr>
            <w:tcW w:w="5168"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5</w:t>
            </w:r>
            <w:r>
              <w:rPr>
                <w:rFonts w:hint="default" w:ascii="Times New Roman" w:hAnsi="Times New Roman" w:cs="Times New Roman"/>
                <w:color w:val="auto"/>
                <w:sz w:val="20"/>
                <w:szCs w:val="20"/>
                <w:shd w:val="clear" w:color="auto" w:fill="auto"/>
              </w:rPr>
              <w:t>蒸吨以下</w:t>
            </w:r>
          </w:p>
        </w:tc>
        <w:tc>
          <w:tcPr>
            <w:tcW w:w="2537"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55" w:type="dxa"/>
            <w:vMerge w:val="continue"/>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5</w:t>
            </w:r>
            <w:r>
              <w:rPr>
                <w:rFonts w:hint="default" w:ascii="Times New Roman" w:hAnsi="Times New Roman" w:cs="Times New Roman"/>
                <w:color w:val="auto"/>
                <w:sz w:val="20"/>
                <w:szCs w:val="20"/>
                <w:shd w:val="clear" w:color="auto" w:fill="auto"/>
              </w:rPr>
              <w:t>蒸吨以上</w:t>
            </w:r>
            <w:r>
              <w:rPr>
                <w:rFonts w:hint="default" w:ascii="Times New Roman" w:hAnsi="Times New Roman" w:cs="Times New Roman"/>
                <w:color w:val="auto"/>
                <w:sz w:val="20"/>
                <w:szCs w:val="20"/>
                <w:shd w:val="clear" w:color="auto" w:fill="auto"/>
                <w:lang w:val="en-US" w:eastAsia="zh-CN"/>
              </w:rPr>
              <w:t>10</w:t>
            </w:r>
            <w:r>
              <w:rPr>
                <w:rFonts w:hint="default" w:ascii="Times New Roman" w:hAnsi="Times New Roman" w:cs="Times New Roman"/>
                <w:color w:val="auto"/>
                <w:sz w:val="20"/>
                <w:szCs w:val="20"/>
                <w:shd w:val="clear" w:color="auto" w:fill="auto"/>
              </w:rPr>
              <w:t>蒸吨以下</w:t>
            </w:r>
          </w:p>
        </w:tc>
        <w:tc>
          <w:tcPr>
            <w:tcW w:w="2537"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355" w:type="dxa"/>
            <w:vMerge w:val="continue"/>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10</w:t>
            </w:r>
            <w:r>
              <w:rPr>
                <w:rFonts w:hint="default" w:ascii="Times New Roman" w:hAnsi="Times New Roman" w:cs="Times New Roman"/>
                <w:color w:val="auto"/>
                <w:sz w:val="20"/>
                <w:szCs w:val="20"/>
                <w:shd w:val="clear" w:color="auto" w:fill="auto"/>
              </w:rPr>
              <w:t>蒸吨以上</w:t>
            </w:r>
            <w:r>
              <w:rPr>
                <w:rFonts w:hint="default" w:ascii="Times New Roman" w:hAnsi="Times New Roman" w:cs="Times New Roman"/>
                <w:color w:val="auto"/>
                <w:sz w:val="20"/>
                <w:szCs w:val="20"/>
                <w:shd w:val="clear" w:color="auto" w:fill="auto"/>
                <w:lang w:val="en-US" w:eastAsia="zh-CN"/>
              </w:rPr>
              <w:t>20</w:t>
            </w:r>
            <w:r>
              <w:rPr>
                <w:rFonts w:hint="default" w:ascii="Times New Roman" w:hAnsi="Times New Roman" w:cs="Times New Roman"/>
                <w:color w:val="auto"/>
                <w:sz w:val="20"/>
                <w:szCs w:val="20"/>
                <w:shd w:val="clear" w:color="auto" w:fill="auto"/>
              </w:rPr>
              <w:t>蒸吨以下</w:t>
            </w:r>
          </w:p>
        </w:tc>
        <w:tc>
          <w:tcPr>
            <w:tcW w:w="2537"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55" w:type="dxa"/>
            <w:vMerge w:val="continue"/>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20</w:t>
            </w:r>
            <w:r>
              <w:rPr>
                <w:rFonts w:hint="default" w:ascii="Times New Roman" w:hAnsi="Times New Roman" w:cs="Times New Roman"/>
                <w:color w:val="auto"/>
                <w:sz w:val="20"/>
                <w:szCs w:val="20"/>
                <w:shd w:val="clear" w:color="auto" w:fill="auto"/>
              </w:rPr>
              <w:t>蒸吨以上</w:t>
            </w:r>
            <w:r>
              <w:rPr>
                <w:rFonts w:hint="default" w:ascii="Times New Roman" w:hAnsi="Times New Roman" w:cs="Times New Roman"/>
                <w:color w:val="auto"/>
                <w:sz w:val="20"/>
                <w:szCs w:val="20"/>
                <w:shd w:val="clear" w:color="auto" w:fill="auto"/>
                <w:lang w:val="en-US" w:eastAsia="zh-CN"/>
              </w:rPr>
              <w:t>3</w:t>
            </w:r>
            <w:r>
              <w:rPr>
                <w:rFonts w:hint="default" w:ascii="Times New Roman" w:hAnsi="Times New Roman" w:cs="Times New Roman"/>
                <w:color w:val="auto"/>
                <w:sz w:val="20"/>
                <w:szCs w:val="20"/>
                <w:shd w:val="clear" w:color="auto" w:fill="auto"/>
              </w:rPr>
              <w:t>0蒸吨以下</w:t>
            </w:r>
          </w:p>
        </w:tc>
        <w:tc>
          <w:tcPr>
            <w:tcW w:w="2537"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355" w:type="dxa"/>
            <w:vMerge w:val="continue"/>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lang w:val="en-US" w:eastAsia="zh-CN"/>
              </w:rPr>
              <w:t>30</w:t>
            </w:r>
            <w:r>
              <w:rPr>
                <w:rFonts w:hint="default" w:ascii="Times New Roman" w:hAnsi="Times New Roman" w:cs="Times New Roman"/>
                <w:color w:val="auto"/>
                <w:sz w:val="21"/>
                <w:szCs w:val="21"/>
                <w:shd w:val="clear" w:color="auto" w:fill="auto"/>
              </w:rPr>
              <w:t>蒸吨以上</w:t>
            </w:r>
            <w:r>
              <w:rPr>
                <w:rFonts w:hint="default" w:ascii="Times New Roman" w:hAnsi="Times New Roman" w:cs="Times New Roman"/>
                <w:color w:val="auto"/>
                <w:sz w:val="21"/>
                <w:szCs w:val="21"/>
                <w:shd w:val="clear" w:color="auto" w:fill="auto"/>
                <w:lang w:val="en-US" w:eastAsia="zh-CN"/>
              </w:rPr>
              <w:t>35</w:t>
            </w:r>
            <w:r>
              <w:rPr>
                <w:rFonts w:hint="default" w:ascii="Times New Roman" w:hAnsi="Times New Roman" w:cs="Times New Roman"/>
                <w:color w:val="auto"/>
                <w:sz w:val="21"/>
                <w:szCs w:val="21"/>
                <w:shd w:val="clear" w:color="auto" w:fill="auto"/>
              </w:rPr>
              <w:t>蒸吨以下</w:t>
            </w:r>
          </w:p>
        </w:tc>
        <w:tc>
          <w:tcPr>
            <w:tcW w:w="2537"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55"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rPr>
              <w:t>企业规模</w:t>
            </w:r>
          </w:p>
        </w:tc>
        <w:tc>
          <w:tcPr>
            <w:tcW w:w="5168"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1"/>
                <w:szCs w:val="21"/>
                <w:shd w:val="clear" w:color="auto" w:fill="auto"/>
                <w:lang w:val="en-US"/>
              </w:rPr>
            </w:pPr>
            <w:r>
              <w:rPr>
                <w:rFonts w:hint="default" w:ascii="Times New Roman" w:hAnsi="Times New Roman" w:cs="Times New Roman"/>
                <w:color w:val="auto"/>
                <w:sz w:val="21"/>
                <w:szCs w:val="21"/>
                <w:shd w:val="clear" w:color="auto" w:fill="auto"/>
                <w:lang w:val="en-US"/>
              </w:rPr>
              <w:t>微型企业</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1</w:t>
            </w:r>
          </w:p>
        </w:tc>
      </w:tr>
      <w:tr>
        <w:trPr>
          <w:trHeight w:val="369"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168"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1"/>
                <w:szCs w:val="21"/>
                <w:shd w:val="clear" w:color="auto" w:fill="auto"/>
                <w:lang w:val="en-US"/>
              </w:rPr>
            </w:pPr>
            <w:r>
              <w:rPr>
                <w:rFonts w:hint="default" w:ascii="Times New Roman" w:hAnsi="Times New Roman" w:cs="Times New Roman"/>
                <w:color w:val="auto"/>
                <w:sz w:val="21"/>
                <w:szCs w:val="21"/>
                <w:shd w:val="clear" w:color="auto" w:fill="auto"/>
                <w:lang w:val="en-US"/>
              </w:rPr>
              <w:t>小型企业</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2</w:t>
            </w:r>
          </w:p>
        </w:tc>
      </w:tr>
      <w:tr>
        <w:trPr>
          <w:trHeight w:val="369"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168"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1"/>
                <w:szCs w:val="21"/>
                <w:shd w:val="clear" w:color="auto" w:fill="auto"/>
                <w:lang w:val="en-US"/>
              </w:rPr>
            </w:pPr>
            <w:r>
              <w:rPr>
                <w:rFonts w:hint="default" w:ascii="Times New Roman" w:hAnsi="Times New Roman" w:cs="Times New Roman"/>
                <w:color w:val="auto"/>
                <w:sz w:val="21"/>
                <w:szCs w:val="21"/>
                <w:shd w:val="clear" w:color="auto" w:fill="auto"/>
                <w:lang w:val="en-US"/>
              </w:rPr>
              <w:t>中型企业</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3</w:t>
            </w:r>
          </w:p>
        </w:tc>
      </w:tr>
      <w:tr>
        <w:trPr>
          <w:trHeight w:val="369"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168"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1"/>
                <w:szCs w:val="21"/>
                <w:shd w:val="clear" w:color="auto" w:fill="auto"/>
                <w:lang w:val="en-US"/>
              </w:rPr>
            </w:pPr>
            <w:r>
              <w:rPr>
                <w:rFonts w:hint="default" w:ascii="Times New Roman" w:hAnsi="Times New Roman" w:cs="Times New Roman"/>
                <w:color w:val="auto"/>
                <w:sz w:val="21"/>
                <w:szCs w:val="21"/>
                <w:shd w:val="clear" w:color="auto" w:fill="auto"/>
                <w:lang w:val="en-US"/>
              </w:rPr>
              <w:t>大型企业</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4</w:t>
            </w:r>
          </w:p>
        </w:tc>
      </w:tr>
      <w:tr>
        <w:trPr>
          <w:trHeight w:val="369" w:hRule="atLeast"/>
          <w:jc w:val="center"/>
        </w:trPr>
        <w:tc>
          <w:tcPr>
            <w:tcW w:w="1355"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168" w:type="dxa"/>
            <w:vAlign w:val="center"/>
          </w:tcPr>
          <w:p>
            <w:pPr>
              <w:shd w:val="clear" w:color="auto" w:fill="auto"/>
              <w:spacing w:before="0" w:beforeAutospacing="0" w:after="0" w:afterAutospacing="0" w:line="300" w:lineRule="exact"/>
              <w:ind w:left="0" w:right="0" w:firstLine="2100" w:firstLineChars="1000"/>
              <w:rPr>
                <w:rFonts w:hint="default" w:ascii="Times New Roman" w:hAnsi="Times New Roman" w:eastAsia="宋体" w:cs="Times New Roman"/>
                <w:color w:val="auto"/>
                <w:sz w:val="21"/>
                <w:szCs w:val="21"/>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1</w:t>
            </w:r>
          </w:p>
        </w:tc>
      </w:tr>
      <w:tr>
        <w:trPr>
          <w:trHeight w:val="369"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1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168" w:type="dxa"/>
            <w:vAlign w:val="center"/>
          </w:tcPr>
          <w:p>
            <w:pPr>
              <w:shd w:val="clear" w:color="auto" w:fill="auto"/>
              <w:spacing w:before="0" w:beforeAutospacing="0" w:after="0" w:afterAutospacing="0" w:line="300" w:lineRule="exact"/>
              <w:ind w:left="0" w:right="0" w:firstLine="2100" w:firstLineChars="1000"/>
              <w:rPr>
                <w:rFonts w:hint="default" w:ascii="Times New Roman" w:hAnsi="Times New Roman" w:eastAsia="宋体" w:cs="Times New Roman"/>
                <w:color w:val="auto"/>
                <w:sz w:val="21"/>
                <w:szCs w:val="21"/>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355"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r>
              <w:rPr>
                <w:rFonts w:hint="default" w:ascii="Times New Roman" w:hAnsi="Times New Roman" w:cs="Times New Roman"/>
                <w:b/>
                <w:bCs/>
                <w:color w:val="auto"/>
                <w:sz w:val="20"/>
                <w:szCs w:val="20"/>
                <w:shd w:val="clear" w:color="auto" w:fill="auto"/>
                <w:lang w:val="en-US"/>
              </w:rPr>
              <w:t>改正时间</w:t>
            </w:r>
          </w:p>
        </w:tc>
        <w:tc>
          <w:tcPr>
            <w:tcW w:w="5168"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eastAsia" w:ascii="Times New Roman" w:hAnsi="Times New Roman" w:cs="Times New Roman"/>
                <w:color w:val="auto"/>
                <w:kern w:val="2"/>
                <w:sz w:val="21"/>
                <w:szCs w:val="21"/>
                <w:shd w:val="clear" w:color="auto" w:fill="auto"/>
                <w:lang w:eastAsia="zh-CN"/>
              </w:rPr>
              <w:t>限期改正</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369" w:hRule="atLeast"/>
          <w:jc w:val="center"/>
        </w:trPr>
        <w:tc>
          <w:tcPr>
            <w:tcW w:w="135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p>
        </w:tc>
        <w:tc>
          <w:tcPr>
            <w:tcW w:w="51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35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69" w:hRule="atLeast"/>
          <w:jc w:val="center"/>
        </w:trPr>
        <w:tc>
          <w:tcPr>
            <w:tcW w:w="135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7天以上</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55"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6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5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jc w:val="center"/>
        </w:trPr>
        <w:tc>
          <w:tcPr>
            <w:tcW w:w="1355"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16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5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jc w:val="center"/>
        </w:trPr>
        <w:tc>
          <w:tcPr>
            <w:tcW w:w="1355"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16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5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jc w:val="center"/>
        </w:trPr>
        <w:tc>
          <w:tcPr>
            <w:tcW w:w="1355"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16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5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jc w:val="center"/>
        </w:trPr>
        <w:tc>
          <w:tcPr>
            <w:tcW w:w="1355"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16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5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355"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55"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5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05"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eastAsia="宋体" w:cs="Times New Roman"/>
                <w:color w:val="auto"/>
                <w:sz w:val="20"/>
                <w:szCs w:val="20"/>
                <w:shd w:val="clear" w:color="auto" w:fill="auto"/>
                <w:lang w:val="en-US" w:eastAsia="zh-CN"/>
              </w:rPr>
            </w:pPr>
          </w:p>
        </w:tc>
      </w:tr>
    </w:tbl>
    <w:p>
      <w:pPr>
        <w:shd w:val="clear" w:color="auto" w:fill="auto"/>
        <w:snapToGrid w:val="0"/>
        <w:rPr>
          <w:rFonts w:hint="default" w:ascii="Times New Roman" w:hAnsi="Times New Roman" w:cs="Times New Roman"/>
          <w:color w:val="auto"/>
          <w:sz w:val="10"/>
          <w:szCs w:val="10"/>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5193"/>
        <w:gridCol w:w="2520"/>
      </w:tblGrid>
      <w:tr>
        <w:trPr>
          <w:trHeight w:val="397" w:hRule="atLeast"/>
          <w:jc w:val="center"/>
        </w:trPr>
        <w:tc>
          <w:tcPr>
            <w:tcW w:w="9060" w:type="dxa"/>
            <w:gridSpan w:val="3"/>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97" w:hRule="atLeast"/>
          <w:jc w:val="center"/>
        </w:trPr>
        <w:tc>
          <w:tcPr>
            <w:tcW w:w="13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13"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60" w:name="_Toc24746"/>
            <w:r>
              <w:rPr>
                <w:rFonts w:hint="default" w:ascii="Times New Roman" w:hAnsi="Times New Roman" w:cs="Times New Roman"/>
                <w:color w:val="auto"/>
                <w:sz w:val="20"/>
                <w:szCs w:val="20"/>
                <w:shd w:val="clear" w:color="auto" w:fill="auto"/>
              </w:rPr>
              <w:t>1</w:t>
            </w:r>
            <w:r>
              <w:rPr>
                <w:rFonts w:hint="default" w:ascii="Times New Roman" w:hAnsi="Times New Roman" w:cs="Times New Roman"/>
                <w:color w:val="auto"/>
                <w:sz w:val="20"/>
                <w:szCs w:val="20"/>
                <w:shd w:val="clear" w:color="auto" w:fill="auto"/>
                <w:lang w:eastAsia="zh-CN"/>
              </w:rPr>
              <w:t>4</w:t>
            </w:r>
            <w:bookmarkEnd w:id="60"/>
          </w:p>
        </w:tc>
      </w:tr>
      <w:tr>
        <w:trPr>
          <w:trHeight w:val="397" w:hRule="atLeast"/>
          <w:jc w:val="center"/>
        </w:trPr>
        <w:tc>
          <w:tcPr>
            <w:tcW w:w="13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13" w:type="dxa"/>
            <w:gridSpan w:val="2"/>
            <w:vAlign w:val="center"/>
          </w:tcPr>
          <w:p>
            <w:pPr>
              <w:shd w:val="clear" w:color="auto" w:fill="auto"/>
              <w:snapToGrid w:val="0"/>
              <w:spacing w:before="0" w:beforeAutospacing="0" w:after="0" w:afterAutospacing="0" w:line="320" w:lineRule="exact"/>
              <w:ind w:left="0" w:right="0" w:firstLine="420" w:firstLineChars="200"/>
              <w:jc w:val="center"/>
              <w:outlineLvl w:val="9"/>
              <w:rPr>
                <w:rFonts w:hint="default" w:ascii="Times New Roman" w:hAnsi="Times New Roman" w:cs="Times New Roman"/>
                <w:color w:val="auto"/>
                <w:sz w:val="20"/>
                <w:szCs w:val="20"/>
                <w:shd w:val="clear" w:color="auto" w:fill="auto"/>
              </w:rPr>
            </w:pPr>
            <w:bookmarkStart w:id="61" w:name="_Toc2855"/>
            <w:r>
              <w:rPr>
                <w:rFonts w:hint="default" w:ascii="Times New Roman" w:hAnsi="Times New Roman" w:cs="Times New Roman"/>
                <w:color w:val="auto"/>
                <w:sz w:val="20"/>
                <w:szCs w:val="20"/>
                <w:shd w:val="clear" w:color="auto" w:fill="auto"/>
              </w:rPr>
              <w:t>未按照规定拆除已建成的不能达标排放的燃煤供热锅炉的</w:t>
            </w:r>
            <w:bookmarkEnd w:id="61"/>
          </w:p>
        </w:tc>
      </w:tr>
      <w:tr>
        <w:trPr>
          <w:trHeight w:val="397" w:hRule="atLeast"/>
          <w:jc w:val="center"/>
        </w:trPr>
        <w:tc>
          <w:tcPr>
            <w:tcW w:w="13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13" w:type="dxa"/>
            <w:gridSpan w:val="2"/>
            <w:vAlign w:val="top"/>
          </w:tcPr>
          <w:p>
            <w:pPr>
              <w:shd w:val="clear" w:color="auto" w:fill="auto"/>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《中华人民共和国大气污染防治法》第三十九条 </w:t>
            </w:r>
            <w:r>
              <w:rPr>
                <w:rFonts w:hint="default" w:ascii="Times New Roman" w:hAnsi="Times New Roman" w:cs="Times New Roman"/>
                <w:color w:val="auto"/>
                <w:sz w:val="20"/>
                <w:szCs w:val="20"/>
                <w:shd w:val="clear" w:color="auto" w:fill="auto"/>
              </w:rPr>
              <w:t>城市建设应当统筹规划，在燃煤供热地区，推进热电联产和集中供热。在集中供热管网覆盖地区，禁止新建、扩建分散燃煤供热锅炉；已建成的不能达标排放的燃煤供热锅炉，应当在城市人民政府规定的期限内拆除。</w:t>
            </w:r>
          </w:p>
        </w:tc>
      </w:tr>
      <w:tr>
        <w:trPr>
          <w:trHeight w:val="397" w:hRule="atLeast"/>
          <w:jc w:val="center"/>
        </w:trPr>
        <w:tc>
          <w:tcPr>
            <w:tcW w:w="13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13" w:type="dxa"/>
            <w:gridSpan w:val="2"/>
            <w:vAlign w:val="top"/>
          </w:tcPr>
          <w:p>
            <w:pPr>
              <w:shd w:val="clear" w:color="auto" w:fill="auto"/>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《中华人民共和国大气污染防治法》第一百零七条第一款 </w:t>
            </w:r>
            <w:r>
              <w:rPr>
                <w:rFonts w:hint="default" w:ascii="Times New Roman" w:hAnsi="Times New Roman" w:cs="Times New Roman"/>
                <w:color w:val="auto"/>
                <w:sz w:val="20"/>
                <w:szCs w:val="20"/>
                <w:shd w:val="clear" w:color="auto" w:fill="auto"/>
              </w:rPr>
              <w:t>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tc>
      </w:tr>
      <w:tr>
        <w:trPr>
          <w:trHeight w:val="414" w:hRule="atLeast"/>
          <w:jc w:val="center"/>
        </w:trPr>
        <w:tc>
          <w:tcPr>
            <w:tcW w:w="13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jc w:val="center"/>
        </w:trPr>
        <w:tc>
          <w:tcPr>
            <w:tcW w:w="134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逾期未拆除完毕的</w:t>
            </w:r>
          </w:p>
        </w:tc>
        <w:tc>
          <w:tcPr>
            <w:tcW w:w="25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逾期未拆除的</w:t>
            </w:r>
          </w:p>
        </w:tc>
        <w:tc>
          <w:tcPr>
            <w:tcW w:w="25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逾期未拆除且继续使用的</w:t>
            </w:r>
          </w:p>
        </w:tc>
        <w:tc>
          <w:tcPr>
            <w:tcW w:w="25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47" w:type="dxa"/>
            <w:vMerge w:val="restart"/>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color w:val="auto"/>
                <w:sz w:val="21"/>
                <w:szCs w:val="21"/>
                <w:shd w:val="clear" w:color="auto" w:fill="auto"/>
              </w:rPr>
              <w:t>锅炉规模</w:t>
            </w:r>
          </w:p>
        </w:tc>
        <w:tc>
          <w:tcPr>
            <w:tcW w:w="5193"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5蒸吨以下</w:t>
            </w:r>
          </w:p>
        </w:tc>
        <w:tc>
          <w:tcPr>
            <w:tcW w:w="2520"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1</w:t>
            </w:r>
          </w:p>
        </w:tc>
      </w:tr>
      <w:tr>
        <w:trPr>
          <w:trHeight w:val="397" w:hRule="atLeast"/>
          <w:jc w:val="center"/>
        </w:trPr>
        <w:tc>
          <w:tcPr>
            <w:tcW w:w="1347" w:type="dxa"/>
            <w:vMerge w:val="continue"/>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93"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5蒸吨以上10蒸吨以下</w:t>
            </w:r>
          </w:p>
        </w:tc>
        <w:tc>
          <w:tcPr>
            <w:tcW w:w="2520"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2</w:t>
            </w:r>
          </w:p>
        </w:tc>
      </w:tr>
      <w:tr>
        <w:trPr>
          <w:trHeight w:val="397" w:hRule="atLeast"/>
          <w:jc w:val="center"/>
        </w:trPr>
        <w:tc>
          <w:tcPr>
            <w:tcW w:w="1347" w:type="dxa"/>
            <w:vMerge w:val="continue"/>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93"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10蒸吨以上20蒸吨以下</w:t>
            </w:r>
          </w:p>
        </w:tc>
        <w:tc>
          <w:tcPr>
            <w:tcW w:w="2520"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3</w:t>
            </w:r>
          </w:p>
        </w:tc>
      </w:tr>
      <w:tr>
        <w:trPr>
          <w:trHeight w:val="397" w:hRule="atLeast"/>
          <w:jc w:val="center"/>
        </w:trPr>
        <w:tc>
          <w:tcPr>
            <w:tcW w:w="1347" w:type="dxa"/>
            <w:vMerge w:val="continue"/>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93"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lang w:val="en-US" w:eastAsia="zh-CN"/>
              </w:rPr>
              <w:t>2</w:t>
            </w:r>
            <w:r>
              <w:rPr>
                <w:rFonts w:hint="default" w:ascii="Times New Roman" w:hAnsi="Times New Roman" w:cs="Times New Roman"/>
                <w:color w:val="auto"/>
                <w:sz w:val="21"/>
                <w:szCs w:val="21"/>
                <w:shd w:val="clear" w:color="auto" w:fill="auto"/>
              </w:rPr>
              <w:t>0蒸吨以上30蒸吨以下</w:t>
            </w:r>
          </w:p>
        </w:tc>
        <w:tc>
          <w:tcPr>
            <w:tcW w:w="2520"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4</w:t>
            </w:r>
          </w:p>
        </w:tc>
      </w:tr>
      <w:tr>
        <w:trPr>
          <w:trHeight w:val="397" w:hRule="atLeast"/>
          <w:jc w:val="center"/>
        </w:trPr>
        <w:tc>
          <w:tcPr>
            <w:tcW w:w="1347" w:type="dxa"/>
            <w:vMerge w:val="continue"/>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93"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30蒸吨以上35蒸吨以下</w:t>
            </w:r>
          </w:p>
        </w:tc>
        <w:tc>
          <w:tcPr>
            <w:tcW w:w="2520"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5</w:t>
            </w:r>
          </w:p>
        </w:tc>
      </w:tr>
      <w:tr>
        <w:trPr>
          <w:trHeight w:val="397" w:hRule="atLeast"/>
          <w:jc w:val="center"/>
        </w:trPr>
        <w:tc>
          <w:tcPr>
            <w:tcW w:w="134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燃煤锅炉</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建设地点</w:t>
            </w:r>
          </w:p>
        </w:tc>
        <w:tc>
          <w:tcPr>
            <w:tcW w:w="51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居住区、商业交通居民混合区、文化区、工业区和农村地区</w:t>
            </w:r>
          </w:p>
        </w:tc>
        <w:tc>
          <w:tcPr>
            <w:tcW w:w="25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自然保护区、风景名胜区和其他需要特殊保护的区域</w:t>
            </w:r>
          </w:p>
        </w:tc>
        <w:tc>
          <w:tcPr>
            <w:tcW w:w="25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4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rPr>
              <w:t>企业规模</w:t>
            </w:r>
          </w:p>
        </w:tc>
        <w:tc>
          <w:tcPr>
            <w:tcW w:w="51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微型企业</w:t>
            </w:r>
          </w:p>
        </w:tc>
        <w:tc>
          <w:tcPr>
            <w:tcW w:w="25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小型企业</w:t>
            </w:r>
          </w:p>
        </w:tc>
        <w:tc>
          <w:tcPr>
            <w:tcW w:w="25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3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中型企业</w:t>
            </w:r>
          </w:p>
        </w:tc>
        <w:tc>
          <w:tcPr>
            <w:tcW w:w="25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大型企业</w:t>
            </w:r>
          </w:p>
        </w:tc>
        <w:tc>
          <w:tcPr>
            <w:tcW w:w="25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4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1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3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4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rPr>
              <w:t>违法</w:t>
            </w:r>
            <w:r>
              <w:rPr>
                <w:rFonts w:hint="default" w:ascii="Times New Roman" w:hAnsi="Times New Roman" w:cs="Times New Roman"/>
                <w:b/>
                <w:bCs/>
                <w:color w:val="auto"/>
                <w:sz w:val="20"/>
                <w:szCs w:val="20"/>
                <w:shd w:val="clear" w:color="auto" w:fill="auto"/>
                <w:lang w:val="en-US"/>
              </w:rPr>
              <w:t>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持续时间</w:t>
            </w:r>
          </w:p>
        </w:tc>
        <w:tc>
          <w:tcPr>
            <w:tcW w:w="51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1个月</w:t>
            </w:r>
            <w:r>
              <w:rPr>
                <w:rFonts w:hint="default" w:ascii="Times New Roman" w:hAnsi="Times New Roman" w:cs="Times New Roman"/>
                <w:color w:val="auto"/>
                <w:sz w:val="20"/>
                <w:szCs w:val="20"/>
                <w:shd w:val="clear" w:color="auto" w:fill="auto"/>
                <w:lang w:eastAsia="zh-CN"/>
              </w:rPr>
              <w:t>以下</w:t>
            </w:r>
          </w:p>
        </w:tc>
        <w:tc>
          <w:tcPr>
            <w:tcW w:w="25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1个月以上</w:t>
            </w:r>
            <w:r>
              <w:rPr>
                <w:rFonts w:hint="default" w:ascii="Times New Roman" w:hAnsi="Times New Roman" w:cs="Times New Roman"/>
                <w:color w:val="auto"/>
                <w:sz w:val="20"/>
                <w:szCs w:val="20"/>
                <w:shd w:val="clear" w:color="auto" w:fill="auto"/>
                <w:lang w:val="en-US" w:eastAsia="zh-CN"/>
              </w:rPr>
              <w:t>3</w:t>
            </w:r>
            <w:r>
              <w:rPr>
                <w:rFonts w:hint="default" w:ascii="Times New Roman" w:hAnsi="Times New Roman" w:cs="Times New Roman"/>
                <w:color w:val="auto"/>
                <w:sz w:val="20"/>
                <w:szCs w:val="20"/>
                <w:shd w:val="clear" w:color="auto" w:fill="auto"/>
              </w:rPr>
              <w:t>个月</w:t>
            </w:r>
            <w:r>
              <w:rPr>
                <w:rFonts w:hint="default" w:ascii="Times New Roman" w:hAnsi="Times New Roman" w:cs="Times New Roman"/>
                <w:color w:val="auto"/>
                <w:sz w:val="20"/>
                <w:szCs w:val="20"/>
                <w:shd w:val="clear" w:color="auto" w:fill="auto"/>
                <w:lang w:eastAsia="zh-CN"/>
              </w:rPr>
              <w:t>以下</w:t>
            </w:r>
          </w:p>
        </w:tc>
        <w:tc>
          <w:tcPr>
            <w:tcW w:w="25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14" w:hRule="atLeast"/>
          <w:jc w:val="center"/>
        </w:trPr>
        <w:tc>
          <w:tcPr>
            <w:tcW w:w="13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3个月以上</w:t>
            </w:r>
          </w:p>
        </w:tc>
        <w:tc>
          <w:tcPr>
            <w:tcW w:w="25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5</w:t>
            </w:r>
          </w:p>
        </w:tc>
      </w:tr>
      <w:tr>
        <w:trPr>
          <w:trHeight w:val="414" w:hRule="atLeast"/>
          <w:jc w:val="center"/>
        </w:trPr>
        <w:tc>
          <w:tcPr>
            <w:tcW w:w="1347"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r>
              <w:rPr>
                <w:rFonts w:hint="default" w:ascii="Times New Roman" w:hAnsi="Times New Roman" w:cs="Times New Roman"/>
                <w:b/>
                <w:bCs/>
                <w:color w:val="auto"/>
                <w:sz w:val="20"/>
                <w:szCs w:val="20"/>
                <w:shd w:val="clear" w:color="auto" w:fill="auto"/>
                <w:lang w:val="en-US"/>
              </w:rPr>
              <w:t>改正时间</w:t>
            </w:r>
          </w:p>
        </w:tc>
        <w:tc>
          <w:tcPr>
            <w:tcW w:w="519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34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p>
        </w:tc>
        <w:tc>
          <w:tcPr>
            <w:tcW w:w="51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3天以下</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4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p>
        </w:tc>
        <w:tc>
          <w:tcPr>
            <w:tcW w:w="51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34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p>
        </w:tc>
        <w:tc>
          <w:tcPr>
            <w:tcW w:w="51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4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1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5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5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47"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5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4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13" w:type="dxa"/>
            <w:gridSpan w:val="2"/>
            <w:vAlign w:val="top"/>
          </w:tcPr>
          <w:p>
            <w:pPr>
              <w:shd w:val="clear" w:color="auto" w:fill="auto"/>
              <w:snapToGrid w:val="0"/>
              <w:spacing w:before="0" w:beforeAutospacing="0" w:after="0" w:afterAutospacing="0" w:line="320" w:lineRule="exact"/>
              <w:ind w:left="0" w:right="0" w:firstLine="0" w:firstLineChars="0"/>
              <w:jc w:val="both"/>
              <w:rPr>
                <w:rFonts w:hint="default" w:ascii="Times New Roman" w:hAnsi="Times New Roman" w:eastAsia="宋体" w:cs="Times New Roman"/>
                <w:color w:val="auto"/>
                <w:sz w:val="20"/>
                <w:szCs w:val="20"/>
                <w:shd w:val="clear" w:color="auto" w:fill="auto"/>
                <w:lang w:val="en-US" w:eastAsia="zh-CN"/>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z w:val="10"/>
          <w:szCs w:val="10"/>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5403"/>
        <w:gridCol w:w="2263"/>
      </w:tblGrid>
      <w:tr>
        <w:trPr>
          <w:trHeight w:val="369" w:hRule="atLeast"/>
          <w:jc w:val="center"/>
        </w:trPr>
        <w:tc>
          <w:tcPr>
            <w:tcW w:w="9060" w:type="dxa"/>
            <w:gridSpan w:val="3"/>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69" w:hRule="atLeast"/>
          <w:jc w:val="center"/>
        </w:trPr>
        <w:tc>
          <w:tcPr>
            <w:tcW w:w="1394"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66" w:type="dxa"/>
            <w:gridSpan w:val="2"/>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62" w:name="_Toc9524"/>
            <w:r>
              <w:rPr>
                <w:rFonts w:hint="default" w:ascii="Times New Roman" w:hAnsi="Times New Roman" w:cs="Times New Roman"/>
                <w:color w:val="auto"/>
                <w:sz w:val="20"/>
                <w:szCs w:val="20"/>
                <w:shd w:val="clear" w:color="auto" w:fill="auto"/>
              </w:rPr>
              <w:t>15</w:t>
            </w:r>
            <w:bookmarkEnd w:id="62"/>
          </w:p>
        </w:tc>
      </w:tr>
      <w:tr>
        <w:trPr>
          <w:trHeight w:val="369" w:hRule="atLeast"/>
          <w:jc w:val="center"/>
        </w:trPr>
        <w:tc>
          <w:tcPr>
            <w:tcW w:w="1394"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66" w:type="dxa"/>
            <w:gridSpan w:val="2"/>
            <w:vAlign w:val="center"/>
          </w:tcPr>
          <w:p>
            <w:pPr>
              <w:widowControl w:val="0"/>
              <w:shd w:val="clear" w:color="auto" w:fill="auto"/>
              <w:wordWrap/>
              <w:adjustRightInd/>
              <w:snapToGrid w:val="0"/>
              <w:spacing w:before="0" w:beforeAutospacing="0" w:after="0" w:afterAutospacing="0" w:line="320" w:lineRule="exact"/>
              <w:ind w:left="0" w:right="0" w:firstLine="420"/>
              <w:jc w:val="center"/>
              <w:textAlignment w:val="auto"/>
              <w:outlineLvl w:val="9"/>
              <w:rPr>
                <w:rFonts w:hint="default" w:ascii="Times New Roman" w:hAnsi="Times New Roman" w:cs="Times New Roman"/>
                <w:color w:val="auto"/>
                <w:sz w:val="20"/>
                <w:szCs w:val="20"/>
                <w:shd w:val="clear" w:color="auto" w:fill="auto"/>
              </w:rPr>
            </w:pPr>
            <w:bookmarkStart w:id="63" w:name="_Toc30837"/>
            <w:r>
              <w:rPr>
                <w:rFonts w:hint="default" w:ascii="Times New Roman" w:hAnsi="Times New Roman" w:cs="Times New Roman"/>
                <w:color w:val="auto"/>
                <w:sz w:val="20"/>
                <w:szCs w:val="20"/>
                <w:shd w:val="clear" w:color="auto" w:fill="auto"/>
              </w:rPr>
              <w:t>生产、进口、销售或者使用不符合规定标准或者要求的锅炉的</w:t>
            </w:r>
            <w:bookmarkEnd w:id="63"/>
          </w:p>
        </w:tc>
      </w:tr>
      <w:tr>
        <w:trPr>
          <w:trHeight w:val="369" w:hRule="atLeast"/>
          <w:jc w:val="center"/>
        </w:trPr>
        <w:tc>
          <w:tcPr>
            <w:tcW w:w="1394"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66" w:type="dxa"/>
            <w:gridSpan w:val="2"/>
            <w:vAlign w:val="top"/>
          </w:tcPr>
          <w:p>
            <w:pPr>
              <w:widowControl w:val="0"/>
              <w:shd w:val="clear" w:color="auto" w:fill="auto"/>
              <w:wordWrap/>
              <w:adjustRightInd/>
              <w:snapToGrid w:val="0"/>
              <w:spacing w:before="0" w:beforeAutospacing="0" w:after="0" w:afterAutospacing="0" w:line="320" w:lineRule="exact"/>
              <w:ind w:left="0" w:right="0" w:firstLine="422" w:firstLineChars="20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《中华人民共和国大气污染防治法》第四十条 </w:t>
            </w:r>
            <w:r>
              <w:rPr>
                <w:rFonts w:hint="default" w:ascii="Times New Roman" w:hAnsi="Times New Roman" w:cs="Times New Roman"/>
                <w:color w:val="auto"/>
                <w:sz w:val="20"/>
                <w:szCs w:val="20"/>
                <w:shd w:val="clear" w:color="auto" w:fill="auto"/>
              </w:rPr>
              <w:t>县级以上人民政府市场监督管理部门应当会同生态环境主管部门对锅炉生产、进口、销售和使用环节执行环境保护标准或者要求的情况进行监督检查；不符合环境保护标准或者要求的，不得生产、进口、销售和使用。</w:t>
            </w:r>
          </w:p>
        </w:tc>
      </w:tr>
      <w:tr>
        <w:trPr>
          <w:trHeight w:val="369" w:hRule="atLeast"/>
          <w:jc w:val="center"/>
        </w:trPr>
        <w:tc>
          <w:tcPr>
            <w:tcW w:w="1394"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66" w:type="dxa"/>
            <w:gridSpan w:val="2"/>
            <w:vAlign w:val="top"/>
          </w:tcPr>
          <w:p>
            <w:pPr>
              <w:widowControl w:val="0"/>
              <w:shd w:val="clear" w:color="auto" w:fill="auto"/>
              <w:wordWrap/>
              <w:adjustRightInd/>
              <w:snapToGrid w:val="0"/>
              <w:spacing w:before="0" w:beforeAutospacing="0" w:after="0" w:afterAutospacing="0" w:line="320" w:lineRule="exact"/>
              <w:ind w:left="0" w:right="0" w:firstLine="42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《中华人民共和国大气污染防治法》第一百零七条第二款 </w:t>
            </w:r>
            <w:r>
              <w:rPr>
                <w:rFonts w:hint="default" w:ascii="Times New Roman" w:hAnsi="Times New Roman" w:cs="Times New Roman"/>
                <w:color w:val="auto"/>
                <w:sz w:val="20"/>
                <w:szCs w:val="20"/>
                <w:shd w:val="clear" w:color="auto" w:fill="auto"/>
              </w:rPr>
              <w:t>违反本法规定，生产、进口、销售或者使用不符合规定标准或者要求的锅炉，由县级以上人民政府质量监督、生态环境主管部门责令改正，没收违法所得，并处二万元以上二十万元以下的罚款。</w:t>
            </w:r>
          </w:p>
        </w:tc>
      </w:tr>
      <w:tr>
        <w:trPr>
          <w:trHeight w:val="369" w:hRule="atLeast"/>
          <w:jc w:val="center"/>
        </w:trPr>
        <w:tc>
          <w:tcPr>
            <w:tcW w:w="1394"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40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26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jc w:val="center"/>
        </w:trPr>
        <w:tc>
          <w:tcPr>
            <w:tcW w:w="1394" w:type="dxa"/>
            <w:vMerge w:val="restart"/>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40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生产、进口、销售或者使用不符合规定标准或者要求的</w:t>
            </w:r>
          </w:p>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锅炉5台以下的</w:t>
            </w:r>
          </w:p>
        </w:tc>
        <w:tc>
          <w:tcPr>
            <w:tcW w:w="226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94" w:type="dxa"/>
            <w:vMerge w:val="continue"/>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0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生产、进口、销售或者使用不符合规定标准或者要求的</w:t>
            </w:r>
          </w:p>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锅炉5台以上10台以下的</w:t>
            </w:r>
          </w:p>
        </w:tc>
        <w:tc>
          <w:tcPr>
            <w:tcW w:w="226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94" w:type="dxa"/>
            <w:vMerge w:val="continue"/>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0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生产、进口、销售或者使用不符合规定标准或者要求的</w:t>
            </w:r>
          </w:p>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锅炉10台以上的</w:t>
            </w:r>
          </w:p>
        </w:tc>
        <w:tc>
          <w:tcPr>
            <w:tcW w:w="226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94" w:type="dxa"/>
            <w:vMerge w:val="restart"/>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污染防治设施建设使用情况</w:t>
            </w:r>
          </w:p>
        </w:tc>
        <w:tc>
          <w:tcPr>
            <w:tcW w:w="540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配套污染防治设施已建成的</w:t>
            </w:r>
          </w:p>
        </w:tc>
        <w:tc>
          <w:tcPr>
            <w:tcW w:w="226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94" w:type="dxa"/>
            <w:vMerge w:val="continue"/>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0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配套污染防治设施正在建设的</w:t>
            </w:r>
          </w:p>
        </w:tc>
        <w:tc>
          <w:tcPr>
            <w:tcW w:w="226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94" w:type="dxa"/>
            <w:vMerge w:val="continue"/>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0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配套污染防治设施尚未建设的</w:t>
            </w:r>
          </w:p>
        </w:tc>
        <w:tc>
          <w:tcPr>
            <w:tcW w:w="226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94" w:type="dxa"/>
            <w:vMerge w:val="restart"/>
            <w:vAlign w:val="center"/>
          </w:tcPr>
          <w:p>
            <w:pPr>
              <w:widowControl w:val="0"/>
              <w:shd w:val="clear" w:color="auto" w:fill="auto"/>
              <w:wordWrap/>
              <w:adjustRightInd/>
              <w:snapToGrid w:val="0"/>
              <w:spacing w:before="0" w:beforeAutospacing="0" w:after="0" w:afterAutospacing="0" w:line="320" w:lineRule="exact"/>
              <w:ind w:left="0" w:right="0" w:firstLine="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40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26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94" w:type="dxa"/>
            <w:vMerge w:val="continue"/>
            <w:vAlign w:val="center"/>
          </w:tcPr>
          <w:p>
            <w:pPr>
              <w:widowControl w:val="0"/>
              <w:shd w:val="clear" w:color="auto" w:fill="auto"/>
              <w:wordWrap/>
              <w:adjustRightInd/>
              <w:snapToGrid w:val="0"/>
              <w:spacing w:before="0" w:beforeAutospacing="0" w:after="0" w:afterAutospacing="0" w:line="320" w:lineRule="exact"/>
              <w:ind w:left="0" w:right="0" w:firstLine="420"/>
              <w:jc w:val="center"/>
              <w:textAlignment w:val="auto"/>
              <w:rPr>
                <w:rFonts w:hint="default" w:ascii="Times New Roman" w:hAnsi="Times New Roman" w:cs="Times New Roman"/>
                <w:color w:val="auto"/>
                <w:sz w:val="20"/>
                <w:szCs w:val="20"/>
                <w:shd w:val="clear" w:color="auto" w:fill="auto"/>
              </w:rPr>
            </w:pPr>
          </w:p>
        </w:tc>
        <w:tc>
          <w:tcPr>
            <w:tcW w:w="540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26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394" w:type="dxa"/>
            <w:vMerge w:val="continue"/>
            <w:vAlign w:val="center"/>
          </w:tcPr>
          <w:p>
            <w:pPr>
              <w:widowControl w:val="0"/>
              <w:shd w:val="clear" w:color="auto" w:fill="auto"/>
              <w:wordWrap/>
              <w:adjustRightInd/>
              <w:snapToGrid w:val="0"/>
              <w:spacing w:before="0" w:beforeAutospacing="0" w:after="0" w:afterAutospacing="0" w:line="320" w:lineRule="exact"/>
              <w:ind w:left="0" w:right="0" w:firstLine="420"/>
              <w:jc w:val="center"/>
              <w:textAlignment w:val="auto"/>
              <w:rPr>
                <w:rFonts w:hint="default" w:ascii="Times New Roman" w:hAnsi="Times New Roman" w:cs="Times New Roman"/>
                <w:color w:val="auto"/>
                <w:sz w:val="20"/>
                <w:szCs w:val="20"/>
                <w:shd w:val="clear" w:color="auto" w:fill="auto"/>
              </w:rPr>
            </w:pPr>
          </w:p>
        </w:tc>
        <w:tc>
          <w:tcPr>
            <w:tcW w:w="540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26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394" w:type="dxa"/>
            <w:vMerge w:val="continue"/>
            <w:vAlign w:val="center"/>
          </w:tcPr>
          <w:p>
            <w:pPr>
              <w:widowControl w:val="0"/>
              <w:shd w:val="clear" w:color="auto" w:fill="auto"/>
              <w:wordWrap/>
              <w:adjustRightInd/>
              <w:snapToGrid w:val="0"/>
              <w:spacing w:before="0" w:beforeAutospacing="0" w:after="0" w:afterAutospacing="0" w:line="320" w:lineRule="exact"/>
              <w:ind w:left="0" w:right="0" w:firstLine="420"/>
              <w:jc w:val="center"/>
              <w:textAlignment w:val="auto"/>
              <w:rPr>
                <w:rFonts w:hint="default" w:ascii="Times New Roman" w:hAnsi="Times New Roman" w:cs="Times New Roman"/>
                <w:color w:val="auto"/>
                <w:sz w:val="20"/>
                <w:szCs w:val="20"/>
                <w:shd w:val="clear" w:color="auto" w:fill="auto"/>
              </w:rPr>
            </w:pPr>
          </w:p>
        </w:tc>
        <w:tc>
          <w:tcPr>
            <w:tcW w:w="5403" w:type="dxa"/>
            <w:vAlign w:val="center"/>
          </w:tcPr>
          <w:p>
            <w:pPr>
              <w:widowControl w:val="0"/>
              <w:shd w:val="clear" w:color="auto" w:fill="auto"/>
              <w:wordWrap/>
              <w:adjustRightInd/>
              <w:snapToGrid w:val="0"/>
              <w:spacing w:before="0" w:beforeAutospacing="0" w:after="0" w:afterAutospacing="0" w:line="320" w:lineRule="exact"/>
              <w:ind w:left="0" w:right="0" w:firstLine="2205" w:firstLineChars="1050"/>
              <w:jc w:val="both"/>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26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4</w:t>
            </w:r>
          </w:p>
        </w:tc>
      </w:tr>
      <w:tr>
        <w:trPr>
          <w:trHeight w:val="369" w:hRule="atLeast"/>
          <w:jc w:val="center"/>
        </w:trPr>
        <w:tc>
          <w:tcPr>
            <w:tcW w:w="1394" w:type="dxa"/>
            <w:vMerge w:val="restart"/>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40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26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69" w:hRule="atLeast"/>
          <w:jc w:val="center"/>
        </w:trPr>
        <w:tc>
          <w:tcPr>
            <w:tcW w:w="1394" w:type="dxa"/>
            <w:vMerge w:val="continue"/>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0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26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394" w:type="dxa"/>
            <w:vMerge w:val="continue"/>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0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26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394" w:type="dxa"/>
            <w:vMerge w:val="restart"/>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403"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263"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jc w:val="center"/>
        </w:trPr>
        <w:tc>
          <w:tcPr>
            <w:tcW w:w="1394"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403"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263"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jc w:val="center"/>
        </w:trPr>
        <w:tc>
          <w:tcPr>
            <w:tcW w:w="1394"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403"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263"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jc w:val="center"/>
        </w:trPr>
        <w:tc>
          <w:tcPr>
            <w:tcW w:w="1394"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403"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263"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jc w:val="center"/>
        </w:trPr>
        <w:tc>
          <w:tcPr>
            <w:tcW w:w="1394"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403"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263"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69" w:hRule="atLeast"/>
          <w:jc w:val="center"/>
        </w:trPr>
        <w:tc>
          <w:tcPr>
            <w:tcW w:w="1394" w:type="dxa"/>
            <w:vMerge w:val="restart"/>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改正时间</w:t>
            </w:r>
          </w:p>
        </w:tc>
        <w:tc>
          <w:tcPr>
            <w:tcW w:w="5403"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eastAsia="zh-CN"/>
              </w:rPr>
            </w:pPr>
            <w:r>
              <w:rPr>
                <w:rFonts w:hint="eastAsia" w:ascii="Times New Roman" w:hAnsi="Times New Roman" w:cs="Times New Roman"/>
                <w:color w:val="auto"/>
                <w:kern w:val="2"/>
                <w:sz w:val="21"/>
                <w:szCs w:val="21"/>
                <w:shd w:val="clear" w:color="auto" w:fill="auto"/>
                <w:lang w:eastAsia="zh-CN"/>
              </w:rPr>
              <w:t>限期改正</w:t>
            </w:r>
          </w:p>
        </w:tc>
        <w:tc>
          <w:tcPr>
            <w:tcW w:w="226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369" w:hRule="atLeast"/>
          <w:jc w:val="center"/>
        </w:trPr>
        <w:tc>
          <w:tcPr>
            <w:tcW w:w="1394" w:type="dxa"/>
            <w:vMerge w:val="continue"/>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40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3天以下</w:t>
            </w:r>
          </w:p>
        </w:tc>
        <w:tc>
          <w:tcPr>
            <w:tcW w:w="226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394" w:type="dxa"/>
            <w:vMerge w:val="continue"/>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40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26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69" w:hRule="atLeast"/>
          <w:jc w:val="center"/>
        </w:trPr>
        <w:tc>
          <w:tcPr>
            <w:tcW w:w="1394" w:type="dxa"/>
            <w:vMerge w:val="continue"/>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40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263"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9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40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2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0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2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94" w:type="dxa"/>
            <w:vMerge w:val="continue"/>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b/>
                <w:bCs/>
                <w:color w:val="auto"/>
                <w:sz w:val="20"/>
                <w:szCs w:val="20"/>
                <w:shd w:val="clear" w:color="auto" w:fill="auto"/>
              </w:rPr>
            </w:pPr>
          </w:p>
        </w:tc>
        <w:tc>
          <w:tcPr>
            <w:tcW w:w="540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2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9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40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2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40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2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40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2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90" w:hRule="atLeast"/>
          <w:jc w:val="center"/>
        </w:trPr>
        <w:tc>
          <w:tcPr>
            <w:tcW w:w="13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40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2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66" w:type="dxa"/>
            <w:gridSpan w:val="2"/>
            <w:vAlign w:val="center"/>
          </w:tcPr>
          <w:p>
            <w:pPr>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0"/>
                <w:szCs w:val="20"/>
                <w:shd w:val="clear" w:color="auto" w:fill="auto"/>
              </w:rPr>
            </w:pPr>
          </w:p>
        </w:tc>
      </w:tr>
    </w:tbl>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z w:val="10"/>
          <w:szCs w:val="10"/>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5173"/>
        <w:gridCol w:w="2553"/>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97" w:hRule="atLeast"/>
          <w:jc w:val="center"/>
        </w:trPr>
        <w:tc>
          <w:tcPr>
            <w:tcW w:w="13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26"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64" w:name="_Toc4265"/>
            <w:r>
              <w:rPr>
                <w:rFonts w:hint="default" w:ascii="Times New Roman" w:hAnsi="Times New Roman" w:cs="Times New Roman"/>
                <w:color w:val="auto"/>
                <w:sz w:val="20"/>
                <w:szCs w:val="20"/>
                <w:shd w:val="clear" w:color="auto" w:fill="auto"/>
              </w:rPr>
              <w:t>16</w:t>
            </w:r>
            <w:bookmarkEnd w:id="64"/>
          </w:p>
        </w:tc>
      </w:tr>
      <w:tr>
        <w:trPr>
          <w:trHeight w:val="90" w:hRule="atLeast"/>
          <w:jc w:val="center"/>
        </w:trPr>
        <w:tc>
          <w:tcPr>
            <w:tcW w:w="13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26" w:type="dxa"/>
            <w:gridSpan w:val="2"/>
            <w:vAlign w:val="top"/>
          </w:tcPr>
          <w:p>
            <w:pPr>
              <w:pStyle w:val="18"/>
              <w:shd w:val="clear" w:color="auto" w:fill="auto"/>
              <w:snapToGrid w:val="0"/>
              <w:spacing w:before="0" w:beforeAutospacing="0" w:after="0" w:afterAutospacing="0" w:line="300" w:lineRule="exact"/>
              <w:ind w:left="0" w:right="0" w:firstLine="420" w:firstLineChars="200"/>
              <w:outlineLvl w:val="9"/>
              <w:rPr>
                <w:rFonts w:hint="default" w:ascii="Times New Roman" w:hAnsi="Times New Roman" w:cs="Times New Roman"/>
                <w:color w:val="auto"/>
                <w:kern w:val="2"/>
                <w:sz w:val="21"/>
                <w:szCs w:val="21"/>
                <w:shd w:val="clear" w:color="auto" w:fill="auto"/>
              </w:rPr>
            </w:pPr>
            <w:bookmarkStart w:id="65" w:name="_Toc28563"/>
            <w:r>
              <w:rPr>
                <w:rFonts w:hint="default" w:ascii="Times New Roman" w:hAnsi="Times New Roman" w:cs="Times New Roman"/>
                <w:color w:val="auto"/>
                <w:kern w:val="2"/>
                <w:sz w:val="21"/>
                <w:szCs w:val="21"/>
                <w:shd w:val="clear" w:color="auto" w:fill="auto"/>
              </w:rPr>
              <w:t>产生含挥发性有机物废气的生产和服务活动，未在密闭空间或者设备中进行，未按照规定安装、使用污染防治设施，或者未采取减少废气排放措施的</w:t>
            </w:r>
            <w:bookmarkEnd w:id="65"/>
          </w:p>
        </w:tc>
      </w:tr>
      <w:tr>
        <w:trPr>
          <w:trHeight w:val="397" w:hRule="atLeast"/>
          <w:jc w:val="center"/>
        </w:trPr>
        <w:tc>
          <w:tcPr>
            <w:tcW w:w="13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26" w:type="dxa"/>
            <w:gridSpan w:val="2"/>
            <w:vAlign w:val="top"/>
          </w:tcPr>
          <w:p>
            <w:pPr>
              <w:pStyle w:val="19"/>
              <w:shd w:val="clear" w:color="auto" w:fill="auto"/>
              <w:snapToGrid w:val="0"/>
              <w:spacing w:before="0" w:beforeAutospacing="0" w:after="0" w:afterAutospacing="0" w:line="300" w:lineRule="exact"/>
              <w:ind w:left="0" w:right="0" w:firstLine="422" w:firstLineChars="20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《中华人民共和国大气污染防治法》第四十五条</w:t>
            </w:r>
            <w:r>
              <w:rPr>
                <w:rFonts w:hint="default" w:ascii="Times New Roman" w:hAnsi="Times New Roman" w:cs="Times New Roman"/>
                <w:color w:val="auto"/>
                <w:kern w:val="2"/>
                <w:sz w:val="21"/>
                <w:szCs w:val="21"/>
                <w:shd w:val="clear" w:color="auto" w:fill="auto"/>
              </w:rPr>
              <w:t xml:space="preserve"> 产生含挥发性有机物废气的生产和服务活动，应当在密闭空间或者设备中进行，并按照规定安装、使用污染防治设施;无法密闭的，应当采取措施减少废气排放。</w:t>
            </w:r>
          </w:p>
          <w:p>
            <w:pPr>
              <w:pStyle w:val="19"/>
              <w:shd w:val="clear" w:color="auto" w:fill="auto"/>
              <w:snapToGrid w:val="0"/>
              <w:spacing w:before="0" w:beforeAutospacing="0" w:after="0" w:afterAutospacing="0" w:line="300" w:lineRule="exact"/>
              <w:ind w:left="0" w:right="0" w:firstLine="422" w:firstLineChars="20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《河南省大气污染防治条例》第三十七条</w:t>
            </w:r>
            <w:r>
              <w:rPr>
                <w:rFonts w:hint="default" w:ascii="Times New Roman" w:hAnsi="Times New Roman" w:cs="Times New Roman"/>
                <w:color w:val="auto"/>
                <w:kern w:val="2"/>
                <w:sz w:val="21"/>
                <w:szCs w:val="21"/>
                <w:shd w:val="clear" w:color="auto" w:fill="auto"/>
              </w:rPr>
              <w:t xml:space="preserve"> </w:t>
            </w:r>
            <w:r>
              <w:rPr>
                <w:rFonts w:hint="default" w:ascii="Times New Roman" w:hAnsi="Times New Roman" w:cs="Times New Roman"/>
                <w:b/>
                <w:bCs/>
                <w:color w:val="auto"/>
                <w:kern w:val="2"/>
                <w:sz w:val="21"/>
                <w:szCs w:val="21"/>
                <w:shd w:val="clear" w:color="auto" w:fill="auto"/>
                <w:lang w:val="en-US"/>
              </w:rPr>
              <w:t>第一款</w:t>
            </w:r>
            <w:r>
              <w:rPr>
                <w:rFonts w:hint="default" w:ascii="Times New Roman" w:hAnsi="Times New Roman" w:cs="Times New Roman"/>
                <w:color w:val="auto"/>
                <w:kern w:val="2"/>
                <w:sz w:val="21"/>
                <w:szCs w:val="21"/>
                <w:shd w:val="clear" w:color="auto" w:fill="auto"/>
              </w:rPr>
              <w:t>石化、重点有机化工等企业应当建立泄漏检测与修复体系，对管道、设备等进行日常检修、维护，及时收集处理泄漏物料，加强生产、输送、进出料、干燥以及采样等易泄漏环节的密闭性和安全性，对无组织排放的挥发性有机物废气应当进行收集和有效处理，对有组织排放的挥发性有机物废气应当进行回收利用或者进行催化燃烧、热力焚烧，提高有机废气净化效率。</w:t>
            </w:r>
          </w:p>
          <w:p>
            <w:pPr>
              <w:pStyle w:val="19"/>
              <w:shd w:val="clear" w:color="auto" w:fill="auto"/>
              <w:snapToGrid w:val="0"/>
              <w:spacing w:before="0" w:beforeAutospacing="0" w:after="0" w:afterAutospacing="0" w:line="300" w:lineRule="exact"/>
              <w:ind w:left="0" w:right="0" w:firstLine="420" w:firstLineChars="20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highlight w:val="none"/>
                <w:shd w:val="clear" w:color="auto" w:fill="auto"/>
              </w:rPr>
              <w:t>鼓励工业企业改进生产工艺，使用低挥发性有机物含量的原材料生产，减少挥发性有机物排放。</w:t>
            </w:r>
          </w:p>
        </w:tc>
      </w:tr>
      <w:tr>
        <w:trPr>
          <w:trHeight w:val="397" w:hRule="atLeast"/>
          <w:jc w:val="center"/>
        </w:trPr>
        <w:tc>
          <w:tcPr>
            <w:tcW w:w="13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26" w:type="dxa"/>
            <w:gridSpan w:val="2"/>
            <w:vAlign w:val="top"/>
          </w:tcPr>
          <w:p>
            <w:pPr>
              <w:pStyle w:val="19"/>
              <w:shd w:val="clear" w:color="auto" w:fill="auto"/>
              <w:snapToGrid w:val="0"/>
              <w:spacing w:before="0" w:beforeAutospacing="0" w:after="0" w:afterAutospacing="0" w:line="300" w:lineRule="exact"/>
              <w:ind w:left="0" w:right="0" w:firstLine="36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《中华人民共和国大气污染防治法》第一百零八条第（一）项</w:t>
            </w:r>
            <w:r>
              <w:rPr>
                <w:rFonts w:hint="default" w:ascii="Times New Roman" w:hAnsi="Times New Roman" w:cs="Times New Roman"/>
                <w:color w:val="auto"/>
                <w:kern w:val="2"/>
                <w:sz w:val="21"/>
                <w:szCs w:val="21"/>
                <w:shd w:val="clear" w:color="auto" w:fill="auto"/>
              </w:rPr>
              <w:t xml:space="preserve"> 违反本法规定，有下列行为之一的，由县级以上人民政府生态环境主管部门责令改正，处二万元以上二十万元以下的罚款；拒不改正的，责令停产整治:</w:t>
            </w:r>
          </w:p>
          <w:p>
            <w:pPr>
              <w:pStyle w:val="19"/>
              <w:shd w:val="clear" w:color="auto" w:fill="auto"/>
              <w:snapToGrid w:val="0"/>
              <w:spacing w:before="0" w:beforeAutospacing="0" w:after="0" w:afterAutospacing="0" w:line="300" w:lineRule="exact"/>
              <w:ind w:left="0" w:right="0" w:firstLine="420" w:firstLineChars="20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（一）产生含挥发性有机物废气的生产和服务活动，未在密闭空间或者设备中进行，未按照规定安装、使用污染防治设施，或者未采取减少废气排放措施的。</w:t>
            </w:r>
          </w:p>
          <w:p>
            <w:pPr>
              <w:pStyle w:val="19"/>
              <w:shd w:val="clear" w:color="auto" w:fill="auto"/>
              <w:snapToGrid w:val="0"/>
              <w:spacing w:before="0" w:beforeAutospacing="0" w:after="0" w:afterAutospacing="0" w:line="300" w:lineRule="exact"/>
              <w:ind w:left="0" w:right="0" w:firstLine="413" w:firstLineChars="196"/>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 xml:space="preserve">《河南省大气污染防治条例》第七十二条第（二）项 </w:t>
            </w:r>
            <w:r>
              <w:rPr>
                <w:rFonts w:hint="default" w:ascii="Times New Roman" w:hAnsi="Times New Roman" w:cs="Times New Roman"/>
                <w:color w:val="auto"/>
                <w:kern w:val="2"/>
                <w:sz w:val="21"/>
                <w:szCs w:val="21"/>
                <w:shd w:val="clear" w:color="auto" w:fill="auto"/>
              </w:rPr>
              <w:t>有下列行为之一的，由县级以上人民政府环境保护主管部门责令改正，处二万元以上二十万元以下罚款；拒不改正的，责令停产整治：</w:t>
            </w:r>
          </w:p>
          <w:p>
            <w:pPr>
              <w:pStyle w:val="19"/>
              <w:shd w:val="clear" w:color="auto" w:fill="auto"/>
              <w:snapToGrid w:val="0"/>
              <w:spacing w:before="0" w:beforeAutospacing="0" w:after="0" w:afterAutospacing="0" w:line="300" w:lineRule="exact"/>
              <w:ind w:left="0" w:right="0" w:firstLine="420" w:firstLineChars="20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（二）违反本条例第三十七条规定，石化、重点有机化工等企业对无组织排放挥发性有机物废气未进行收集和有效处理，对有组织排放挥发性有机物废气未进行回收利用或者催化燃烧、热力焚烧的。</w:t>
            </w:r>
          </w:p>
        </w:tc>
      </w:tr>
      <w:tr>
        <w:trPr>
          <w:trHeight w:val="369" w:hRule="atLeast"/>
          <w:jc w:val="center"/>
        </w:trPr>
        <w:tc>
          <w:tcPr>
            <w:tcW w:w="13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jc w:val="center"/>
        </w:trPr>
        <w:tc>
          <w:tcPr>
            <w:tcW w:w="1334" w:type="dxa"/>
            <w:vMerge w:val="restart"/>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73"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未按要求密闭</w:t>
            </w:r>
            <w:r>
              <w:rPr>
                <w:rFonts w:hint="default"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rPr>
              <w:t>未规范使用污染防治设施</w:t>
            </w:r>
          </w:p>
        </w:tc>
        <w:tc>
          <w:tcPr>
            <w:tcW w:w="2553"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34" w:type="dxa"/>
            <w:vMerge w:val="continue"/>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73"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未按要求</w:t>
            </w:r>
            <w:r>
              <w:rPr>
                <w:rFonts w:hint="default" w:ascii="Times New Roman" w:hAnsi="Times New Roman" w:cs="Times New Roman"/>
                <w:color w:val="auto"/>
                <w:sz w:val="20"/>
                <w:szCs w:val="20"/>
                <w:shd w:val="clear" w:color="auto" w:fill="auto"/>
              </w:rPr>
              <w:t>密闭</w:t>
            </w:r>
            <w:r>
              <w:rPr>
                <w:rFonts w:hint="default" w:ascii="Times New Roman" w:hAnsi="Times New Roman" w:cs="Times New Roman"/>
                <w:color w:val="auto"/>
                <w:sz w:val="20"/>
                <w:szCs w:val="20"/>
                <w:shd w:val="clear" w:color="auto" w:fill="auto"/>
                <w:lang w:eastAsia="zh-CN"/>
              </w:rPr>
              <w:t>且</w:t>
            </w:r>
            <w:r>
              <w:rPr>
                <w:rFonts w:hint="default" w:ascii="Times New Roman" w:hAnsi="Times New Roman" w:cs="Times New Roman"/>
                <w:color w:val="auto"/>
                <w:sz w:val="20"/>
                <w:szCs w:val="20"/>
                <w:shd w:val="clear" w:color="auto" w:fill="auto"/>
              </w:rPr>
              <w:t>未规范使用污染防治设施</w:t>
            </w:r>
          </w:p>
        </w:tc>
        <w:tc>
          <w:tcPr>
            <w:tcW w:w="2553"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334" w:type="dxa"/>
            <w:vMerge w:val="continue"/>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73"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未在密闭空间或者设备中进行</w:t>
            </w:r>
          </w:p>
        </w:tc>
        <w:tc>
          <w:tcPr>
            <w:tcW w:w="2553"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34" w:type="dxa"/>
            <w:vMerge w:val="continue"/>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73"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未按照规定安装</w:t>
            </w:r>
            <w:r>
              <w:rPr>
                <w:rFonts w:hint="default" w:ascii="Times New Roman" w:hAnsi="Times New Roman" w:cs="Times New Roman"/>
                <w:color w:val="auto"/>
                <w:sz w:val="20"/>
                <w:szCs w:val="20"/>
                <w:shd w:val="clear" w:color="auto" w:fill="auto"/>
                <w:lang w:eastAsia="zh-CN"/>
              </w:rPr>
              <w:t>、使用污染防治设施</w:t>
            </w:r>
          </w:p>
        </w:tc>
        <w:tc>
          <w:tcPr>
            <w:tcW w:w="2553"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334" w:type="dxa"/>
            <w:vMerge w:val="continue"/>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73"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rPr>
              <w:t>未采取措施减少废气排放</w:t>
            </w:r>
          </w:p>
        </w:tc>
        <w:tc>
          <w:tcPr>
            <w:tcW w:w="2553"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5</w:t>
            </w:r>
          </w:p>
        </w:tc>
      </w:tr>
      <w:tr>
        <w:trPr>
          <w:trHeight w:val="369" w:hRule="atLeast"/>
          <w:jc w:val="center"/>
        </w:trPr>
        <w:tc>
          <w:tcPr>
            <w:tcW w:w="133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涉及行业</w:t>
            </w:r>
          </w:p>
        </w:tc>
        <w:tc>
          <w:tcPr>
            <w:tcW w:w="51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汽车销售、维修行业</w:t>
            </w:r>
          </w:p>
        </w:tc>
        <w:tc>
          <w:tcPr>
            <w:tcW w:w="2553"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369" w:hRule="atLeast"/>
          <w:jc w:val="center"/>
        </w:trPr>
        <w:tc>
          <w:tcPr>
            <w:tcW w:w="133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涂装、印刷、包装、粘合等含挥发性有机物的产品使用，基础化学原料制造、化学药品原料药制造等含挥发性有机物的产品生产</w:t>
            </w:r>
          </w:p>
        </w:tc>
        <w:tc>
          <w:tcPr>
            <w:tcW w:w="25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33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油品、溶剂的储存、运输和销售</w:t>
            </w:r>
          </w:p>
        </w:tc>
        <w:tc>
          <w:tcPr>
            <w:tcW w:w="25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3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机械设备制造、轮胎制造等含挥发性有机物原料的生产或使用</w:t>
            </w:r>
          </w:p>
        </w:tc>
        <w:tc>
          <w:tcPr>
            <w:tcW w:w="25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33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石油冶炼、石油化工、煤化工等含挥发性有机物原料的生产</w:t>
            </w:r>
          </w:p>
        </w:tc>
        <w:tc>
          <w:tcPr>
            <w:tcW w:w="25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生产和服务活动</w:t>
            </w:r>
            <w:r>
              <w:rPr>
                <w:rFonts w:hint="default" w:ascii="Times New Roman" w:hAnsi="Times New Roman" w:cs="Times New Roman"/>
                <w:b/>
                <w:bCs/>
                <w:color w:val="auto"/>
                <w:sz w:val="20"/>
                <w:szCs w:val="20"/>
                <w:shd w:val="clear" w:color="auto" w:fill="auto"/>
              </w:rPr>
              <w:t>地点</w:t>
            </w:r>
          </w:p>
        </w:tc>
        <w:tc>
          <w:tcPr>
            <w:tcW w:w="5173"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符合环境功能区划</w:t>
            </w:r>
          </w:p>
        </w:tc>
        <w:tc>
          <w:tcPr>
            <w:tcW w:w="2553"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33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3"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不符合环境功能区划，但位于居住区、商业交通居民混合区、文化区、工业区和农村地区</w:t>
            </w:r>
          </w:p>
        </w:tc>
        <w:tc>
          <w:tcPr>
            <w:tcW w:w="2553"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3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3"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不符合环境功能区划，但位于自然保护区、风景名胜区和其他需要特殊保护的区域</w:t>
            </w:r>
          </w:p>
        </w:tc>
        <w:tc>
          <w:tcPr>
            <w:tcW w:w="2553"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3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企业规模</w:t>
            </w:r>
          </w:p>
        </w:tc>
        <w:tc>
          <w:tcPr>
            <w:tcW w:w="51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3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3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3"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4</w:t>
            </w:r>
          </w:p>
        </w:tc>
      </w:tr>
      <w:tr>
        <w:trPr>
          <w:trHeight w:val="397" w:hRule="atLeast"/>
          <w:jc w:val="center"/>
        </w:trPr>
        <w:tc>
          <w:tcPr>
            <w:tcW w:w="133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17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5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33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5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3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5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34"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7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55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jc w:val="center"/>
        </w:trPr>
        <w:tc>
          <w:tcPr>
            <w:tcW w:w="133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7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55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jc w:val="center"/>
        </w:trPr>
        <w:tc>
          <w:tcPr>
            <w:tcW w:w="133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7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55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jc w:val="center"/>
        </w:trPr>
        <w:tc>
          <w:tcPr>
            <w:tcW w:w="133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7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55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jc w:val="center"/>
        </w:trPr>
        <w:tc>
          <w:tcPr>
            <w:tcW w:w="133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7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55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33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改正时间</w:t>
            </w:r>
          </w:p>
        </w:tc>
        <w:tc>
          <w:tcPr>
            <w:tcW w:w="517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eastAsia="zh-CN"/>
              </w:rPr>
            </w:pPr>
            <w:r>
              <w:rPr>
                <w:rFonts w:hint="eastAsia" w:ascii="Times New Roman" w:hAnsi="Times New Roman" w:cs="Times New Roman"/>
                <w:color w:val="auto"/>
                <w:kern w:val="2"/>
                <w:sz w:val="21"/>
                <w:szCs w:val="21"/>
                <w:shd w:val="clear" w:color="auto" w:fill="auto"/>
                <w:lang w:eastAsia="zh-CN"/>
              </w:rPr>
              <w:t>限期改正</w:t>
            </w:r>
          </w:p>
        </w:tc>
        <w:tc>
          <w:tcPr>
            <w:tcW w:w="25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33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17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3天以下</w:t>
            </w:r>
          </w:p>
        </w:tc>
        <w:tc>
          <w:tcPr>
            <w:tcW w:w="25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3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17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5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33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17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5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3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5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5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3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5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7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5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3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5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3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5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26" w:type="dxa"/>
            <w:gridSpan w:val="2"/>
            <w:vAlign w:val="center"/>
          </w:tcPr>
          <w:p>
            <w:pPr>
              <w:shd w:val="clear" w:color="auto" w:fill="auto"/>
              <w:snapToGrid w:val="0"/>
              <w:spacing w:before="0" w:beforeAutospacing="0" w:after="0" w:afterAutospacing="0" w:line="320" w:lineRule="exact"/>
              <w:ind w:left="0" w:right="0" w:firstLine="420"/>
              <w:jc w:val="both"/>
              <w:rPr>
                <w:rFonts w:hint="default" w:ascii="Times New Roman" w:hAnsi="Times New Roman" w:eastAsia="宋体" w:cs="Times New Roman"/>
                <w:color w:val="auto"/>
                <w:sz w:val="20"/>
                <w:szCs w:val="20"/>
                <w:shd w:val="clear" w:color="auto" w:fill="auto"/>
                <w:lang w:val="en-US" w:eastAsia="zh-CN"/>
              </w:rPr>
            </w:pPr>
          </w:p>
        </w:tc>
      </w:tr>
    </w:tbl>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z w:val="10"/>
          <w:szCs w:val="10"/>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5925"/>
        <w:gridCol w:w="1752"/>
      </w:tblGrid>
      <w:tr>
        <w:trPr>
          <w:trHeight w:val="397" w:hRule="atLeast"/>
          <w:jc w:val="center"/>
        </w:trPr>
        <w:tc>
          <w:tcPr>
            <w:tcW w:w="9060" w:type="dxa"/>
            <w:gridSpan w:val="3"/>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97" w:hRule="atLeast"/>
          <w:jc w:val="center"/>
        </w:trPr>
        <w:tc>
          <w:tcPr>
            <w:tcW w:w="1383"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77" w:type="dxa"/>
            <w:gridSpan w:val="2"/>
            <w:vAlign w:val="center"/>
          </w:tcPr>
          <w:p>
            <w:pPr>
              <w:shd w:val="clear" w:color="auto" w:fill="auto"/>
              <w:wordWrap/>
              <w:adjustRightInd/>
              <w:snapToGrid w:val="0"/>
              <w:spacing w:before="0" w:beforeAutospacing="0" w:after="0" w:afterAutospacing="0" w:line="28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66" w:name="_Toc1010"/>
            <w:r>
              <w:rPr>
                <w:rFonts w:hint="default" w:ascii="Times New Roman" w:hAnsi="Times New Roman" w:cs="Times New Roman"/>
                <w:color w:val="auto"/>
                <w:sz w:val="20"/>
                <w:szCs w:val="20"/>
                <w:shd w:val="clear" w:color="auto" w:fill="auto"/>
              </w:rPr>
              <w:t>17</w:t>
            </w:r>
            <w:bookmarkEnd w:id="66"/>
          </w:p>
        </w:tc>
      </w:tr>
      <w:tr>
        <w:trPr>
          <w:trHeight w:val="397" w:hRule="atLeast"/>
          <w:jc w:val="center"/>
        </w:trPr>
        <w:tc>
          <w:tcPr>
            <w:tcW w:w="1383"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77" w:type="dxa"/>
            <w:gridSpan w:val="2"/>
            <w:vAlign w:val="center"/>
          </w:tcPr>
          <w:p>
            <w:pPr>
              <w:pStyle w:val="18"/>
              <w:shd w:val="clear" w:color="auto" w:fill="auto"/>
              <w:wordWrap/>
              <w:adjustRightInd/>
              <w:snapToGrid w:val="0"/>
              <w:spacing w:before="0" w:beforeAutospacing="0" w:after="0" w:afterAutospacing="0" w:line="280" w:lineRule="exact"/>
              <w:ind w:left="0" w:right="0"/>
              <w:jc w:val="center"/>
              <w:textAlignment w:val="auto"/>
              <w:outlineLvl w:val="9"/>
              <w:rPr>
                <w:rFonts w:hint="default" w:ascii="Times New Roman" w:hAnsi="Times New Roman" w:cs="Times New Roman"/>
                <w:color w:val="auto"/>
                <w:kern w:val="2"/>
                <w:sz w:val="21"/>
                <w:szCs w:val="21"/>
                <w:shd w:val="clear" w:color="auto" w:fill="auto"/>
              </w:rPr>
            </w:pPr>
            <w:bookmarkStart w:id="67" w:name="_Toc31854"/>
            <w:r>
              <w:rPr>
                <w:rFonts w:hint="default" w:ascii="Times New Roman" w:hAnsi="Times New Roman" w:cs="Times New Roman"/>
                <w:color w:val="auto"/>
                <w:kern w:val="2"/>
                <w:sz w:val="21"/>
                <w:szCs w:val="21"/>
                <w:shd w:val="clear" w:color="auto" w:fill="auto"/>
              </w:rPr>
              <w:t>工业涂装企业未使用低挥发性有机物含量涂料或者未建立、保存台账的</w:t>
            </w:r>
            <w:bookmarkEnd w:id="67"/>
          </w:p>
        </w:tc>
      </w:tr>
      <w:tr>
        <w:trPr>
          <w:trHeight w:val="397" w:hRule="atLeast"/>
          <w:jc w:val="center"/>
        </w:trPr>
        <w:tc>
          <w:tcPr>
            <w:tcW w:w="1383"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77" w:type="dxa"/>
            <w:gridSpan w:val="2"/>
            <w:vAlign w:val="top"/>
          </w:tcPr>
          <w:p>
            <w:pPr>
              <w:pStyle w:val="18"/>
              <w:shd w:val="clear" w:color="auto" w:fill="auto"/>
              <w:wordWrap/>
              <w:adjustRightInd/>
              <w:snapToGrid w:val="0"/>
              <w:spacing w:before="0" w:beforeAutospacing="0" w:after="0" w:afterAutospacing="0" w:line="280" w:lineRule="exact"/>
              <w:ind w:left="0" w:right="0" w:firstLine="357"/>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《中华人民共和国大气污染防治法》第四十六条</w:t>
            </w:r>
            <w:r>
              <w:rPr>
                <w:rFonts w:hint="default" w:ascii="Times New Roman" w:hAnsi="Times New Roman" w:cs="Times New Roman"/>
                <w:color w:val="auto"/>
                <w:kern w:val="2"/>
                <w:sz w:val="21"/>
                <w:szCs w:val="21"/>
                <w:shd w:val="clear" w:color="auto" w:fill="auto"/>
              </w:rPr>
              <w:t xml:space="preserve"> 工业涂装企业应当使用低挥发性有机物含量的涂料，并建立台账，记录生产原料、辅料的使用量、废弃量、去向以及挥发性有机物含量。台账保存期限不得少于三年。</w:t>
            </w:r>
          </w:p>
        </w:tc>
      </w:tr>
      <w:tr>
        <w:trPr>
          <w:trHeight w:val="397" w:hRule="atLeast"/>
          <w:jc w:val="center"/>
        </w:trPr>
        <w:tc>
          <w:tcPr>
            <w:tcW w:w="1383"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77" w:type="dxa"/>
            <w:gridSpan w:val="2"/>
            <w:vAlign w:val="top"/>
          </w:tcPr>
          <w:p>
            <w:pPr>
              <w:pStyle w:val="18"/>
              <w:shd w:val="clear" w:color="auto" w:fill="auto"/>
              <w:wordWrap/>
              <w:adjustRightInd/>
              <w:snapToGrid w:val="0"/>
              <w:spacing w:before="0" w:beforeAutospacing="0" w:after="0" w:afterAutospacing="0" w:line="280" w:lineRule="exact"/>
              <w:ind w:left="0" w:right="0" w:firstLine="357"/>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《中华人民共和国大气污染防治法》第一百零八条第（二）项</w:t>
            </w:r>
            <w:r>
              <w:rPr>
                <w:rFonts w:hint="default" w:ascii="Times New Roman" w:hAnsi="Times New Roman" w:cs="Times New Roman"/>
                <w:color w:val="auto"/>
                <w:kern w:val="2"/>
                <w:sz w:val="21"/>
                <w:szCs w:val="21"/>
                <w:shd w:val="clear" w:color="auto" w:fill="auto"/>
              </w:rPr>
              <w:t xml:space="preserve"> 违反本法规定，有下列行为之一的，由县级以上人民政府生态环境主管部门责令改正，处二万元以上二十万元以下的罚款；拒不改正的，责令停产整治:</w:t>
            </w:r>
          </w:p>
          <w:p>
            <w:pPr>
              <w:pStyle w:val="18"/>
              <w:shd w:val="clear" w:color="auto" w:fill="auto"/>
              <w:wordWrap/>
              <w:adjustRightInd/>
              <w:snapToGrid w:val="0"/>
              <w:spacing w:before="0" w:beforeAutospacing="0" w:after="0" w:afterAutospacing="0" w:line="280" w:lineRule="exact"/>
              <w:ind w:left="0" w:right="0" w:firstLine="360"/>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（二）工业涂装企业未使用低挥发性有机物含量涂料或者未建立、保存台账的。</w:t>
            </w:r>
          </w:p>
        </w:tc>
      </w:tr>
      <w:tr>
        <w:trPr>
          <w:trHeight w:val="425" w:hRule="atLeast"/>
          <w:jc w:val="center"/>
        </w:trPr>
        <w:tc>
          <w:tcPr>
            <w:tcW w:w="1383"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92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175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jc w:val="center"/>
        </w:trPr>
        <w:tc>
          <w:tcPr>
            <w:tcW w:w="1383" w:type="dxa"/>
            <w:vMerge w:val="restart"/>
            <w:vAlign w:val="center"/>
          </w:tcPr>
          <w:p>
            <w:pPr>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925" w:type="dxa"/>
            <w:vAlign w:val="center"/>
          </w:tcPr>
          <w:p>
            <w:pPr>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已使用低挥发性有机物含量涂料，但</w:t>
            </w:r>
            <w:r>
              <w:rPr>
                <w:rFonts w:hint="default" w:ascii="Times New Roman" w:hAnsi="Times New Roman" w:cs="Times New Roman"/>
                <w:color w:val="auto"/>
                <w:sz w:val="20"/>
                <w:szCs w:val="20"/>
                <w:shd w:val="clear" w:color="auto" w:fill="auto"/>
                <w:lang w:eastAsia="zh-CN"/>
              </w:rPr>
              <w:t>台账记录不完整</w:t>
            </w:r>
          </w:p>
        </w:tc>
        <w:tc>
          <w:tcPr>
            <w:tcW w:w="1752" w:type="dxa"/>
            <w:vAlign w:val="center"/>
          </w:tcPr>
          <w:p>
            <w:pPr>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425" w:hRule="atLeast"/>
          <w:jc w:val="center"/>
        </w:trPr>
        <w:tc>
          <w:tcPr>
            <w:tcW w:w="1383" w:type="dxa"/>
            <w:vMerge w:val="continue"/>
            <w:vAlign w:val="center"/>
          </w:tcPr>
          <w:p>
            <w:pPr>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925" w:type="dxa"/>
            <w:vAlign w:val="center"/>
          </w:tcPr>
          <w:p>
            <w:pPr>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已使用低挥发性有机物含量涂料，但未建立、保存台账的</w:t>
            </w:r>
          </w:p>
        </w:tc>
        <w:tc>
          <w:tcPr>
            <w:tcW w:w="1752" w:type="dxa"/>
            <w:vAlign w:val="center"/>
          </w:tcPr>
          <w:p>
            <w:pPr>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425" w:hRule="atLeast"/>
          <w:jc w:val="center"/>
        </w:trPr>
        <w:tc>
          <w:tcPr>
            <w:tcW w:w="1383" w:type="dxa"/>
            <w:vMerge w:val="continue"/>
            <w:vAlign w:val="center"/>
          </w:tcPr>
          <w:p>
            <w:pPr>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925" w:type="dxa"/>
            <w:vAlign w:val="center"/>
          </w:tcPr>
          <w:p>
            <w:pPr>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已使用低挥发性有机物含量涂料，</w:t>
            </w:r>
            <w:r>
              <w:rPr>
                <w:rFonts w:hint="default" w:ascii="Times New Roman" w:hAnsi="Times New Roman" w:cs="Times New Roman"/>
                <w:color w:val="auto"/>
                <w:sz w:val="20"/>
                <w:szCs w:val="20"/>
                <w:shd w:val="clear" w:color="auto" w:fill="auto"/>
                <w:lang w:eastAsia="zh-CN"/>
              </w:rPr>
              <w:t>但台账记录弄虚作假的</w:t>
            </w:r>
          </w:p>
        </w:tc>
        <w:tc>
          <w:tcPr>
            <w:tcW w:w="1752" w:type="dxa"/>
            <w:vAlign w:val="center"/>
          </w:tcPr>
          <w:p>
            <w:pPr>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4</w:t>
            </w:r>
          </w:p>
        </w:tc>
      </w:tr>
      <w:tr>
        <w:trPr>
          <w:trHeight w:val="425" w:hRule="atLeast"/>
          <w:jc w:val="center"/>
        </w:trPr>
        <w:tc>
          <w:tcPr>
            <w:tcW w:w="1383" w:type="dxa"/>
            <w:vMerge w:val="continue"/>
            <w:vAlign w:val="center"/>
          </w:tcPr>
          <w:p>
            <w:pPr>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925" w:type="dxa"/>
            <w:vAlign w:val="center"/>
          </w:tcPr>
          <w:p>
            <w:pPr>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未使用低挥发性有机物含量涂料</w:t>
            </w:r>
          </w:p>
        </w:tc>
        <w:tc>
          <w:tcPr>
            <w:tcW w:w="1752" w:type="dxa"/>
            <w:vAlign w:val="center"/>
          </w:tcPr>
          <w:p>
            <w:pPr>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83"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企业</w:t>
            </w:r>
            <w:r>
              <w:rPr>
                <w:rFonts w:hint="default" w:ascii="Times New Roman" w:hAnsi="Times New Roman" w:cs="Times New Roman"/>
                <w:b/>
                <w:bCs/>
                <w:color w:val="auto"/>
                <w:sz w:val="20"/>
                <w:szCs w:val="20"/>
                <w:shd w:val="clear" w:color="auto" w:fill="auto"/>
              </w:rPr>
              <w:t>地点</w:t>
            </w:r>
          </w:p>
        </w:tc>
        <w:tc>
          <w:tcPr>
            <w:tcW w:w="5925" w:type="dxa"/>
            <w:vAlign w:val="center"/>
          </w:tcPr>
          <w:p>
            <w:pPr>
              <w:widowControl w:val="0"/>
              <w:shd w:val="clear" w:color="auto" w:fill="auto"/>
              <w:tabs>
                <w:tab w:val="center" w:pos="4153"/>
                <w:tab w:val="right" w:pos="8306"/>
              </w:tabs>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符合环境功能区划</w:t>
            </w:r>
          </w:p>
        </w:tc>
        <w:tc>
          <w:tcPr>
            <w:tcW w:w="1752"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425" w:hRule="atLeast"/>
          <w:jc w:val="center"/>
        </w:trPr>
        <w:tc>
          <w:tcPr>
            <w:tcW w:w="1383"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925" w:type="dxa"/>
            <w:vAlign w:val="center"/>
          </w:tcPr>
          <w:p>
            <w:pPr>
              <w:widowControl w:val="0"/>
              <w:shd w:val="clear" w:color="auto" w:fill="auto"/>
              <w:tabs>
                <w:tab w:val="center" w:pos="4153"/>
                <w:tab w:val="right" w:pos="8306"/>
              </w:tabs>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不符合环境功能区划，但位于居住区、商业交通居民混合区、文化区、工业区和农村地区</w:t>
            </w:r>
          </w:p>
        </w:tc>
        <w:tc>
          <w:tcPr>
            <w:tcW w:w="1752"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jc w:val="center"/>
        </w:trPr>
        <w:tc>
          <w:tcPr>
            <w:tcW w:w="1383"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925" w:type="dxa"/>
            <w:vAlign w:val="center"/>
          </w:tcPr>
          <w:p>
            <w:pPr>
              <w:widowControl w:val="0"/>
              <w:shd w:val="clear" w:color="auto" w:fill="auto"/>
              <w:tabs>
                <w:tab w:val="center" w:pos="4153"/>
                <w:tab w:val="right" w:pos="8306"/>
              </w:tabs>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不符合环境功能区划，但位于自然保护区、风景名胜区和其他需要特殊保护的区域</w:t>
            </w:r>
          </w:p>
        </w:tc>
        <w:tc>
          <w:tcPr>
            <w:tcW w:w="1752" w:type="dxa"/>
            <w:vAlign w:val="center"/>
          </w:tcPr>
          <w:p>
            <w:pPr>
              <w:widowControl w:val="0"/>
              <w:shd w:val="clear" w:color="auto" w:fill="auto"/>
              <w:tabs>
                <w:tab w:val="center" w:pos="4153"/>
                <w:tab w:val="right" w:pos="8306"/>
              </w:tabs>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425" w:hRule="atLeast"/>
          <w:jc w:val="center"/>
        </w:trPr>
        <w:tc>
          <w:tcPr>
            <w:tcW w:w="1383"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台账保存</w:t>
            </w:r>
          </w:p>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期限</w:t>
            </w:r>
          </w:p>
        </w:tc>
        <w:tc>
          <w:tcPr>
            <w:tcW w:w="592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2年以上3年</w:t>
            </w:r>
            <w:r>
              <w:rPr>
                <w:rFonts w:hint="default" w:ascii="Times New Roman" w:hAnsi="Times New Roman" w:cs="Times New Roman"/>
                <w:color w:val="auto"/>
                <w:sz w:val="20"/>
                <w:szCs w:val="20"/>
                <w:shd w:val="clear" w:color="auto" w:fill="auto"/>
                <w:lang w:val="en-US" w:eastAsia="zh-CN"/>
              </w:rPr>
              <w:t>以下</w:t>
            </w:r>
            <w:r>
              <w:rPr>
                <w:rFonts w:hint="default" w:ascii="Times New Roman" w:hAnsi="Times New Roman" w:cs="Times New Roman"/>
                <w:color w:val="auto"/>
                <w:sz w:val="20"/>
                <w:szCs w:val="20"/>
                <w:shd w:val="clear" w:color="auto" w:fill="auto"/>
              </w:rPr>
              <w:t>的</w:t>
            </w:r>
          </w:p>
        </w:tc>
        <w:tc>
          <w:tcPr>
            <w:tcW w:w="175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83"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92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1年以上2年</w:t>
            </w:r>
            <w:r>
              <w:rPr>
                <w:rFonts w:hint="default" w:ascii="Times New Roman" w:hAnsi="Times New Roman" w:cs="Times New Roman"/>
                <w:color w:val="auto"/>
                <w:sz w:val="20"/>
                <w:szCs w:val="20"/>
                <w:shd w:val="clear" w:color="auto" w:fill="auto"/>
                <w:lang w:val="en-US" w:eastAsia="zh-CN"/>
              </w:rPr>
              <w:t>以下</w:t>
            </w:r>
            <w:r>
              <w:rPr>
                <w:rFonts w:hint="default" w:ascii="Times New Roman" w:hAnsi="Times New Roman" w:cs="Times New Roman"/>
                <w:color w:val="auto"/>
                <w:sz w:val="20"/>
                <w:szCs w:val="20"/>
                <w:shd w:val="clear" w:color="auto" w:fill="auto"/>
              </w:rPr>
              <w:t>的</w:t>
            </w:r>
          </w:p>
        </w:tc>
        <w:tc>
          <w:tcPr>
            <w:tcW w:w="175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83"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92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1年</w:t>
            </w:r>
            <w:r>
              <w:rPr>
                <w:rFonts w:hint="default" w:ascii="Times New Roman" w:hAnsi="Times New Roman" w:cs="Times New Roman"/>
                <w:color w:val="auto"/>
                <w:sz w:val="20"/>
                <w:szCs w:val="20"/>
                <w:shd w:val="clear" w:color="auto" w:fill="auto"/>
                <w:lang w:val="en-US" w:eastAsia="zh-CN"/>
              </w:rPr>
              <w:t>以下</w:t>
            </w:r>
            <w:r>
              <w:rPr>
                <w:rFonts w:hint="default" w:ascii="Times New Roman" w:hAnsi="Times New Roman" w:cs="Times New Roman"/>
                <w:color w:val="auto"/>
                <w:sz w:val="20"/>
                <w:szCs w:val="20"/>
                <w:shd w:val="clear" w:color="auto" w:fill="auto"/>
              </w:rPr>
              <w:t>的</w:t>
            </w:r>
          </w:p>
        </w:tc>
        <w:tc>
          <w:tcPr>
            <w:tcW w:w="175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83"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92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175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83"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92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175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25" w:hRule="atLeast"/>
          <w:jc w:val="center"/>
        </w:trPr>
        <w:tc>
          <w:tcPr>
            <w:tcW w:w="1383"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92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175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25" w:hRule="atLeast"/>
          <w:jc w:val="center"/>
        </w:trPr>
        <w:tc>
          <w:tcPr>
            <w:tcW w:w="1383"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925" w:type="dxa"/>
            <w:vAlign w:val="center"/>
          </w:tcPr>
          <w:p>
            <w:pPr>
              <w:shd w:val="clear" w:color="auto" w:fill="auto"/>
              <w:wordWrap/>
              <w:adjustRightInd/>
              <w:snapToGrid w:val="0"/>
              <w:spacing w:before="0" w:beforeAutospacing="0" w:after="0" w:afterAutospacing="0" w:line="280" w:lineRule="exact"/>
              <w:ind w:left="0" w:right="0" w:firstLine="2520" w:firstLineChars="1200"/>
              <w:jc w:val="both"/>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175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4</w:t>
            </w:r>
          </w:p>
        </w:tc>
      </w:tr>
      <w:tr>
        <w:trPr>
          <w:trHeight w:val="425" w:hRule="atLeast"/>
          <w:jc w:val="center"/>
        </w:trPr>
        <w:tc>
          <w:tcPr>
            <w:tcW w:w="1383"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92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175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425" w:hRule="atLeast"/>
          <w:jc w:val="center"/>
        </w:trPr>
        <w:tc>
          <w:tcPr>
            <w:tcW w:w="1383"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92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175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425" w:hRule="atLeast"/>
          <w:jc w:val="center"/>
        </w:trPr>
        <w:tc>
          <w:tcPr>
            <w:tcW w:w="1383"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92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175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425" w:hRule="atLeast"/>
          <w:jc w:val="center"/>
        </w:trPr>
        <w:tc>
          <w:tcPr>
            <w:tcW w:w="1383" w:type="dxa"/>
            <w:vMerge w:val="restart"/>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925"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1752"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jc w:val="center"/>
        </w:trPr>
        <w:tc>
          <w:tcPr>
            <w:tcW w:w="1383" w:type="dxa"/>
            <w:vMerge w:val="continue"/>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925"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1752"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jc w:val="center"/>
        </w:trPr>
        <w:tc>
          <w:tcPr>
            <w:tcW w:w="1383" w:type="dxa"/>
            <w:vMerge w:val="continue"/>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925"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1752"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jc w:val="center"/>
        </w:trPr>
        <w:tc>
          <w:tcPr>
            <w:tcW w:w="1383" w:type="dxa"/>
            <w:vMerge w:val="continue"/>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925"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1752"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jc w:val="center"/>
        </w:trPr>
        <w:tc>
          <w:tcPr>
            <w:tcW w:w="1383" w:type="dxa"/>
            <w:vMerge w:val="continue"/>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925"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1752"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jc w:val="center"/>
        </w:trPr>
        <w:tc>
          <w:tcPr>
            <w:tcW w:w="1383"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r>
              <w:rPr>
                <w:rFonts w:hint="default" w:ascii="Times New Roman" w:hAnsi="Times New Roman" w:cs="Times New Roman"/>
                <w:b/>
                <w:bCs/>
                <w:color w:val="auto"/>
                <w:sz w:val="20"/>
                <w:szCs w:val="20"/>
                <w:shd w:val="clear" w:color="auto" w:fill="auto"/>
                <w:lang w:val="en-US"/>
              </w:rPr>
              <w:t>改正时间</w:t>
            </w:r>
          </w:p>
        </w:tc>
        <w:tc>
          <w:tcPr>
            <w:tcW w:w="5925"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eastAsia="zh-CN"/>
              </w:rPr>
            </w:pPr>
            <w:r>
              <w:rPr>
                <w:rFonts w:hint="eastAsia" w:ascii="Times New Roman" w:hAnsi="Times New Roman" w:cs="Times New Roman"/>
                <w:color w:val="auto"/>
                <w:kern w:val="2"/>
                <w:sz w:val="21"/>
                <w:szCs w:val="21"/>
                <w:shd w:val="clear" w:color="auto" w:fill="auto"/>
                <w:lang w:eastAsia="zh-CN"/>
              </w:rPr>
              <w:t>限期改正</w:t>
            </w:r>
          </w:p>
        </w:tc>
        <w:tc>
          <w:tcPr>
            <w:tcW w:w="175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90" w:hRule="atLeast"/>
          <w:jc w:val="center"/>
        </w:trPr>
        <w:tc>
          <w:tcPr>
            <w:tcW w:w="1383"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p>
        </w:tc>
        <w:tc>
          <w:tcPr>
            <w:tcW w:w="592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3天以下</w:t>
            </w:r>
          </w:p>
        </w:tc>
        <w:tc>
          <w:tcPr>
            <w:tcW w:w="175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83"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92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175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383"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92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175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8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rPr>
              <w:t>执法检查</w:t>
            </w:r>
          </w:p>
        </w:tc>
        <w:tc>
          <w:tcPr>
            <w:tcW w:w="592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175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8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92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175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8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92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175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8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92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175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8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77"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eastAsia="宋体" w:cs="Times New Roman"/>
                <w:color w:val="auto"/>
                <w:sz w:val="20"/>
                <w:szCs w:val="20"/>
                <w:shd w:val="clear" w:color="auto" w:fill="auto"/>
                <w:lang w:eastAsia="zh-CN"/>
              </w:rPr>
            </w:pPr>
          </w:p>
        </w:tc>
      </w:tr>
    </w:tbl>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z w:val="10"/>
          <w:szCs w:val="10"/>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5168"/>
        <w:gridCol w:w="2537"/>
      </w:tblGrid>
      <w:tr>
        <w:trPr>
          <w:trHeight w:val="397" w:hRule="atLeast"/>
          <w:jc w:val="center"/>
        </w:trPr>
        <w:tc>
          <w:tcPr>
            <w:tcW w:w="9060" w:type="dxa"/>
            <w:gridSpan w:val="3"/>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97" w:hRule="atLeast"/>
          <w:jc w:val="center"/>
        </w:trPr>
        <w:tc>
          <w:tcPr>
            <w:tcW w:w="135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05" w:type="dxa"/>
            <w:gridSpan w:val="2"/>
            <w:vAlign w:val="center"/>
          </w:tcPr>
          <w:p>
            <w:pPr>
              <w:shd w:val="clear" w:color="auto" w:fill="auto"/>
              <w:wordWrap/>
              <w:adjustRightInd/>
              <w:snapToGrid w:val="0"/>
              <w:spacing w:before="0" w:beforeAutospacing="0" w:after="0" w:afterAutospacing="0" w:line="28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68" w:name="_Toc22371"/>
            <w:r>
              <w:rPr>
                <w:rFonts w:hint="default" w:ascii="Times New Roman" w:hAnsi="Times New Roman" w:cs="Times New Roman"/>
                <w:color w:val="auto"/>
                <w:sz w:val="20"/>
                <w:szCs w:val="20"/>
                <w:shd w:val="clear" w:color="auto" w:fill="auto"/>
              </w:rPr>
              <w:t>18</w:t>
            </w:r>
            <w:bookmarkEnd w:id="68"/>
          </w:p>
        </w:tc>
      </w:tr>
      <w:tr>
        <w:trPr>
          <w:trHeight w:val="397" w:hRule="atLeast"/>
          <w:jc w:val="center"/>
        </w:trPr>
        <w:tc>
          <w:tcPr>
            <w:tcW w:w="135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05" w:type="dxa"/>
            <w:gridSpan w:val="2"/>
            <w:vAlign w:val="center"/>
          </w:tcPr>
          <w:p>
            <w:pPr>
              <w:pStyle w:val="18"/>
              <w:shd w:val="clear" w:color="auto" w:fill="auto"/>
              <w:wordWrap/>
              <w:adjustRightInd/>
              <w:snapToGrid w:val="0"/>
              <w:spacing w:before="0" w:beforeAutospacing="0" w:after="0" w:afterAutospacing="0" w:line="280" w:lineRule="exact"/>
              <w:ind w:left="0" w:right="0" w:firstLine="420" w:firstLineChars="200"/>
              <w:jc w:val="both"/>
              <w:textAlignment w:val="auto"/>
              <w:outlineLvl w:val="9"/>
              <w:rPr>
                <w:rFonts w:hint="default" w:ascii="Times New Roman" w:hAnsi="Times New Roman" w:cs="Times New Roman"/>
                <w:color w:val="auto"/>
                <w:kern w:val="2"/>
                <w:sz w:val="21"/>
                <w:szCs w:val="21"/>
                <w:shd w:val="clear" w:color="auto" w:fill="auto"/>
              </w:rPr>
            </w:pPr>
            <w:bookmarkStart w:id="69" w:name="_Toc2487"/>
            <w:r>
              <w:rPr>
                <w:rFonts w:hint="default" w:ascii="Times New Roman" w:hAnsi="Times New Roman" w:cs="Times New Roman"/>
                <w:color w:val="auto"/>
                <w:kern w:val="2"/>
                <w:sz w:val="21"/>
                <w:szCs w:val="21"/>
                <w:shd w:val="clear" w:color="auto" w:fill="auto"/>
              </w:rPr>
              <w:t>石油、化工以及其他生产和使用有机溶剂的企业，未采取措施对管道、设备进行日常维护、维修，减少物料泄漏或者对泄漏的物料未及时收集处理的</w:t>
            </w:r>
            <w:bookmarkEnd w:id="69"/>
          </w:p>
        </w:tc>
      </w:tr>
      <w:tr>
        <w:trPr>
          <w:trHeight w:val="397" w:hRule="atLeast"/>
          <w:jc w:val="center"/>
        </w:trPr>
        <w:tc>
          <w:tcPr>
            <w:tcW w:w="135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05" w:type="dxa"/>
            <w:gridSpan w:val="2"/>
            <w:vAlign w:val="top"/>
          </w:tcPr>
          <w:p>
            <w:pPr>
              <w:pStyle w:val="19"/>
              <w:shd w:val="clear" w:color="auto" w:fill="auto"/>
              <w:wordWrap/>
              <w:adjustRightInd/>
              <w:snapToGrid w:val="0"/>
              <w:spacing w:before="0" w:beforeAutospacing="0" w:after="0" w:afterAutospacing="0" w:line="280" w:lineRule="exact"/>
              <w:ind w:left="0" w:right="0" w:firstLine="422" w:firstLineChars="200"/>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《中华人民共和国大气污染防治法》第四十七条第一款</w:t>
            </w:r>
            <w:r>
              <w:rPr>
                <w:rFonts w:hint="default" w:ascii="Times New Roman" w:hAnsi="Times New Roman" w:cs="Times New Roman"/>
                <w:color w:val="auto"/>
                <w:kern w:val="2"/>
                <w:sz w:val="21"/>
                <w:szCs w:val="21"/>
                <w:shd w:val="clear" w:color="auto" w:fill="auto"/>
              </w:rPr>
              <w:t xml:space="preserve"> 石油、化工以及其他生产和使用有机溶剂的企业，应当采取措施对管道、设备进行日常维护、维修，减少物料泄漏，对泄漏的物料应当及时收集处理。</w:t>
            </w:r>
          </w:p>
        </w:tc>
      </w:tr>
      <w:tr>
        <w:trPr>
          <w:trHeight w:val="397" w:hRule="atLeast"/>
          <w:jc w:val="center"/>
        </w:trPr>
        <w:tc>
          <w:tcPr>
            <w:tcW w:w="135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05" w:type="dxa"/>
            <w:gridSpan w:val="2"/>
            <w:vAlign w:val="top"/>
          </w:tcPr>
          <w:p>
            <w:pPr>
              <w:pStyle w:val="19"/>
              <w:shd w:val="clear" w:color="auto" w:fill="auto"/>
              <w:wordWrap/>
              <w:adjustRightInd/>
              <w:snapToGrid w:val="0"/>
              <w:spacing w:before="0" w:beforeAutospacing="0" w:after="0" w:afterAutospacing="0" w:line="280" w:lineRule="exact"/>
              <w:ind w:left="0" w:right="0" w:firstLine="357"/>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《中华人民共和国大气污染防治法》第一百零八条第（三）项</w:t>
            </w:r>
            <w:r>
              <w:rPr>
                <w:rFonts w:hint="default" w:ascii="Times New Roman" w:hAnsi="Times New Roman" w:cs="Times New Roman"/>
                <w:color w:val="auto"/>
                <w:kern w:val="2"/>
                <w:sz w:val="21"/>
                <w:szCs w:val="21"/>
                <w:shd w:val="clear" w:color="auto" w:fill="auto"/>
              </w:rPr>
              <w:t xml:space="preserve"> 违反本法规定，有下列行为之一的，由县级以上人民政府生态环境主管部门责令改正，处二万元以上二十万元以下的罚款；拒不改正的，责令停产整治:</w:t>
            </w:r>
          </w:p>
          <w:p>
            <w:pPr>
              <w:pStyle w:val="19"/>
              <w:shd w:val="clear" w:color="auto" w:fill="auto"/>
              <w:wordWrap/>
              <w:adjustRightInd/>
              <w:snapToGrid w:val="0"/>
              <w:spacing w:before="0" w:beforeAutospacing="0" w:after="0" w:afterAutospacing="0" w:line="280" w:lineRule="exact"/>
              <w:ind w:left="0" w:right="0" w:firstLine="360"/>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（三）石油、化工以及其他生产和使用有机溶剂的企业，未采取措施对管道、设备进行日常维护、维修，减少物料泄漏或者对泄漏的物料未及时收集处理的。</w:t>
            </w:r>
          </w:p>
        </w:tc>
      </w:tr>
      <w:tr>
        <w:trPr>
          <w:trHeight w:val="397" w:hRule="atLeast"/>
          <w:jc w:val="center"/>
        </w:trPr>
        <w:tc>
          <w:tcPr>
            <w:tcW w:w="135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68"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jc w:val="center"/>
        </w:trPr>
        <w:tc>
          <w:tcPr>
            <w:tcW w:w="1355" w:type="dxa"/>
            <w:vMerge w:val="restart"/>
            <w:vAlign w:val="center"/>
          </w:tcPr>
          <w:p>
            <w:pPr>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68" w:type="dxa"/>
            <w:vAlign w:val="center"/>
          </w:tcPr>
          <w:p>
            <w:pPr>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未规范进行日常维护、维修</w:t>
            </w:r>
            <w:r>
              <w:rPr>
                <w:rFonts w:hint="default" w:ascii="Times New Roman" w:hAnsi="Times New Roman" w:cs="Times New Roman"/>
                <w:color w:val="auto"/>
                <w:sz w:val="20"/>
                <w:szCs w:val="20"/>
                <w:shd w:val="clear" w:color="auto" w:fill="auto"/>
              </w:rPr>
              <w:t>，造成泄漏</w:t>
            </w:r>
          </w:p>
        </w:tc>
        <w:tc>
          <w:tcPr>
            <w:tcW w:w="2537" w:type="dxa"/>
            <w:vAlign w:val="center"/>
          </w:tcPr>
          <w:p>
            <w:pPr>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55" w:type="dxa"/>
            <w:vMerge w:val="continue"/>
            <w:vAlign w:val="center"/>
          </w:tcPr>
          <w:p>
            <w:pPr>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未采取措施造成泄漏</w:t>
            </w:r>
            <w:r>
              <w:rPr>
                <w:rFonts w:hint="default" w:ascii="Times New Roman" w:hAnsi="Times New Roman" w:cs="Times New Roman"/>
                <w:color w:val="auto"/>
                <w:sz w:val="20"/>
                <w:szCs w:val="20"/>
                <w:shd w:val="clear" w:color="auto" w:fill="auto"/>
                <w:lang w:eastAsia="zh-CN"/>
              </w:rPr>
              <w:t>且</w:t>
            </w:r>
            <w:r>
              <w:rPr>
                <w:rFonts w:hint="default" w:ascii="Times New Roman" w:hAnsi="Times New Roman" w:cs="Times New Roman"/>
                <w:color w:val="auto"/>
                <w:sz w:val="20"/>
                <w:szCs w:val="20"/>
                <w:shd w:val="clear" w:color="auto" w:fill="auto"/>
              </w:rPr>
              <w:t>未及时收集处理的</w:t>
            </w:r>
          </w:p>
        </w:tc>
        <w:tc>
          <w:tcPr>
            <w:tcW w:w="2537" w:type="dxa"/>
            <w:vAlign w:val="center"/>
          </w:tcPr>
          <w:p>
            <w:pPr>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55" w:type="dxa"/>
            <w:vMerge w:val="continue"/>
            <w:vAlign w:val="center"/>
          </w:tcPr>
          <w:p>
            <w:pPr>
              <w:shd w:val="clear" w:color="auto" w:fill="auto"/>
              <w:wordWrap/>
              <w:adjustRightInd/>
              <w:spacing w:before="0" w:beforeAutospacing="0" w:after="0" w:afterAutospacing="0" w:line="280" w:lineRule="exact"/>
              <w:ind w:left="0" w:right="0"/>
              <w:textAlignment w:val="auto"/>
              <w:rPr>
                <w:rFonts w:hint="default" w:ascii="Times New Roman" w:hAnsi="Times New Roman" w:cs="Times New Roman"/>
                <w:b/>
                <w:bCs/>
                <w:color w:val="auto"/>
                <w:sz w:val="20"/>
                <w:szCs w:val="20"/>
                <w:shd w:val="clear" w:color="auto" w:fill="auto"/>
              </w:rPr>
            </w:pPr>
            <w:bookmarkStart w:id="70" w:name="_Hlk25086112"/>
          </w:p>
        </w:tc>
        <w:tc>
          <w:tcPr>
            <w:tcW w:w="5168"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未采取措施造成泄漏</w:t>
            </w:r>
            <w:r>
              <w:rPr>
                <w:rFonts w:hint="default" w:ascii="Times New Roman" w:hAnsi="Times New Roman" w:cs="Times New Roman"/>
                <w:color w:val="auto"/>
                <w:sz w:val="20"/>
                <w:szCs w:val="20"/>
                <w:shd w:val="clear" w:color="auto" w:fill="auto"/>
                <w:lang w:eastAsia="zh-CN"/>
              </w:rPr>
              <w:t>且</w:t>
            </w:r>
            <w:r>
              <w:rPr>
                <w:rFonts w:hint="default" w:ascii="Times New Roman" w:hAnsi="Times New Roman" w:cs="Times New Roman"/>
                <w:color w:val="auto"/>
                <w:sz w:val="20"/>
                <w:szCs w:val="20"/>
                <w:shd w:val="clear" w:color="auto" w:fill="auto"/>
              </w:rPr>
              <w:t>未及时收集处理，</w:t>
            </w:r>
          </w:p>
          <w:p>
            <w:pPr>
              <w:shd w:val="clear" w:color="auto" w:fill="auto"/>
              <w:wordWrap/>
              <w:adjustRightIn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造成严重环境危害后果</w:t>
            </w:r>
          </w:p>
        </w:tc>
        <w:tc>
          <w:tcPr>
            <w:tcW w:w="2537" w:type="dxa"/>
            <w:vAlign w:val="center"/>
          </w:tcPr>
          <w:p>
            <w:pPr>
              <w:shd w:val="clear" w:color="auto" w:fill="auto"/>
              <w:wordWrap/>
              <w:adjustRightInd/>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5</w:t>
            </w:r>
          </w:p>
        </w:tc>
      </w:tr>
      <w:tr>
        <w:trPr>
          <w:trHeight w:val="397" w:hRule="atLeast"/>
          <w:jc w:val="center"/>
        </w:trPr>
        <w:tc>
          <w:tcPr>
            <w:tcW w:w="1355"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地点</w:t>
            </w:r>
          </w:p>
        </w:tc>
        <w:tc>
          <w:tcPr>
            <w:tcW w:w="5168" w:type="dxa"/>
            <w:vAlign w:val="center"/>
          </w:tcPr>
          <w:p>
            <w:pPr>
              <w:widowControl w:val="0"/>
              <w:shd w:val="clear" w:color="auto" w:fill="auto"/>
              <w:tabs>
                <w:tab w:val="center" w:pos="4153"/>
                <w:tab w:val="right" w:pos="8306"/>
              </w:tabs>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符合环境功能区划</w:t>
            </w:r>
          </w:p>
        </w:tc>
        <w:tc>
          <w:tcPr>
            <w:tcW w:w="2537"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355"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68" w:type="dxa"/>
            <w:vAlign w:val="center"/>
          </w:tcPr>
          <w:p>
            <w:pPr>
              <w:widowControl w:val="0"/>
              <w:shd w:val="clear" w:color="auto" w:fill="auto"/>
              <w:tabs>
                <w:tab w:val="center" w:pos="4153"/>
                <w:tab w:val="right" w:pos="8306"/>
              </w:tabs>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不符合环境功能区划，但位于居住区、商业交通居民混合区、文化区、工业区和农村地区</w:t>
            </w:r>
          </w:p>
        </w:tc>
        <w:tc>
          <w:tcPr>
            <w:tcW w:w="2537"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55"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68" w:type="dxa"/>
            <w:vAlign w:val="center"/>
          </w:tcPr>
          <w:p>
            <w:pPr>
              <w:widowControl w:val="0"/>
              <w:shd w:val="clear" w:color="auto" w:fill="auto"/>
              <w:tabs>
                <w:tab w:val="center" w:pos="4153"/>
                <w:tab w:val="right" w:pos="8306"/>
              </w:tabs>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不符合环境功能区划，但位于自然保护区、风景名胜区和其他需要特殊保护的区域</w:t>
            </w:r>
          </w:p>
        </w:tc>
        <w:tc>
          <w:tcPr>
            <w:tcW w:w="2537" w:type="dxa"/>
            <w:vAlign w:val="center"/>
          </w:tcPr>
          <w:p>
            <w:pPr>
              <w:widowControl w:val="0"/>
              <w:shd w:val="clear" w:color="auto" w:fill="auto"/>
              <w:tabs>
                <w:tab w:val="center" w:pos="4153"/>
                <w:tab w:val="right" w:pos="8306"/>
              </w:tabs>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bookmarkEnd w:id="70"/>
          </w:p>
        </w:tc>
      </w:tr>
      <w:tr>
        <w:trPr>
          <w:trHeight w:val="397" w:hRule="atLeast"/>
          <w:jc w:val="center"/>
        </w:trPr>
        <w:tc>
          <w:tcPr>
            <w:tcW w:w="1355"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企业规模</w:t>
            </w:r>
          </w:p>
        </w:tc>
        <w:tc>
          <w:tcPr>
            <w:tcW w:w="5168"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55"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55"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55"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wordWrap/>
              <w:adjustRightInd/>
              <w:snapToGrid w:val="0"/>
              <w:spacing w:before="0" w:beforeAutospacing="0" w:after="0" w:afterAutospacing="0" w:line="280" w:lineRule="exact"/>
              <w:ind w:left="0" w:right="0" w:firstLine="2100" w:firstLineChars="1000"/>
              <w:jc w:val="both"/>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4</w:t>
            </w:r>
          </w:p>
        </w:tc>
      </w:tr>
      <w:tr>
        <w:trPr>
          <w:trHeight w:val="397" w:hRule="atLeast"/>
          <w:jc w:val="center"/>
        </w:trPr>
        <w:tc>
          <w:tcPr>
            <w:tcW w:w="1355"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168"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5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355"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5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55"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5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55" w:type="dxa"/>
            <w:vMerge w:val="restart"/>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68"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537"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jc w:val="center"/>
        </w:trPr>
        <w:tc>
          <w:tcPr>
            <w:tcW w:w="1355" w:type="dxa"/>
            <w:vMerge w:val="continue"/>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68"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537"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jc w:val="center"/>
        </w:trPr>
        <w:tc>
          <w:tcPr>
            <w:tcW w:w="1355" w:type="dxa"/>
            <w:vMerge w:val="continue"/>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68"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537"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jc w:val="center"/>
        </w:trPr>
        <w:tc>
          <w:tcPr>
            <w:tcW w:w="1355" w:type="dxa"/>
            <w:vMerge w:val="continue"/>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68"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537"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jc w:val="center"/>
        </w:trPr>
        <w:tc>
          <w:tcPr>
            <w:tcW w:w="1355" w:type="dxa"/>
            <w:vMerge w:val="continue"/>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68"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537"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355"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r>
              <w:rPr>
                <w:rFonts w:hint="default" w:ascii="Times New Roman" w:hAnsi="Times New Roman" w:cs="Times New Roman"/>
                <w:b/>
                <w:bCs/>
                <w:color w:val="auto"/>
                <w:sz w:val="20"/>
                <w:szCs w:val="20"/>
                <w:shd w:val="clear" w:color="auto" w:fill="auto"/>
                <w:lang w:val="en-US"/>
              </w:rPr>
              <w:t>改正时间</w:t>
            </w:r>
          </w:p>
        </w:tc>
        <w:tc>
          <w:tcPr>
            <w:tcW w:w="5168"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eastAsia="zh-CN"/>
              </w:rPr>
            </w:pPr>
            <w:r>
              <w:rPr>
                <w:rFonts w:hint="eastAsia" w:ascii="Times New Roman" w:hAnsi="Times New Roman" w:cs="Times New Roman"/>
                <w:color w:val="auto"/>
                <w:kern w:val="2"/>
                <w:sz w:val="21"/>
                <w:szCs w:val="21"/>
                <w:shd w:val="clear" w:color="auto" w:fill="auto"/>
                <w:lang w:eastAsia="zh-CN"/>
              </w:rPr>
              <w:t>限期改正</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35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p>
        </w:tc>
        <w:tc>
          <w:tcPr>
            <w:tcW w:w="51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3天以下</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5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35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5</w:t>
            </w:r>
          </w:p>
        </w:tc>
      </w:tr>
      <w:tr>
        <w:trPr>
          <w:trHeight w:val="369" w:hRule="atLeast"/>
          <w:jc w:val="center"/>
        </w:trPr>
        <w:tc>
          <w:tcPr>
            <w:tcW w:w="1355"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55"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5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05"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z w:val="10"/>
          <w:szCs w:val="10"/>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5208"/>
        <w:gridCol w:w="2530"/>
      </w:tblGrid>
      <w:tr>
        <w:trPr>
          <w:trHeight w:val="397" w:hRule="atLeast"/>
          <w:jc w:val="center"/>
        </w:trPr>
        <w:tc>
          <w:tcPr>
            <w:tcW w:w="9060" w:type="dxa"/>
            <w:gridSpan w:val="3"/>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97" w:hRule="atLeast"/>
          <w:jc w:val="center"/>
        </w:trPr>
        <w:tc>
          <w:tcPr>
            <w:tcW w:w="1322"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38" w:type="dxa"/>
            <w:gridSpan w:val="2"/>
            <w:vAlign w:val="center"/>
          </w:tcPr>
          <w:p>
            <w:pPr>
              <w:shd w:val="clear" w:color="auto" w:fill="auto"/>
              <w:wordWrap/>
              <w:adjustRightInd/>
              <w:snapToGrid w:val="0"/>
              <w:spacing w:before="0" w:beforeAutospacing="0" w:after="0" w:afterAutospacing="0" w:line="30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71" w:name="_Toc14289"/>
            <w:r>
              <w:rPr>
                <w:rFonts w:hint="default" w:ascii="Times New Roman" w:hAnsi="Times New Roman" w:cs="Times New Roman"/>
                <w:color w:val="auto"/>
                <w:sz w:val="20"/>
                <w:szCs w:val="20"/>
                <w:shd w:val="clear" w:color="auto" w:fill="auto"/>
                <w:lang w:eastAsia="zh-CN"/>
              </w:rPr>
              <w:t>19</w:t>
            </w:r>
            <w:bookmarkEnd w:id="71"/>
          </w:p>
        </w:tc>
      </w:tr>
      <w:tr>
        <w:trPr>
          <w:trHeight w:val="397" w:hRule="atLeast"/>
          <w:jc w:val="center"/>
        </w:trPr>
        <w:tc>
          <w:tcPr>
            <w:tcW w:w="1322"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38" w:type="dxa"/>
            <w:gridSpan w:val="2"/>
            <w:vAlign w:val="top"/>
          </w:tcPr>
          <w:p>
            <w:pPr>
              <w:widowControl/>
              <w:shd w:val="clear" w:color="auto" w:fill="auto"/>
              <w:wordWrap/>
              <w:adjustRightInd/>
              <w:snapToGrid w:val="0"/>
              <w:spacing w:before="0" w:beforeAutospacing="0" w:after="0" w:afterAutospacing="0" w:line="300" w:lineRule="exact"/>
              <w:ind w:left="0" w:right="0" w:firstLine="420"/>
              <w:jc w:val="left"/>
              <w:textAlignment w:val="auto"/>
              <w:outlineLvl w:val="9"/>
              <w:rPr>
                <w:rFonts w:hint="default" w:ascii="Times New Roman" w:hAnsi="Times New Roman" w:cs="Times New Roman"/>
                <w:color w:val="auto"/>
                <w:sz w:val="20"/>
                <w:szCs w:val="20"/>
                <w:shd w:val="clear" w:color="auto" w:fill="auto"/>
              </w:rPr>
            </w:pPr>
            <w:bookmarkStart w:id="72" w:name="_Toc29238"/>
            <w:r>
              <w:rPr>
                <w:rFonts w:hint="default" w:ascii="Times New Roman" w:hAnsi="Times New Roman" w:cs="Times New Roman"/>
                <w:color w:val="auto"/>
                <w:sz w:val="20"/>
                <w:szCs w:val="20"/>
                <w:shd w:val="clear" w:color="auto" w:fill="auto"/>
              </w:rPr>
              <w:t>储油储气库、加油加气站和油罐车、气罐车等，未按照国家有关规定安装并正常使用油气回收装置的</w:t>
            </w:r>
            <w:bookmarkEnd w:id="72"/>
          </w:p>
        </w:tc>
      </w:tr>
      <w:tr>
        <w:trPr>
          <w:trHeight w:val="397" w:hRule="atLeast"/>
          <w:jc w:val="center"/>
        </w:trPr>
        <w:tc>
          <w:tcPr>
            <w:tcW w:w="1322"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38" w:type="dxa"/>
            <w:gridSpan w:val="2"/>
            <w:vAlign w:val="top"/>
          </w:tcPr>
          <w:p>
            <w:pPr>
              <w:pStyle w:val="19"/>
              <w:shd w:val="clear" w:color="auto" w:fill="auto"/>
              <w:wordWrap/>
              <w:adjustRightInd/>
              <w:snapToGrid w:val="0"/>
              <w:spacing w:before="0" w:beforeAutospacing="0" w:after="0" w:afterAutospacing="0" w:line="300" w:lineRule="exact"/>
              <w:ind w:left="0" w:right="0" w:firstLine="422" w:firstLineChars="200"/>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《中华人民共和国大气污染防治法》第四十七条第二款</w:t>
            </w:r>
            <w:r>
              <w:rPr>
                <w:rFonts w:hint="default" w:ascii="Times New Roman" w:hAnsi="Times New Roman" w:cs="Times New Roman"/>
                <w:color w:val="auto"/>
                <w:kern w:val="2"/>
                <w:sz w:val="21"/>
                <w:szCs w:val="21"/>
                <w:shd w:val="clear" w:color="auto" w:fill="auto"/>
              </w:rPr>
              <w:t xml:space="preserve"> 储油储气库、加油加气站、原油成品油码头、原油成品油运输船舶和油罐车、气罐车等，应当按照国家有关规定安装油气回收装置并保持正常使用。 </w:t>
            </w:r>
          </w:p>
        </w:tc>
      </w:tr>
      <w:tr>
        <w:trPr>
          <w:trHeight w:val="397" w:hRule="atLeast"/>
          <w:jc w:val="center"/>
        </w:trPr>
        <w:tc>
          <w:tcPr>
            <w:tcW w:w="1322"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38" w:type="dxa"/>
            <w:gridSpan w:val="2"/>
            <w:vAlign w:val="top"/>
          </w:tcPr>
          <w:p>
            <w:pPr>
              <w:pStyle w:val="19"/>
              <w:shd w:val="clear" w:color="auto" w:fill="auto"/>
              <w:wordWrap/>
              <w:adjustRightInd/>
              <w:snapToGrid w:val="0"/>
              <w:spacing w:before="0" w:beforeAutospacing="0" w:after="0" w:afterAutospacing="0" w:line="300" w:lineRule="exact"/>
              <w:ind w:left="0" w:right="0" w:firstLine="357"/>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《中华人民共和国大气污染防治法》第一百零八条第（四）项</w:t>
            </w:r>
            <w:r>
              <w:rPr>
                <w:rFonts w:hint="default" w:ascii="Times New Roman" w:hAnsi="Times New Roman" w:cs="Times New Roman"/>
                <w:color w:val="auto"/>
                <w:kern w:val="2"/>
                <w:sz w:val="21"/>
                <w:szCs w:val="21"/>
                <w:shd w:val="clear" w:color="auto" w:fill="auto"/>
              </w:rPr>
              <w:t xml:space="preserve"> 违反本法规定，有下列行为之一的，由县级以上人民政府生态环境主管部门责令改正，处二万元以上二十万元以下的罚款；拒不改正的，责令停产整治：</w:t>
            </w:r>
          </w:p>
          <w:p>
            <w:pPr>
              <w:pStyle w:val="19"/>
              <w:shd w:val="clear" w:color="auto" w:fill="auto"/>
              <w:wordWrap/>
              <w:adjustRightInd/>
              <w:snapToGrid w:val="0"/>
              <w:spacing w:before="0" w:beforeAutospacing="0" w:after="0" w:afterAutospacing="0" w:line="300" w:lineRule="exact"/>
              <w:ind w:left="0" w:right="0" w:firstLine="360"/>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（四）</w:t>
            </w:r>
            <w:r>
              <w:rPr>
                <w:rFonts w:hint="default" w:ascii="Times New Roman" w:hAnsi="Times New Roman" w:cs="Times New Roman"/>
                <w:color w:val="auto"/>
                <w:sz w:val="21"/>
                <w:szCs w:val="21"/>
                <w:shd w:val="clear" w:color="auto" w:fill="auto"/>
              </w:rPr>
              <w:t>储油储气库、加油加气站和油罐车、气罐车等，未按照国家有关规定安装并正常使用油气回收装置的。</w:t>
            </w:r>
          </w:p>
        </w:tc>
      </w:tr>
      <w:tr>
        <w:trPr>
          <w:trHeight w:val="425" w:hRule="atLeast"/>
          <w:jc w:val="center"/>
        </w:trPr>
        <w:tc>
          <w:tcPr>
            <w:tcW w:w="1322"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208"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jc w:val="center"/>
        </w:trPr>
        <w:tc>
          <w:tcPr>
            <w:tcW w:w="1322" w:type="dxa"/>
            <w:vMerge w:val="restart"/>
            <w:vAlign w:val="center"/>
          </w:tcPr>
          <w:p>
            <w:pPr>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208" w:type="dxa"/>
            <w:vAlign w:val="center"/>
          </w:tcPr>
          <w:p>
            <w:pPr>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经监测不符合要求的指标参数1个</w:t>
            </w:r>
          </w:p>
        </w:tc>
        <w:tc>
          <w:tcPr>
            <w:tcW w:w="2530" w:type="dxa"/>
            <w:vAlign w:val="center"/>
          </w:tcPr>
          <w:p>
            <w:pPr>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22" w:type="dxa"/>
            <w:vMerge w:val="continue"/>
            <w:vAlign w:val="center"/>
          </w:tcPr>
          <w:p>
            <w:pPr>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208" w:type="dxa"/>
            <w:vAlign w:val="center"/>
          </w:tcPr>
          <w:p>
            <w:pPr>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经监测不符合要求的指标参数2个</w:t>
            </w:r>
          </w:p>
        </w:tc>
        <w:tc>
          <w:tcPr>
            <w:tcW w:w="2530" w:type="dxa"/>
            <w:vAlign w:val="center"/>
          </w:tcPr>
          <w:p>
            <w:pPr>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22" w:type="dxa"/>
            <w:vMerge w:val="continue"/>
            <w:vAlign w:val="center"/>
          </w:tcPr>
          <w:p>
            <w:pPr>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208" w:type="dxa"/>
            <w:vAlign w:val="center"/>
          </w:tcPr>
          <w:p>
            <w:pPr>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经监测不符合要求的指标参数3个</w:t>
            </w:r>
          </w:p>
        </w:tc>
        <w:tc>
          <w:tcPr>
            <w:tcW w:w="2530" w:type="dxa"/>
            <w:vAlign w:val="center"/>
          </w:tcPr>
          <w:p>
            <w:pPr>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22" w:type="dxa"/>
            <w:vMerge w:val="continue"/>
            <w:vAlign w:val="center"/>
          </w:tcPr>
          <w:p>
            <w:pPr>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208" w:type="dxa"/>
            <w:vAlign w:val="center"/>
          </w:tcPr>
          <w:p>
            <w:pPr>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经监测不符合要求的指标参数4个</w:t>
            </w:r>
          </w:p>
        </w:tc>
        <w:tc>
          <w:tcPr>
            <w:tcW w:w="2530" w:type="dxa"/>
            <w:vAlign w:val="center"/>
          </w:tcPr>
          <w:p>
            <w:pPr>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22" w:type="dxa"/>
            <w:vMerge w:val="continue"/>
            <w:vAlign w:val="center"/>
          </w:tcPr>
          <w:p>
            <w:pPr>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208" w:type="dxa"/>
            <w:vAlign w:val="center"/>
          </w:tcPr>
          <w:p>
            <w:pPr>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经监测不符合要求的指标参数5个/未安装油气回收装置的</w:t>
            </w:r>
          </w:p>
        </w:tc>
        <w:tc>
          <w:tcPr>
            <w:tcW w:w="2530" w:type="dxa"/>
            <w:vAlign w:val="center"/>
          </w:tcPr>
          <w:p>
            <w:pPr>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5</w:t>
            </w:r>
          </w:p>
        </w:tc>
      </w:tr>
      <w:tr>
        <w:trPr>
          <w:trHeight w:val="397" w:hRule="atLeast"/>
          <w:jc w:val="center"/>
        </w:trPr>
        <w:tc>
          <w:tcPr>
            <w:tcW w:w="1322"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未安装油气回收装置</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设备</w:t>
            </w:r>
          </w:p>
        </w:tc>
        <w:tc>
          <w:tcPr>
            <w:tcW w:w="5208"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油罐车、气罐车</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22"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208"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加油加气站</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22"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208"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储油储气库</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22"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rPr>
              <w:t>企业规模</w:t>
            </w:r>
          </w:p>
        </w:tc>
        <w:tc>
          <w:tcPr>
            <w:tcW w:w="5208" w:type="dxa"/>
            <w:vAlign w:val="center"/>
          </w:tcPr>
          <w:p>
            <w:pPr>
              <w:pStyle w:val="18"/>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1"/>
                <w:szCs w:val="21"/>
                <w:shd w:val="clear" w:color="auto" w:fill="auto"/>
                <w:lang w:val="en-US"/>
              </w:rPr>
            </w:pPr>
            <w:r>
              <w:rPr>
                <w:rFonts w:hint="default" w:ascii="Times New Roman" w:hAnsi="Times New Roman" w:cs="Times New Roman"/>
                <w:color w:val="auto"/>
                <w:sz w:val="21"/>
                <w:szCs w:val="21"/>
                <w:shd w:val="clear" w:color="auto" w:fill="auto"/>
                <w:lang w:val="en-US"/>
              </w:rPr>
              <w:t>微型企业</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1</w:t>
            </w:r>
          </w:p>
        </w:tc>
      </w:tr>
      <w:tr>
        <w:trPr>
          <w:trHeight w:val="397" w:hRule="atLeast"/>
          <w:jc w:val="center"/>
        </w:trPr>
        <w:tc>
          <w:tcPr>
            <w:tcW w:w="1322"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208" w:type="dxa"/>
            <w:vAlign w:val="center"/>
          </w:tcPr>
          <w:p>
            <w:pPr>
              <w:pStyle w:val="18"/>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1"/>
                <w:szCs w:val="21"/>
                <w:shd w:val="clear" w:color="auto" w:fill="auto"/>
                <w:lang w:val="en-US"/>
              </w:rPr>
            </w:pPr>
            <w:r>
              <w:rPr>
                <w:rFonts w:hint="default" w:ascii="Times New Roman" w:hAnsi="Times New Roman" w:cs="Times New Roman"/>
                <w:color w:val="auto"/>
                <w:sz w:val="21"/>
                <w:szCs w:val="21"/>
                <w:shd w:val="clear" w:color="auto" w:fill="auto"/>
                <w:lang w:val="en-US"/>
              </w:rPr>
              <w:t>小型企业</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2</w:t>
            </w:r>
          </w:p>
        </w:tc>
      </w:tr>
      <w:tr>
        <w:trPr>
          <w:trHeight w:val="397" w:hRule="atLeast"/>
          <w:jc w:val="center"/>
        </w:trPr>
        <w:tc>
          <w:tcPr>
            <w:tcW w:w="1322"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208" w:type="dxa"/>
            <w:vAlign w:val="center"/>
          </w:tcPr>
          <w:p>
            <w:pPr>
              <w:pStyle w:val="18"/>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1"/>
                <w:szCs w:val="21"/>
                <w:shd w:val="clear" w:color="auto" w:fill="auto"/>
                <w:lang w:val="en-US"/>
              </w:rPr>
            </w:pPr>
            <w:r>
              <w:rPr>
                <w:rFonts w:hint="default" w:ascii="Times New Roman" w:hAnsi="Times New Roman" w:cs="Times New Roman"/>
                <w:color w:val="auto"/>
                <w:sz w:val="21"/>
                <w:szCs w:val="21"/>
                <w:shd w:val="clear" w:color="auto" w:fill="auto"/>
                <w:lang w:val="en-US"/>
              </w:rPr>
              <w:t>中型企业</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3</w:t>
            </w:r>
          </w:p>
        </w:tc>
      </w:tr>
      <w:tr>
        <w:trPr>
          <w:trHeight w:val="397" w:hRule="atLeast"/>
          <w:jc w:val="center"/>
        </w:trPr>
        <w:tc>
          <w:tcPr>
            <w:tcW w:w="1322"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208" w:type="dxa"/>
            <w:vAlign w:val="center"/>
          </w:tcPr>
          <w:p>
            <w:pPr>
              <w:pStyle w:val="18"/>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1"/>
                <w:szCs w:val="21"/>
                <w:shd w:val="clear" w:color="auto" w:fill="auto"/>
                <w:lang w:val="en-US"/>
              </w:rPr>
            </w:pPr>
            <w:r>
              <w:rPr>
                <w:rFonts w:hint="default" w:ascii="Times New Roman" w:hAnsi="Times New Roman" w:cs="Times New Roman"/>
                <w:color w:val="auto"/>
                <w:sz w:val="21"/>
                <w:szCs w:val="21"/>
                <w:shd w:val="clear" w:color="auto" w:fill="auto"/>
                <w:lang w:val="en-US"/>
              </w:rPr>
              <w:t>大型企业</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4</w:t>
            </w:r>
          </w:p>
        </w:tc>
      </w:tr>
      <w:tr>
        <w:trPr>
          <w:trHeight w:val="397" w:hRule="atLeast"/>
          <w:jc w:val="center"/>
        </w:trPr>
        <w:tc>
          <w:tcPr>
            <w:tcW w:w="1322"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208" w:type="dxa"/>
            <w:vAlign w:val="center"/>
          </w:tcPr>
          <w:p>
            <w:pPr>
              <w:shd w:val="clear" w:color="auto" w:fill="auto"/>
              <w:wordWrap/>
              <w:adjustRightInd/>
              <w:spacing w:before="0" w:beforeAutospacing="0" w:after="0" w:afterAutospacing="0" w:line="300" w:lineRule="exact"/>
              <w:ind w:left="0" w:right="0" w:firstLine="2100" w:firstLineChars="1000"/>
              <w:textAlignment w:val="auto"/>
              <w:rPr>
                <w:rFonts w:hint="default" w:ascii="Times New Roman" w:hAnsi="Times New Roman" w:eastAsia="宋体" w:cs="Times New Roman"/>
                <w:color w:val="auto"/>
                <w:sz w:val="21"/>
                <w:szCs w:val="21"/>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322"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208"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1"/>
                <w:szCs w:val="21"/>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22"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208" w:type="dxa"/>
            <w:vAlign w:val="center"/>
          </w:tcPr>
          <w:p>
            <w:pPr>
              <w:shd w:val="clear" w:color="auto" w:fill="auto"/>
              <w:wordWrap/>
              <w:adjustRightInd/>
              <w:spacing w:before="0" w:beforeAutospacing="0" w:after="0" w:afterAutospacing="0" w:line="300" w:lineRule="exact"/>
              <w:ind w:left="0" w:right="0" w:firstLine="2100" w:firstLineChars="1000"/>
              <w:textAlignment w:val="auto"/>
              <w:rPr>
                <w:rFonts w:hint="default" w:ascii="Times New Roman" w:hAnsi="Times New Roman" w:eastAsia="宋体" w:cs="Times New Roman"/>
                <w:color w:val="auto"/>
                <w:sz w:val="21"/>
                <w:szCs w:val="21"/>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22"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改正时间</w:t>
            </w:r>
          </w:p>
        </w:tc>
        <w:tc>
          <w:tcPr>
            <w:tcW w:w="5208"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lang w:eastAsia="zh-CN"/>
              </w:rPr>
            </w:pPr>
            <w:r>
              <w:rPr>
                <w:rFonts w:hint="eastAsia" w:ascii="Times New Roman" w:hAnsi="Times New Roman" w:cs="Times New Roman"/>
                <w:color w:val="auto"/>
                <w:kern w:val="2"/>
                <w:sz w:val="21"/>
                <w:szCs w:val="21"/>
                <w:shd w:val="clear" w:color="auto" w:fill="auto"/>
                <w:lang w:eastAsia="zh-CN"/>
              </w:rPr>
              <w:t>限期改正</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322"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208"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3天以下</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22"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208"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322"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208"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22"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208"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22"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208"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22"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208"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2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20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5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2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0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2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0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5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2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0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5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2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38"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eastAsia="宋体" w:cs="Times New Roman"/>
                <w:color w:val="auto"/>
                <w:sz w:val="20"/>
                <w:szCs w:val="20"/>
                <w:shd w:val="clear" w:color="auto" w:fill="auto"/>
                <w:lang w:val="en-US" w:eastAsia="zh-CN"/>
              </w:rPr>
            </w:pPr>
          </w:p>
        </w:tc>
      </w:tr>
    </w:tbl>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6130"/>
        <w:gridCol w:w="1553"/>
      </w:tblGrid>
      <w:tr>
        <w:trPr>
          <w:trHeight w:val="369" w:hRule="atLeast"/>
          <w:jc w:val="center"/>
        </w:trPr>
        <w:tc>
          <w:tcPr>
            <w:tcW w:w="9060" w:type="dxa"/>
            <w:gridSpan w:val="3"/>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69" w:hRule="atLeast"/>
          <w:jc w:val="center"/>
        </w:trPr>
        <w:tc>
          <w:tcPr>
            <w:tcW w:w="137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83" w:type="dxa"/>
            <w:gridSpan w:val="2"/>
            <w:vAlign w:val="center"/>
          </w:tcPr>
          <w:p>
            <w:pPr>
              <w:shd w:val="clear" w:color="auto" w:fill="auto"/>
              <w:wordWrap/>
              <w:adjustRightInd/>
              <w:snapToGrid w:val="0"/>
              <w:spacing w:before="0" w:beforeAutospacing="0" w:after="0" w:afterAutospacing="0" w:line="300" w:lineRule="exact"/>
              <w:ind w:left="0" w:right="0"/>
              <w:jc w:val="center"/>
              <w:textAlignment w:val="auto"/>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20</w:t>
            </w:r>
          </w:p>
        </w:tc>
      </w:tr>
      <w:tr>
        <w:trPr>
          <w:trHeight w:val="369" w:hRule="atLeast"/>
          <w:jc w:val="center"/>
        </w:trPr>
        <w:tc>
          <w:tcPr>
            <w:tcW w:w="137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83" w:type="dxa"/>
            <w:gridSpan w:val="2"/>
            <w:vAlign w:val="top"/>
          </w:tcPr>
          <w:p>
            <w:pPr>
              <w:pStyle w:val="18"/>
              <w:shd w:val="clear" w:color="auto" w:fill="auto"/>
              <w:wordWrap/>
              <w:adjustRightInd/>
              <w:snapToGrid w:val="0"/>
              <w:spacing w:before="0" w:beforeAutospacing="0" w:after="0" w:afterAutospacing="0" w:line="300" w:lineRule="exact"/>
              <w:ind w:left="0" w:right="0" w:firstLine="420" w:firstLineChars="200"/>
              <w:textAlignment w:val="auto"/>
              <w:outlineLvl w:val="9"/>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钢铁、建材、有色金属、石油、化工、制药、矿产开采等企业，未采取集中收集处理、密闭、围挡、遮盖、清扫、洒水等措施，控制、减少粉尘和气态污染物排放的</w:t>
            </w:r>
          </w:p>
        </w:tc>
      </w:tr>
      <w:tr>
        <w:trPr>
          <w:trHeight w:val="369" w:hRule="atLeast"/>
          <w:jc w:val="center"/>
        </w:trPr>
        <w:tc>
          <w:tcPr>
            <w:tcW w:w="137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83" w:type="dxa"/>
            <w:gridSpan w:val="2"/>
            <w:vAlign w:val="top"/>
          </w:tcPr>
          <w:p>
            <w:pPr>
              <w:pStyle w:val="19"/>
              <w:shd w:val="clear" w:color="auto" w:fill="auto"/>
              <w:wordWrap/>
              <w:adjustRightInd/>
              <w:snapToGrid w:val="0"/>
              <w:spacing w:before="0" w:beforeAutospacing="0" w:after="0" w:afterAutospacing="0" w:line="300" w:lineRule="exact"/>
              <w:ind w:left="0" w:right="0" w:firstLine="420"/>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《中华人民共和国大气污染防治法》第四十八条</w:t>
            </w:r>
            <w:r>
              <w:rPr>
                <w:rFonts w:hint="default" w:ascii="Times New Roman" w:hAnsi="Times New Roman" w:cs="Times New Roman"/>
                <w:color w:val="auto"/>
                <w:kern w:val="2"/>
                <w:sz w:val="21"/>
                <w:szCs w:val="21"/>
                <w:shd w:val="clear" w:color="auto" w:fill="auto"/>
              </w:rPr>
              <w:t xml:space="preserve"> 钢铁、建材、有色金属、石油、化工、制药、矿产开采等企业，应当加强精细化管理，采取集中收集处理等措施，严格控制粉尘和气态污染物的排放。</w:t>
            </w:r>
          </w:p>
          <w:p>
            <w:pPr>
              <w:pStyle w:val="19"/>
              <w:shd w:val="clear" w:color="auto" w:fill="auto"/>
              <w:wordWrap/>
              <w:adjustRightInd/>
              <w:snapToGrid w:val="0"/>
              <w:spacing w:before="0" w:beforeAutospacing="0" w:after="0" w:afterAutospacing="0" w:line="300" w:lineRule="exact"/>
              <w:ind w:left="0" w:right="0" w:firstLine="420"/>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工业生产企业应当采取密闭、围挡、遮盖、清扫、洒水等措施，减少内部物料的堆存、传输、装卸等环节产生的粉尘和气态污染物的排放。</w:t>
            </w:r>
          </w:p>
        </w:tc>
      </w:tr>
      <w:tr>
        <w:trPr>
          <w:trHeight w:val="369" w:hRule="atLeast"/>
          <w:jc w:val="center"/>
        </w:trPr>
        <w:tc>
          <w:tcPr>
            <w:tcW w:w="137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83" w:type="dxa"/>
            <w:gridSpan w:val="2"/>
            <w:vAlign w:val="top"/>
          </w:tcPr>
          <w:p>
            <w:pPr>
              <w:pStyle w:val="18"/>
              <w:shd w:val="clear" w:color="auto" w:fill="auto"/>
              <w:wordWrap/>
              <w:adjustRightInd/>
              <w:snapToGrid w:val="0"/>
              <w:spacing w:before="0" w:beforeAutospacing="0" w:after="0" w:afterAutospacing="0" w:line="300" w:lineRule="exact"/>
              <w:ind w:left="0" w:right="0" w:firstLine="482"/>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《中华人民共和国大气污染防治法》第一百零八条第（五）项</w:t>
            </w:r>
            <w:r>
              <w:rPr>
                <w:rFonts w:hint="default" w:ascii="Times New Roman" w:hAnsi="Times New Roman" w:cs="Times New Roman"/>
                <w:color w:val="auto"/>
                <w:kern w:val="2"/>
                <w:sz w:val="21"/>
                <w:szCs w:val="21"/>
                <w:shd w:val="clear" w:color="auto" w:fill="auto"/>
              </w:rPr>
              <w:t xml:space="preserve"> 违反本法规定，有下列行为之一的，由县级以上人民政府生态环境主管部门责令改正，处二万元以上二十万元以下的罚款；拒不改正的，责令停产整治：</w:t>
            </w:r>
          </w:p>
          <w:p>
            <w:pPr>
              <w:pStyle w:val="18"/>
              <w:shd w:val="clear" w:color="auto" w:fill="auto"/>
              <w:wordWrap/>
              <w:adjustRightInd/>
              <w:snapToGrid w:val="0"/>
              <w:spacing w:before="0" w:beforeAutospacing="0" w:after="0" w:afterAutospacing="0" w:line="300" w:lineRule="exact"/>
              <w:ind w:left="0" w:right="0" w:firstLine="480"/>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（五）钢铁、建材、有色金属、石油、化工、制药、矿产开采等企业，未采取集中收集处理、密闭、围挡、遮盖、清扫、洒水等措施，控制、减少粉尘和气态污染物排放的。</w:t>
            </w:r>
          </w:p>
        </w:tc>
      </w:tr>
      <w:tr>
        <w:trPr>
          <w:trHeight w:val="369" w:hRule="atLeast"/>
          <w:jc w:val="center"/>
        </w:trPr>
        <w:tc>
          <w:tcPr>
            <w:tcW w:w="137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6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155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jc w:val="center"/>
        </w:trPr>
        <w:tc>
          <w:tcPr>
            <w:tcW w:w="1377"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6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已落实</w:t>
            </w:r>
            <w:r>
              <w:rPr>
                <w:rFonts w:hint="default" w:ascii="Times New Roman" w:hAnsi="Times New Roman" w:cs="Times New Roman"/>
                <w:color w:val="auto"/>
                <w:kern w:val="2"/>
                <w:sz w:val="21"/>
                <w:szCs w:val="21"/>
                <w:shd w:val="clear" w:color="auto" w:fill="auto"/>
              </w:rPr>
              <w:t>集中收集处理、密闭、围挡、遮盖、清扫、洒水等措施</w:t>
            </w:r>
            <w:r>
              <w:rPr>
                <w:rFonts w:hint="default" w:ascii="Times New Roman" w:hAnsi="Times New Roman" w:cs="Times New Roman"/>
                <w:color w:val="auto"/>
                <w:kern w:val="2"/>
                <w:sz w:val="21"/>
                <w:szCs w:val="21"/>
                <w:shd w:val="clear" w:color="auto" w:fill="auto"/>
                <w:lang w:eastAsia="zh-CN"/>
              </w:rPr>
              <w:t>，但未按规定使用或管理，造成少量抛洒，泄露</w:t>
            </w:r>
          </w:p>
        </w:tc>
        <w:tc>
          <w:tcPr>
            <w:tcW w:w="155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77"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6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部分落实</w:t>
            </w:r>
            <w:r>
              <w:rPr>
                <w:rFonts w:hint="default" w:ascii="Times New Roman" w:hAnsi="Times New Roman" w:cs="Times New Roman"/>
                <w:color w:val="auto"/>
                <w:kern w:val="2"/>
                <w:sz w:val="21"/>
                <w:szCs w:val="21"/>
                <w:shd w:val="clear" w:color="auto" w:fill="auto"/>
              </w:rPr>
              <w:t>集中收集处理、密闭、围挡、遮盖、清扫、洒水等措施</w:t>
            </w:r>
          </w:p>
        </w:tc>
        <w:tc>
          <w:tcPr>
            <w:tcW w:w="155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77"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6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未落实</w:t>
            </w:r>
            <w:r>
              <w:rPr>
                <w:rFonts w:hint="default" w:ascii="Times New Roman" w:hAnsi="Times New Roman" w:cs="Times New Roman"/>
                <w:color w:val="auto"/>
                <w:kern w:val="2"/>
                <w:sz w:val="21"/>
                <w:szCs w:val="21"/>
                <w:shd w:val="clear" w:color="auto" w:fill="auto"/>
              </w:rPr>
              <w:t>集中收集处理、密闭、围挡、遮盖、清扫、洒水等措施</w:t>
            </w:r>
          </w:p>
        </w:tc>
        <w:tc>
          <w:tcPr>
            <w:tcW w:w="155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5</w:t>
            </w:r>
          </w:p>
        </w:tc>
      </w:tr>
      <w:tr>
        <w:trPr>
          <w:trHeight w:val="369" w:hRule="atLeast"/>
          <w:jc w:val="center"/>
        </w:trPr>
        <w:tc>
          <w:tcPr>
            <w:tcW w:w="1377"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地点</w:t>
            </w:r>
          </w:p>
        </w:tc>
        <w:tc>
          <w:tcPr>
            <w:tcW w:w="6130"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符合环境功能区划</w:t>
            </w:r>
          </w:p>
        </w:tc>
        <w:tc>
          <w:tcPr>
            <w:tcW w:w="1553"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69" w:hRule="atLeast"/>
          <w:jc w:val="center"/>
        </w:trPr>
        <w:tc>
          <w:tcPr>
            <w:tcW w:w="1377"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6130"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不符合环境功能区划，但位于居住区、商业交通居民混合区、文化区、工业区和农村地区</w:t>
            </w:r>
          </w:p>
        </w:tc>
        <w:tc>
          <w:tcPr>
            <w:tcW w:w="1553"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377"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6130"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不符合环境功能区划，但位于自然保护区、风景名胜区和其他需要特殊保护的区域</w:t>
            </w:r>
          </w:p>
        </w:tc>
        <w:tc>
          <w:tcPr>
            <w:tcW w:w="1553"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69" w:hRule="atLeast"/>
          <w:jc w:val="center"/>
        </w:trPr>
        <w:tc>
          <w:tcPr>
            <w:tcW w:w="1377" w:type="dxa"/>
            <w:vMerge w:val="restart"/>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6130"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155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jc w:val="center"/>
        </w:trPr>
        <w:tc>
          <w:tcPr>
            <w:tcW w:w="1377"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6130"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155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jc w:val="center"/>
        </w:trPr>
        <w:tc>
          <w:tcPr>
            <w:tcW w:w="1377"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6130"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155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jc w:val="center"/>
        </w:trPr>
        <w:tc>
          <w:tcPr>
            <w:tcW w:w="1377"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6130"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155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jc w:val="center"/>
        </w:trPr>
        <w:tc>
          <w:tcPr>
            <w:tcW w:w="1377"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6130"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155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69" w:hRule="atLeast"/>
          <w:jc w:val="center"/>
        </w:trPr>
        <w:tc>
          <w:tcPr>
            <w:tcW w:w="1377"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6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155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77"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6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155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377"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6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155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77"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6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155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377"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改正时间</w:t>
            </w:r>
          </w:p>
        </w:tc>
        <w:tc>
          <w:tcPr>
            <w:tcW w:w="6130"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155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369" w:hRule="atLeast"/>
          <w:jc w:val="center"/>
        </w:trPr>
        <w:tc>
          <w:tcPr>
            <w:tcW w:w="1377"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6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3天以下</w:t>
            </w:r>
          </w:p>
        </w:tc>
        <w:tc>
          <w:tcPr>
            <w:tcW w:w="155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377"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6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155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69" w:hRule="atLeast"/>
          <w:jc w:val="center"/>
        </w:trPr>
        <w:tc>
          <w:tcPr>
            <w:tcW w:w="1377"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6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155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283" w:hRule="atLeast"/>
          <w:jc w:val="center"/>
        </w:trPr>
        <w:tc>
          <w:tcPr>
            <w:tcW w:w="1377"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发生时期</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环境敏感度</w:t>
            </w:r>
          </w:p>
        </w:tc>
        <w:tc>
          <w:tcPr>
            <w:tcW w:w="6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一般期间</w:t>
            </w:r>
          </w:p>
        </w:tc>
        <w:tc>
          <w:tcPr>
            <w:tcW w:w="155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283" w:hRule="atLeast"/>
          <w:jc w:val="center"/>
        </w:trPr>
        <w:tc>
          <w:tcPr>
            <w:tcW w:w="137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6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重污染天气黄色预警期间</w:t>
            </w:r>
          </w:p>
        </w:tc>
        <w:tc>
          <w:tcPr>
            <w:tcW w:w="155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283" w:hRule="atLeast"/>
          <w:jc w:val="center"/>
        </w:trPr>
        <w:tc>
          <w:tcPr>
            <w:tcW w:w="137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6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重污染天气橙色预警期间</w:t>
            </w:r>
          </w:p>
        </w:tc>
        <w:tc>
          <w:tcPr>
            <w:tcW w:w="155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283" w:hRule="atLeast"/>
          <w:jc w:val="center"/>
        </w:trPr>
        <w:tc>
          <w:tcPr>
            <w:tcW w:w="137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6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重污染天气红色预警期间</w:t>
            </w:r>
          </w:p>
        </w:tc>
        <w:tc>
          <w:tcPr>
            <w:tcW w:w="155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283" w:hRule="atLeast"/>
          <w:jc w:val="center"/>
        </w:trPr>
        <w:tc>
          <w:tcPr>
            <w:tcW w:w="137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6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特殊或重大活动期间</w:t>
            </w:r>
          </w:p>
        </w:tc>
        <w:tc>
          <w:tcPr>
            <w:tcW w:w="155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283" w:hRule="atLeast"/>
          <w:jc w:val="center"/>
        </w:trPr>
        <w:tc>
          <w:tcPr>
            <w:tcW w:w="137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w:t>
            </w:r>
            <w:r>
              <w:rPr>
                <w:rFonts w:hint="default" w:ascii="Times New Roman" w:hAnsi="Times New Roman" w:cs="Times New Roman"/>
                <w:b/>
                <w:bCs/>
                <w:color w:val="auto"/>
                <w:sz w:val="20"/>
                <w:szCs w:val="20"/>
                <w:shd w:val="clear" w:color="auto" w:fill="auto"/>
              </w:rPr>
              <w:t>次数</w:t>
            </w:r>
          </w:p>
        </w:tc>
        <w:tc>
          <w:tcPr>
            <w:tcW w:w="6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15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283" w:hRule="atLeast"/>
          <w:jc w:val="center"/>
        </w:trPr>
        <w:tc>
          <w:tcPr>
            <w:tcW w:w="137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15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283" w:hRule="atLeast"/>
          <w:jc w:val="center"/>
        </w:trPr>
        <w:tc>
          <w:tcPr>
            <w:tcW w:w="137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15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83" w:hRule="atLeast"/>
          <w:jc w:val="center"/>
        </w:trPr>
        <w:tc>
          <w:tcPr>
            <w:tcW w:w="137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6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15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283" w:hRule="atLeast"/>
          <w:jc w:val="center"/>
        </w:trPr>
        <w:tc>
          <w:tcPr>
            <w:tcW w:w="137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15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283" w:hRule="atLeast"/>
          <w:jc w:val="center"/>
        </w:trPr>
        <w:tc>
          <w:tcPr>
            <w:tcW w:w="137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15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283" w:hRule="atLeast"/>
          <w:jc w:val="center"/>
        </w:trPr>
        <w:tc>
          <w:tcPr>
            <w:tcW w:w="137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15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283" w:hRule="atLeast"/>
          <w:jc w:val="center"/>
        </w:trPr>
        <w:tc>
          <w:tcPr>
            <w:tcW w:w="137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83"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z w:val="10"/>
          <w:szCs w:val="10"/>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5133"/>
        <w:gridCol w:w="2606"/>
      </w:tblGrid>
      <w:tr>
        <w:trPr>
          <w:trHeight w:val="369" w:hRule="atLeast"/>
        </w:trPr>
        <w:tc>
          <w:tcPr>
            <w:tcW w:w="9060" w:type="dxa"/>
            <w:gridSpan w:val="3"/>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69" w:hRule="atLeast"/>
        </w:trPr>
        <w:tc>
          <w:tcPr>
            <w:tcW w:w="1321"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39" w:type="dxa"/>
            <w:gridSpan w:val="2"/>
            <w:vAlign w:val="center"/>
          </w:tcPr>
          <w:p>
            <w:pPr>
              <w:shd w:val="clear" w:color="auto" w:fill="auto"/>
              <w:wordWrap/>
              <w:adjustRightInd/>
              <w:snapToGrid w:val="0"/>
              <w:spacing w:before="0" w:beforeAutospacing="0" w:after="0" w:afterAutospacing="0" w:line="31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73" w:name="_Toc29268"/>
            <w:r>
              <w:rPr>
                <w:rFonts w:hint="default" w:ascii="Times New Roman" w:hAnsi="Times New Roman" w:cs="Times New Roman"/>
                <w:color w:val="auto"/>
                <w:sz w:val="20"/>
                <w:szCs w:val="20"/>
                <w:shd w:val="clear" w:color="auto" w:fill="auto"/>
              </w:rPr>
              <w:t>21</w:t>
            </w:r>
            <w:bookmarkEnd w:id="73"/>
          </w:p>
        </w:tc>
      </w:tr>
      <w:tr>
        <w:trPr>
          <w:trHeight w:val="369" w:hRule="atLeast"/>
        </w:trPr>
        <w:tc>
          <w:tcPr>
            <w:tcW w:w="1321"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39" w:type="dxa"/>
            <w:gridSpan w:val="2"/>
            <w:vAlign w:val="top"/>
          </w:tcPr>
          <w:p>
            <w:pPr>
              <w:pStyle w:val="18"/>
              <w:shd w:val="clear" w:color="auto" w:fill="auto"/>
              <w:wordWrap/>
              <w:adjustRightInd/>
              <w:snapToGrid w:val="0"/>
              <w:spacing w:before="0" w:beforeAutospacing="0" w:after="0" w:afterAutospacing="0" w:line="310" w:lineRule="exact"/>
              <w:ind w:left="0" w:right="0" w:firstLine="420" w:firstLineChars="200"/>
              <w:textAlignment w:val="auto"/>
              <w:outlineLvl w:val="9"/>
              <w:rPr>
                <w:rFonts w:hint="default" w:ascii="Times New Roman" w:hAnsi="Times New Roman" w:cs="Times New Roman"/>
                <w:color w:val="auto"/>
                <w:kern w:val="2"/>
                <w:sz w:val="21"/>
                <w:szCs w:val="21"/>
                <w:shd w:val="clear" w:color="auto" w:fill="auto"/>
              </w:rPr>
            </w:pPr>
            <w:bookmarkStart w:id="74" w:name="_Toc29842"/>
            <w:r>
              <w:rPr>
                <w:rFonts w:hint="default" w:ascii="Times New Roman" w:hAnsi="Times New Roman" w:cs="Times New Roman"/>
                <w:color w:val="auto"/>
                <w:kern w:val="2"/>
                <w:sz w:val="21"/>
                <w:szCs w:val="21"/>
                <w:shd w:val="clear" w:color="auto" w:fill="auto"/>
              </w:rPr>
              <w:t>工业生产、垃圾填埋或者其他活动中产生的可燃性气体未回收利用，不具备回收利用条件未进行防治污染处理，或者可燃性气体回收利用装置不能正常作业，未及时修复或者更新的</w:t>
            </w:r>
            <w:bookmarkEnd w:id="74"/>
          </w:p>
        </w:tc>
      </w:tr>
      <w:tr>
        <w:trPr>
          <w:trHeight w:val="369" w:hRule="atLeast"/>
        </w:trPr>
        <w:tc>
          <w:tcPr>
            <w:tcW w:w="1321"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39" w:type="dxa"/>
            <w:gridSpan w:val="2"/>
            <w:vAlign w:val="top"/>
          </w:tcPr>
          <w:p>
            <w:pPr>
              <w:widowControl/>
              <w:shd w:val="clear" w:color="auto" w:fill="auto"/>
              <w:wordWrap/>
              <w:adjustRightInd/>
              <w:snapToGrid w:val="0"/>
              <w:spacing w:before="0" w:beforeAutospacing="0" w:after="0" w:afterAutospacing="0" w:line="310" w:lineRule="exact"/>
              <w:ind w:left="0" w:right="0" w:firstLine="482"/>
              <w:jc w:val="left"/>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《中华人民共和国大气污染防治法》第四十九条</w:t>
            </w:r>
            <w:r>
              <w:rPr>
                <w:rFonts w:hint="default" w:ascii="Times New Roman" w:hAnsi="Times New Roman" w:cs="Times New Roman"/>
                <w:color w:val="auto"/>
                <w:sz w:val="20"/>
                <w:szCs w:val="20"/>
                <w:shd w:val="clear" w:color="auto" w:fill="auto"/>
              </w:rPr>
              <w:t xml:space="preserve"> 工业生产、垃圾填埋或者其他活动产生的可燃性气体应当回收利用，不具备回收利用条件的，应当进行污染防治处理。</w:t>
            </w:r>
          </w:p>
          <w:p>
            <w:pPr>
              <w:shd w:val="clear" w:color="auto" w:fill="auto"/>
              <w:wordWrap/>
              <w:adjustRightInd/>
              <w:snapToGrid w:val="0"/>
              <w:spacing w:before="0" w:beforeAutospacing="0" w:after="0" w:afterAutospacing="0" w:line="310" w:lineRule="exact"/>
              <w:ind w:left="0" w:right="0" w:firstLine="42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可燃性气体回收利用装置不能正常作业的，应当及时修复或者更新。在回收利用装置不能正常作业期间确需排放可燃性气体的，应当将排放的可燃性气体充分燃烧或者采取其他控制大气污染物排放的措施，并向当地生态环境主管部门报告，按照要求限期修复或者更新。</w:t>
            </w:r>
          </w:p>
        </w:tc>
      </w:tr>
      <w:tr>
        <w:trPr>
          <w:trHeight w:val="369" w:hRule="atLeast"/>
        </w:trPr>
        <w:tc>
          <w:tcPr>
            <w:tcW w:w="1321"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39" w:type="dxa"/>
            <w:gridSpan w:val="2"/>
            <w:vAlign w:val="top"/>
          </w:tcPr>
          <w:p>
            <w:pPr>
              <w:pStyle w:val="18"/>
              <w:shd w:val="clear" w:color="auto" w:fill="auto"/>
              <w:wordWrap/>
              <w:adjustRightInd/>
              <w:snapToGrid w:val="0"/>
              <w:spacing w:before="0" w:beforeAutospacing="0" w:after="0" w:afterAutospacing="0" w:line="310" w:lineRule="exact"/>
              <w:ind w:left="0" w:right="0" w:firstLine="422" w:firstLineChars="200"/>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 xml:space="preserve">《中华人民共和国大气污染防治法》第一百零八条第（六）项 </w:t>
            </w:r>
            <w:r>
              <w:rPr>
                <w:rFonts w:hint="default" w:ascii="Times New Roman" w:hAnsi="Times New Roman" w:cs="Times New Roman"/>
                <w:color w:val="auto"/>
                <w:kern w:val="2"/>
                <w:sz w:val="21"/>
                <w:szCs w:val="21"/>
                <w:shd w:val="clear" w:color="auto" w:fill="auto"/>
              </w:rPr>
              <w:t>违反本法规定，有下列行为之一的，由县级以上人民政府生态环境主管部门责令改正，处二万元以上二十万元以下的罚款；拒不改正的，责令停产整治：</w:t>
            </w:r>
          </w:p>
          <w:p>
            <w:pPr>
              <w:pStyle w:val="18"/>
              <w:shd w:val="clear" w:color="auto" w:fill="auto"/>
              <w:wordWrap/>
              <w:adjustRightInd/>
              <w:snapToGrid w:val="0"/>
              <w:spacing w:before="0" w:beforeAutospacing="0" w:after="0" w:afterAutospacing="0" w:line="310" w:lineRule="exact"/>
              <w:ind w:left="0" w:right="0" w:firstLine="420" w:firstLineChars="200"/>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（六）工业生产、垃圾填埋或者其他活动中产生的可燃性气体未回收利用，不具备回收利用条件未进行防治污染处理，或者可燃性气体回收利用装置不能正常作业，未及时修复或者更新的。</w:t>
            </w:r>
          </w:p>
        </w:tc>
      </w:tr>
      <w:tr>
        <w:trPr>
          <w:trHeight w:val="369" w:hRule="atLeast"/>
        </w:trPr>
        <w:tc>
          <w:tcPr>
            <w:tcW w:w="1321"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3"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06"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trPr>
        <w:tc>
          <w:tcPr>
            <w:tcW w:w="1321" w:type="dxa"/>
            <w:vMerge w:val="restart"/>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33"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highlight w:val="none"/>
                <w:shd w:val="clear" w:color="auto" w:fill="auto"/>
              </w:rPr>
            </w:pPr>
            <w:r>
              <w:rPr>
                <w:rFonts w:hint="default" w:ascii="Times New Roman" w:hAnsi="Times New Roman" w:cs="Times New Roman"/>
                <w:color w:val="auto"/>
                <w:sz w:val="20"/>
                <w:szCs w:val="20"/>
                <w:highlight w:val="none"/>
                <w:shd w:val="clear" w:color="auto" w:fill="auto"/>
              </w:rPr>
              <w:t>未按规定使用或管理，少量泄漏</w:t>
            </w:r>
          </w:p>
        </w:tc>
        <w:tc>
          <w:tcPr>
            <w:tcW w:w="2606"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highlight w:val="none"/>
                <w:shd w:val="clear" w:color="auto" w:fill="auto"/>
              </w:rPr>
            </w:pPr>
            <w:r>
              <w:rPr>
                <w:rFonts w:hint="default" w:ascii="Times New Roman" w:hAnsi="Times New Roman" w:cs="Times New Roman"/>
                <w:color w:val="auto"/>
                <w:sz w:val="20"/>
                <w:szCs w:val="20"/>
                <w:highlight w:val="none"/>
                <w:shd w:val="clear" w:color="auto" w:fill="auto"/>
              </w:rPr>
              <w:t>1</w:t>
            </w:r>
          </w:p>
        </w:tc>
      </w:tr>
      <w:tr>
        <w:trPr>
          <w:trHeight w:val="369" w:hRule="atLeast"/>
        </w:trPr>
        <w:tc>
          <w:tcPr>
            <w:tcW w:w="1321" w:type="dxa"/>
            <w:vMerge w:val="continue"/>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3"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highlight w:val="none"/>
                <w:shd w:val="clear" w:color="auto" w:fill="auto"/>
              </w:rPr>
            </w:pPr>
            <w:r>
              <w:rPr>
                <w:rFonts w:hint="default" w:ascii="Times New Roman" w:hAnsi="Times New Roman" w:cs="Times New Roman"/>
                <w:color w:val="auto"/>
                <w:sz w:val="20"/>
                <w:szCs w:val="20"/>
                <w:highlight w:val="none"/>
                <w:shd w:val="clear" w:color="auto" w:fill="auto"/>
              </w:rPr>
              <w:t>不正常作业，未及时修复或更新</w:t>
            </w:r>
          </w:p>
        </w:tc>
        <w:tc>
          <w:tcPr>
            <w:tcW w:w="2606"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highlight w:val="none"/>
                <w:shd w:val="clear" w:color="auto" w:fill="auto"/>
              </w:rPr>
            </w:pPr>
            <w:r>
              <w:rPr>
                <w:rFonts w:hint="default" w:ascii="Times New Roman" w:hAnsi="Times New Roman" w:cs="Times New Roman"/>
                <w:color w:val="auto"/>
                <w:sz w:val="20"/>
                <w:szCs w:val="20"/>
                <w:highlight w:val="none"/>
                <w:shd w:val="clear" w:color="auto" w:fill="auto"/>
              </w:rPr>
              <w:t>3</w:t>
            </w:r>
          </w:p>
        </w:tc>
      </w:tr>
      <w:tr>
        <w:trPr>
          <w:trHeight w:val="369" w:hRule="atLeast"/>
        </w:trPr>
        <w:tc>
          <w:tcPr>
            <w:tcW w:w="1321" w:type="dxa"/>
            <w:vMerge w:val="continue"/>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3"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highlight w:val="none"/>
                <w:shd w:val="clear" w:color="auto" w:fill="auto"/>
              </w:rPr>
            </w:pPr>
            <w:r>
              <w:rPr>
                <w:rFonts w:hint="default" w:ascii="Times New Roman" w:hAnsi="Times New Roman" w:cs="Times New Roman"/>
                <w:color w:val="auto"/>
                <w:sz w:val="20"/>
                <w:szCs w:val="20"/>
                <w:highlight w:val="none"/>
                <w:shd w:val="clear" w:color="auto" w:fill="auto"/>
              </w:rPr>
              <w:t>未回收利用或未处理</w:t>
            </w:r>
          </w:p>
        </w:tc>
        <w:tc>
          <w:tcPr>
            <w:tcW w:w="2606"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highlight w:val="none"/>
                <w:shd w:val="clear" w:color="auto" w:fill="auto"/>
              </w:rPr>
            </w:pPr>
            <w:r>
              <w:rPr>
                <w:rFonts w:hint="default" w:ascii="Times New Roman" w:hAnsi="Times New Roman" w:cs="Times New Roman"/>
                <w:color w:val="auto"/>
                <w:sz w:val="20"/>
                <w:szCs w:val="20"/>
                <w:highlight w:val="none"/>
                <w:shd w:val="clear" w:color="auto" w:fill="auto"/>
              </w:rPr>
              <w:t>5</w:t>
            </w:r>
          </w:p>
        </w:tc>
      </w:tr>
      <w:tr>
        <w:trPr>
          <w:trHeight w:val="369" w:hRule="atLeast"/>
        </w:trPr>
        <w:tc>
          <w:tcPr>
            <w:tcW w:w="1321" w:type="dxa"/>
            <w:vMerge w:val="restart"/>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bookmarkStart w:id="75" w:name="_Hlk25087218"/>
            <w:r>
              <w:rPr>
                <w:rFonts w:hint="default" w:ascii="Times New Roman" w:hAnsi="Times New Roman" w:cs="Times New Roman"/>
                <w:b/>
                <w:bCs/>
                <w:color w:val="auto"/>
                <w:sz w:val="20"/>
                <w:szCs w:val="20"/>
                <w:shd w:val="clear" w:color="auto" w:fill="auto"/>
              </w:rPr>
              <w:t>项目建设</w:t>
            </w:r>
          </w:p>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地点</w:t>
            </w:r>
          </w:p>
        </w:tc>
        <w:tc>
          <w:tcPr>
            <w:tcW w:w="5133" w:type="dxa"/>
            <w:vAlign w:val="center"/>
          </w:tcPr>
          <w:p>
            <w:pPr>
              <w:widowControl w:val="0"/>
              <w:shd w:val="clear" w:color="auto" w:fill="auto"/>
              <w:tabs>
                <w:tab w:val="center" w:pos="4153"/>
                <w:tab w:val="right" w:pos="8306"/>
              </w:tabs>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符合环境功能区划</w:t>
            </w:r>
          </w:p>
        </w:tc>
        <w:tc>
          <w:tcPr>
            <w:tcW w:w="2606" w:type="dxa"/>
            <w:vAlign w:val="center"/>
          </w:tcPr>
          <w:p>
            <w:pPr>
              <w:widowControl w:val="0"/>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69" w:hRule="atLeast"/>
        </w:trPr>
        <w:tc>
          <w:tcPr>
            <w:tcW w:w="1321" w:type="dxa"/>
            <w:vMerge w:val="continue"/>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3" w:type="dxa"/>
            <w:vAlign w:val="center"/>
          </w:tcPr>
          <w:p>
            <w:pPr>
              <w:widowControl w:val="0"/>
              <w:shd w:val="clear" w:color="auto" w:fill="auto"/>
              <w:tabs>
                <w:tab w:val="center" w:pos="4153"/>
                <w:tab w:val="right" w:pos="8306"/>
              </w:tabs>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不符合环境功能区划，但位于居住区、商业交通居民混合区、文化区、工业区和农村地区</w:t>
            </w:r>
          </w:p>
        </w:tc>
        <w:tc>
          <w:tcPr>
            <w:tcW w:w="2606" w:type="dxa"/>
            <w:vAlign w:val="center"/>
          </w:tcPr>
          <w:p>
            <w:pPr>
              <w:widowControl w:val="0"/>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69" w:hRule="atLeast"/>
        </w:trPr>
        <w:tc>
          <w:tcPr>
            <w:tcW w:w="1321" w:type="dxa"/>
            <w:vMerge w:val="continue"/>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3" w:type="dxa"/>
            <w:vAlign w:val="center"/>
          </w:tcPr>
          <w:p>
            <w:pPr>
              <w:widowControl w:val="0"/>
              <w:shd w:val="clear" w:color="auto" w:fill="auto"/>
              <w:tabs>
                <w:tab w:val="center" w:pos="4153"/>
                <w:tab w:val="right" w:pos="8306"/>
              </w:tabs>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不符合环境功能区划，但位于自然保护区、风景名胜区和其他需要特殊保护的区域</w:t>
            </w:r>
          </w:p>
        </w:tc>
        <w:tc>
          <w:tcPr>
            <w:tcW w:w="2606" w:type="dxa"/>
            <w:vAlign w:val="center"/>
          </w:tcPr>
          <w:p>
            <w:pPr>
              <w:widowControl w:val="0"/>
              <w:shd w:val="clear" w:color="auto" w:fill="auto"/>
              <w:tabs>
                <w:tab w:val="center" w:pos="4153"/>
                <w:tab w:val="right" w:pos="8306"/>
              </w:tabs>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bookmarkEnd w:id="75"/>
          </w:p>
        </w:tc>
      </w:tr>
      <w:tr>
        <w:trPr>
          <w:trHeight w:val="369" w:hRule="atLeast"/>
        </w:trPr>
        <w:tc>
          <w:tcPr>
            <w:tcW w:w="1321" w:type="dxa"/>
            <w:vMerge w:val="restart"/>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133"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606"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21" w:type="dxa"/>
            <w:vMerge w:val="continue"/>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3"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606"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trPr>
        <w:tc>
          <w:tcPr>
            <w:tcW w:w="1321" w:type="dxa"/>
            <w:vMerge w:val="continue"/>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3"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606"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21" w:type="dxa"/>
            <w:vMerge w:val="continue"/>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3"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606"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4</w:t>
            </w:r>
          </w:p>
        </w:tc>
      </w:tr>
      <w:tr>
        <w:trPr>
          <w:trHeight w:val="369" w:hRule="atLeast"/>
        </w:trPr>
        <w:tc>
          <w:tcPr>
            <w:tcW w:w="1321" w:type="dxa"/>
            <w:vMerge w:val="restart"/>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133"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606"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69" w:hRule="atLeast"/>
        </w:trPr>
        <w:tc>
          <w:tcPr>
            <w:tcW w:w="1321" w:type="dxa"/>
            <w:vMerge w:val="continue"/>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3"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606"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69" w:hRule="atLeast"/>
        </w:trPr>
        <w:tc>
          <w:tcPr>
            <w:tcW w:w="1321" w:type="dxa"/>
            <w:vMerge w:val="continue"/>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3"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606"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69" w:hRule="atLeast"/>
        </w:trPr>
        <w:tc>
          <w:tcPr>
            <w:tcW w:w="1321" w:type="dxa"/>
            <w:vMerge w:val="restart"/>
            <w:vAlign w:val="center"/>
          </w:tcPr>
          <w:p>
            <w:pPr>
              <w:widowControl w:val="0"/>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3" w:type="dxa"/>
            <w:vAlign w:val="center"/>
          </w:tcPr>
          <w:p>
            <w:pPr>
              <w:widowControl w:val="0"/>
              <w:shd w:val="clear" w:color="auto" w:fill="auto"/>
              <w:wordWrap/>
              <w:adjustRightInd/>
              <w:snapToGrid w:val="0"/>
              <w:spacing w:before="0" w:beforeAutospacing="0" w:after="0" w:afterAutospacing="0" w:line="31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06" w:type="dxa"/>
            <w:vAlign w:val="center"/>
          </w:tcPr>
          <w:p>
            <w:pPr>
              <w:widowControl w:val="0"/>
              <w:shd w:val="clear" w:color="auto" w:fill="auto"/>
              <w:wordWrap/>
              <w:adjustRightInd/>
              <w:snapToGrid w:val="0"/>
              <w:spacing w:before="0" w:beforeAutospacing="0" w:after="0" w:afterAutospacing="0" w:line="31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trPr>
        <w:tc>
          <w:tcPr>
            <w:tcW w:w="1321" w:type="dxa"/>
            <w:vMerge w:val="continue"/>
            <w:vAlign w:val="center"/>
          </w:tcPr>
          <w:p>
            <w:pPr>
              <w:widowControl w:val="0"/>
              <w:shd w:val="clear" w:color="auto" w:fill="auto"/>
              <w:wordWrap/>
              <w:adjustRightInd/>
              <w:snapToGrid w:val="0"/>
              <w:spacing w:before="0" w:beforeAutospacing="0" w:after="0" w:afterAutospacing="0" w:line="31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3" w:type="dxa"/>
            <w:vAlign w:val="center"/>
          </w:tcPr>
          <w:p>
            <w:pPr>
              <w:widowControl w:val="0"/>
              <w:shd w:val="clear" w:color="auto" w:fill="auto"/>
              <w:wordWrap/>
              <w:adjustRightInd/>
              <w:snapToGrid w:val="0"/>
              <w:spacing w:before="0" w:beforeAutospacing="0" w:after="0" w:afterAutospacing="0" w:line="31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06" w:type="dxa"/>
            <w:vAlign w:val="center"/>
          </w:tcPr>
          <w:p>
            <w:pPr>
              <w:widowControl w:val="0"/>
              <w:shd w:val="clear" w:color="auto" w:fill="auto"/>
              <w:wordWrap/>
              <w:adjustRightInd/>
              <w:snapToGrid w:val="0"/>
              <w:spacing w:before="0" w:beforeAutospacing="0" w:after="0" w:afterAutospacing="0" w:line="31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trPr>
        <w:tc>
          <w:tcPr>
            <w:tcW w:w="1321" w:type="dxa"/>
            <w:vMerge w:val="continue"/>
            <w:vAlign w:val="center"/>
          </w:tcPr>
          <w:p>
            <w:pPr>
              <w:widowControl w:val="0"/>
              <w:shd w:val="clear" w:color="auto" w:fill="auto"/>
              <w:wordWrap/>
              <w:adjustRightInd/>
              <w:snapToGrid w:val="0"/>
              <w:spacing w:before="0" w:beforeAutospacing="0" w:after="0" w:afterAutospacing="0" w:line="31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3" w:type="dxa"/>
            <w:vAlign w:val="center"/>
          </w:tcPr>
          <w:p>
            <w:pPr>
              <w:widowControl w:val="0"/>
              <w:shd w:val="clear" w:color="auto" w:fill="auto"/>
              <w:wordWrap/>
              <w:adjustRightInd/>
              <w:snapToGrid w:val="0"/>
              <w:spacing w:before="0" w:beforeAutospacing="0" w:after="0" w:afterAutospacing="0" w:line="31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06" w:type="dxa"/>
            <w:vAlign w:val="center"/>
          </w:tcPr>
          <w:p>
            <w:pPr>
              <w:widowControl w:val="0"/>
              <w:shd w:val="clear" w:color="auto" w:fill="auto"/>
              <w:wordWrap/>
              <w:adjustRightInd/>
              <w:snapToGrid w:val="0"/>
              <w:spacing w:before="0" w:beforeAutospacing="0" w:after="0" w:afterAutospacing="0" w:line="31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trPr>
        <w:tc>
          <w:tcPr>
            <w:tcW w:w="1321" w:type="dxa"/>
            <w:vMerge w:val="continue"/>
            <w:vAlign w:val="center"/>
          </w:tcPr>
          <w:p>
            <w:pPr>
              <w:widowControl w:val="0"/>
              <w:shd w:val="clear" w:color="auto" w:fill="auto"/>
              <w:wordWrap/>
              <w:adjustRightInd/>
              <w:snapToGrid w:val="0"/>
              <w:spacing w:before="0" w:beforeAutospacing="0" w:after="0" w:afterAutospacing="0" w:line="31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3" w:type="dxa"/>
            <w:vAlign w:val="center"/>
          </w:tcPr>
          <w:p>
            <w:pPr>
              <w:widowControl w:val="0"/>
              <w:shd w:val="clear" w:color="auto" w:fill="auto"/>
              <w:wordWrap/>
              <w:adjustRightInd/>
              <w:snapToGrid w:val="0"/>
              <w:spacing w:before="0" w:beforeAutospacing="0" w:after="0" w:afterAutospacing="0" w:line="31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06" w:type="dxa"/>
            <w:vAlign w:val="center"/>
          </w:tcPr>
          <w:p>
            <w:pPr>
              <w:widowControl w:val="0"/>
              <w:shd w:val="clear" w:color="auto" w:fill="auto"/>
              <w:wordWrap/>
              <w:adjustRightInd/>
              <w:snapToGrid w:val="0"/>
              <w:spacing w:before="0" w:beforeAutospacing="0" w:after="0" w:afterAutospacing="0" w:line="31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trPr>
        <w:tc>
          <w:tcPr>
            <w:tcW w:w="1321" w:type="dxa"/>
            <w:vMerge w:val="continue"/>
            <w:vAlign w:val="center"/>
          </w:tcPr>
          <w:p>
            <w:pPr>
              <w:widowControl w:val="0"/>
              <w:shd w:val="clear" w:color="auto" w:fill="auto"/>
              <w:wordWrap/>
              <w:adjustRightInd/>
              <w:snapToGrid w:val="0"/>
              <w:spacing w:before="0" w:beforeAutospacing="0" w:after="0" w:afterAutospacing="0" w:line="31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3" w:type="dxa"/>
            <w:vAlign w:val="center"/>
          </w:tcPr>
          <w:p>
            <w:pPr>
              <w:widowControl w:val="0"/>
              <w:shd w:val="clear" w:color="auto" w:fill="auto"/>
              <w:wordWrap/>
              <w:adjustRightInd/>
              <w:snapToGrid w:val="0"/>
              <w:spacing w:before="0" w:beforeAutospacing="0" w:after="0" w:afterAutospacing="0" w:line="31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06" w:type="dxa"/>
            <w:vAlign w:val="center"/>
          </w:tcPr>
          <w:p>
            <w:pPr>
              <w:widowControl w:val="0"/>
              <w:shd w:val="clear" w:color="auto" w:fill="auto"/>
              <w:wordWrap/>
              <w:adjustRightInd/>
              <w:snapToGrid w:val="0"/>
              <w:spacing w:before="0" w:beforeAutospacing="0" w:after="0" w:afterAutospacing="0" w:line="31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69" w:hRule="atLeast"/>
        </w:trPr>
        <w:tc>
          <w:tcPr>
            <w:tcW w:w="1321"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r>
              <w:rPr>
                <w:rFonts w:hint="default" w:ascii="Times New Roman" w:hAnsi="Times New Roman" w:cs="Times New Roman"/>
                <w:b/>
                <w:bCs/>
                <w:color w:val="auto"/>
                <w:sz w:val="20"/>
                <w:szCs w:val="20"/>
                <w:shd w:val="clear" w:color="auto" w:fill="auto"/>
                <w:lang w:val="en-US"/>
              </w:rPr>
              <w:t>改正时间</w:t>
            </w:r>
          </w:p>
        </w:tc>
        <w:tc>
          <w:tcPr>
            <w:tcW w:w="513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eastAsia="zh-CN"/>
              </w:rPr>
            </w:pPr>
            <w:r>
              <w:rPr>
                <w:rFonts w:hint="eastAsia" w:ascii="Times New Roman" w:hAnsi="Times New Roman" w:cs="Times New Roman"/>
                <w:color w:val="auto"/>
                <w:kern w:val="2"/>
                <w:sz w:val="21"/>
                <w:szCs w:val="21"/>
                <w:shd w:val="clear" w:color="auto" w:fill="auto"/>
                <w:lang w:eastAsia="zh-CN"/>
              </w:rPr>
              <w:t>限期改正</w:t>
            </w:r>
          </w:p>
        </w:tc>
        <w:tc>
          <w:tcPr>
            <w:tcW w:w="260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369" w:hRule="atLeast"/>
        </w:trPr>
        <w:tc>
          <w:tcPr>
            <w:tcW w:w="1321"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p>
        </w:tc>
        <w:tc>
          <w:tcPr>
            <w:tcW w:w="51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0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69" w:hRule="atLeast"/>
        </w:trPr>
        <w:tc>
          <w:tcPr>
            <w:tcW w:w="1321"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60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lang w:val="en-US" w:eastAsia="zh-CN"/>
              </w:rPr>
            </w:pPr>
            <w:r>
              <w:rPr>
                <w:rFonts w:hint="eastAsia" w:ascii="Times New Roman" w:hAnsi="Times New Roman" w:cs="Times New Roman"/>
                <w:color w:val="auto"/>
                <w:sz w:val="20"/>
                <w:szCs w:val="20"/>
                <w:shd w:val="clear" w:color="auto" w:fill="auto"/>
                <w:lang w:val="en-US" w:eastAsia="zh-CN"/>
              </w:rPr>
              <w:t>4</w:t>
            </w:r>
          </w:p>
        </w:tc>
      </w:tr>
      <w:tr>
        <w:trPr>
          <w:trHeight w:val="90" w:hRule="atLeast"/>
        </w:trPr>
        <w:tc>
          <w:tcPr>
            <w:tcW w:w="1321"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rPr>
            </w:pPr>
          </w:p>
        </w:tc>
        <w:tc>
          <w:tcPr>
            <w:tcW w:w="51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7天以上</w:t>
            </w:r>
          </w:p>
        </w:tc>
        <w:tc>
          <w:tcPr>
            <w:tcW w:w="260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5</w:t>
            </w:r>
          </w:p>
        </w:tc>
      </w:tr>
      <w:tr>
        <w:trPr>
          <w:trHeight w:val="369" w:hRule="atLeast"/>
        </w:trPr>
        <w:tc>
          <w:tcPr>
            <w:tcW w:w="1321"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发生时期</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highlight w:val="lightGray"/>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环境敏感度</w:t>
            </w:r>
          </w:p>
        </w:tc>
        <w:tc>
          <w:tcPr>
            <w:tcW w:w="51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4"/>
                <w:szCs w:val="24"/>
                <w:highlight w:val="lightGray"/>
                <w:shd w:val="clear" w:color="auto" w:fill="auto"/>
                <w:lang w:val="en-US" w:eastAsia="zh-CN" w:bidi="ar-SA"/>
              </w:rPr>
            </w:pPr>
            <w:r>
              <w:rPr>
                <w:rFonts w:hint="default" w:ascii="Times New Roman" w:hAnsi="Times New Roman" w:cs="Times New Roman"/>
                <w:color w:val="auto"/>
                <w:sz w:val="20"/>
                <w:szCs w:val="20"/>
                <w:shd w:val="clear" w:color="auto" w:fill="auto"/>
              </w:rPr>
              <w:t>一般期间</w:t>
            </w:r>
          </w:p>
        </w:tc>
        <w:tc>
          <w:tcPr>
            <w:tcW w:w="260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highlight w:val="lightGray"/>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trPr>
        <w:tc>
          <w:tcPr>
            <w:tcW w:w="1321"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highlight w:val="lightGray"/>
                <w:shd w:val="clear" w:color="auto" w:fill="auto"/>
              </w:rPr>
            </w:pPr>
          </w:p>
        </w:tc>
        <w:tc>
          <w:tcPr>
            <w:tcW w:w="51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highlight w:val="lightGray"/>
                <w:shd w:val="clear" w:color="auto" w:fill="auto"/>
                <w:lang w:val="en-US" w:eastAsia="zh-CN" w:bidi="ar-SA"/>
              </w:rPr>
            </w:pPr>
            <w:r>
              <w:rPr>
                <w:rFonts w:hint="default" w:ascii="Times New Roman" w:hAnsi="Times New Roman" w:cs="Times New Roman"/>
                <w:color w:val="auto"/>
                <w:sz w:val="20"/>
                <w:szCs w:val="20"/>
                <w:shd w:val="clear" w:color="auto" w:fill="auto"/>
              </w:rPr>
              <w:t>重污染天气黄色预警期间</w:t>
            </w:r>
          </w:p>
        </w:tc>
        <w:tc>
          <w:tcPr>
            <w:tcW w:w="260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highlight w:val="lightGray"/>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trPr>
        <w:tc>
          <w:tcPr>
            <w:tcW w:w="1321"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highlight w:val="lightGray"/>
                <w:shd w:val="clear" w:color="auto" w:fill="auto"/>
              </w:rPr>
            </w:pPr>
          </w:p>
        </w:tc>
        <w:tc>
          <w:tcPr>
            <w:tcW w:w="51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highlight w:val="lightGray"/>
                <w:shd w:val="clear" w:color="auto" w:fill="auto"/>
                <w:lang w:val="en-US" w:eastAsia="zh-CN" w:bidi="ar-SA"/>
              </w:rPr>
            </w:pPr>
            <w:r>
              <w:rPr>
                <w:rFonts w:hint="default" w:ascii="Times New Roman" w:hAnsi="Times New Roman" w:cs="Times New Roman"/>
                <w:color w:val="auto"/>
                <w:sz w:val="20"/>
                <w:szCs w:val="20"/>
                <w:shd w:val="clear" w:color="auto" w:fill="auto"/>
              </w:rPr>
              <w:t>重污染天气橙色预警期间</w:t>
            </w:r>
          </w:p>
        </w:tc>
        <w:tc>
          <w:tcPr>
            <w:tcW w:w="260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highlight w:val="lightGray"/>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trPr>
        <w:tc>
          <w:tcPr>
            <w:tcW w:w="1321"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重污染天气红色预警期间</w:t>
            </w:r>
          </w:p>
        </w:tc>
        <w:tc>
          <w:tcPr>
            <w:tcW w:w="260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trPr>
        <w:tc>
          <w:tcPr>
            <w:tcW w:w="1321"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特殊或重大活动期间</w:t>
            </w:r>
          </w:p>
        </w:tc>
        <w:tc>
          <w:tcPr>
            <w:tcW w:w="260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69" w:hRule="atLeast"/>
        </w:trPr>
        <w:tc>
          <w:tcPr>
            <w:tcW w:w="132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60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trPr>
        <w:tc>
          <w:tcPr>
            <w:tcW w:w="132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260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69" w:hRule="atLeast"/>
        </w:trPr>
        <w:tc>
          <w:tcPr>
            <w:tcW w:w="132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260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69" w:hRule="atLeast"/>
        </w:trPr>
        <w:tc>
          <w:tcPr>
            <w:tcW w:w="132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60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trPr>
        <w:tc>
          <w:tcPr>
            <w:tcW w:w="132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0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69" w:hRule="atLeast"/>
        </w:trPr>
        <w:tc>
          <w:tcPr>
            <w:tcW w:w="132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60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69" w:hRule="atLeast"/>
        </w:trPr>
        <w:tc>
          <w:tcPr>
            <w:tcW w:w="132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60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69" w:hRule="atLeast"/>
        </w:trPr>
        <w:tc>
          <w:tcPr>
            <w:tcW w:w="13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39"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rPr>
          <w:sz w:val="2"/>
          <w:szCs w:val="2"/>
        </w:rPr>
      </w:pPr>
      <w: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5095"/>
        <w:gridCol w:w="2615"/>
      </w:tblGrid>
      <w:tr>
        <w:trPr>
          <w:trHeight w:val="397" w:hRule="atLeast"/>
        </w:trPr>
        <w:tc>
          <w:tcPr>
            <w:tcW w:w="9060" w:type="dxa"/>
            <w:gridSpan w:val="3"/>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97" w:hRule="atLeast"/>
        </w:trPr>
        <w:tc>
          <w:tcPr>
            <w:tcW w:w="13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10" w:type="dxa"/>
            <w:gridSpan w:val="2"/>
            <w:vAlign w:val="center"/>
          </w:tcPr>
          <w:p>
            <w:pPr>
              <w:shd w:val="clear" w:color="auto" w:fill="auto"/>
              <w:snapToGrid w:val="0"/>
              <w:spacing w:before="0" w:beforeAutospacing="0" w:after="0" w:afterAutospacing="0" w:line="320" w:lineRule="exact"/>
              <w:ind w:left="0" w:right="0" w:firstLine="420"/>
              <w:jc w:val="center"/>
              <w:outlineLvl w:val="9"/>
              <w:rPr>
                <w:rFonts w:hint="default" w:ascii="Times New Roman" w:hAnsi="Times New Roman" w:cs="Times New Roman"/>
                <w:color w:val="auto"/>
                <w:sz w:val="20"/>
                <w:szCs w:val="20"/>
                <w:shd w:val="clear" w:color="auto" w:fill="auto"/>
              </w:rPr>
            </w:pPr>
            <w:bookmarkStart w:id="76" w:name="_Toc22422"/>
            <w:r>
              <w:rPr>
                <w:rFonts w:hint="default" w:ascii="Times New Roman" w:hAnsi="Times New Roman" w:cs="Times New Roman"/>
                <w:color w:val="auto"/>
                <w:sz w:val="20"/>
                <w:szCs w:val="20"/>
                <w:shd w:val="clear" w:color="auto" w:fill="auto"/>
              </w:rPr>
              <w:t>22</w:t>
            </w:r>
            <w:bookmarkEnd w:id="76"/>
          </w:p>
        </w:tc>
      </w:tr>
      <w:tr>
        <w:trPr>
          <w:trHeight w:val="397" w:hRule="atLeast"/>
        </w:trPr>
        <w:tc>
          <w:tcPr>
            <w:tcW w:w="13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10" w:type="dxa"/>
            <w:gridSpan w:val="2"/>
            <w:vAlign w:val="center"/>
          </w:tcPr>
          <w:p>
            <w:pPr>
              <w:shd w:val="clear" w:color="auto" w:fill="auto"/>
              <w:snapToGrid w:val="0"/>
              <w:spacing w:before="0" w:beforeAutospacing="0" w:after="0" w:afterAutospacing="0" w:line="320" w:lineRule="exact"/>
              <w:ind w:left="0" w:right="0" w:firstLine="420"/>
              <w:jc w:val="center"/>
              <w:outlineLvl w:val="9"/>
              <w:rPr>
                <w:rFonts w:hint="default" w:ascii="Times New Roman" w:hAnsi="Times New Roman" w:cs="Times New Roman"/>
                <w:color w:val="auto"/>
                <w:sz w:val="20"/>
                <w:szCs w:val="20"/>
                <w:shd w:val="clear" w:color="auto" w:fill="auto"/>
              </w:rPr>
            </w:pPr>
            <w:bookmarkStart w:id="77" w:name="_Toc14270"/>
            <w:r>
              <w:rPr>
                <w:rFonts w:hint="default" w:ascii="Times New Roman" w:hAnsi="Times New Roman" w:cs="Times New Roman"/>
                <w:color w:val="auto"/>
                <w:sz w:val="20"/>
                <w:szCs w:val="20"/>
                <w:shd w:val="clear" w:color="auto" w:fill="auto"/>
              </w:rPr>
              <w:t>生产超过污染物排放标准的机动车、非道路移动机械的</w:t>
            </w:r>
            <w:bookmarkEnd w:id="77"/>
          </w:p>
        </w:tc>
      </w:tr>
      <w:tr>
        <w:trPr>
          <w:trHeight w:val="397" w:hRule="atLeast"/>
        </w:trPr>
        <w:tc>
          <w:tcPr>
            <w:tcW w:w="13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10" w:type="dxa"/>
            <w:gridSpan w:val="2"/>
            <w:vAlign w:val="top"/>
          </w:tcPr>
          <w:p>
            <w:pPr>
              <w:shd w:val="clear" w:color="auto" w:fill="auto"/>
              <w:snapToGrid w:val="0"/>
              <w:spacing w:before="0" w:beforeAutospacing="0" w:after="0" w:afterAutospacing="0" w:line="320" w:lineRule="exact"/>
              <w:ind w:left="0" w:right="0" w:firstLine="48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《中华人民共和国大气污染防治法》第五十一条 </w:t>
            </w:r>
            <w:r>
              <w:rPr>
                <w:rFonts w:hint="default" w:ascii="Times New Roman" w:hAnsi="Times New Roman" w:cs="Times New Roman"/>
                <w:color w:val="auto"/>
                <w:sz w:val="20"/>
                <w:szCs w:val="20"/>
                <w:shd w:val="clear" w:color="auto" w:fill="auto"/>
              </w:rPr>
              <w:t>机动车船、非道路移动机械不得超过标准排放大气污染物。</w:t>
            </w:r>
          </w:p>
          <w:p>
            <w:pPr>
              <w:shd w:val="clear" w:color="auto" w:fill="auto"/>
              <w:snapToGrid w:val="0"/>
              <w:spacing w:before="0" w:beforeAutospacing="0" w:after="0" w:afterAutospacing="0" w:line="320" w:lineRule="exact"/>
              <w:ind w:left="0" w:right="0" w:firstLine="48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禁止生产、进口或者销售大气污染物排放超过标准的机动车船、非道路移动机械。</w:t>
            </w:r>
          </w:p>
        </w:tc>
      </w:tr>
      <w:tr>
        <w:trPr>
          <w:trHeight w:val="397" w:hRule="atLeast"/>
        </w:trPr>
        <w:tc>
          <w:tcPr>
            <w:tcW w:w="13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10" w:type="dxa"/>
            <w:gridSpan w:val="2"/>
            <w:vAlign w:val="top"/>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《中华人民共和国大气污染防治法》第一百零九条第一款 </w:t>
            </w:r>
            <w:r>
              <w:rPr>
                <w:rFonts w:hint="default" w:ascii="Times New Roman" w:hAnsi="Times New Roman" w:cs="Times New Roman"/>
                <w:color w:val="auto"/>
                <w:sz w:val="20"/>
                <w:szCs w:val="20"/>
                <w:shd w:val="clear" w:color="auto" w:fill="auto"/>
              </w:rPr>
              <w:t>违反本法规定，生产超过污染物排放标准的机动车、非道路移动机械的，由省级以上人民政府生态环境主管部门责令改正，没收违法所得，并处货值金额一倍以上三倍以下的罚款，没收销毁无法达到污染物排放标准的机动车、非道路移动机械；拒不改正的，责令停产整治，并由国务院机动车生产主管部门责令停止生产该车型。</w:t>
            </w:r>
          </w:p>
        </w:tc>
      </w:tr>
      <w:tr>
        <w:trPr>
          <w:trHeight w:val="397" w:hRule="atLeast"/>
        </w:trPr>
        <w:tc>
          <w:tcPr>
            <w:tcW w:w="13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9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1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3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★生产数量</w:t>
            </w:r>
          </w:p>
        </w:tc>
        <w:tc>
          <w:tcPr>
            <w:tcW w:w="509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生产超过污染物排放标准的机动车、非道路移动机械10辆</w:t>
            </w:r>
            <w:r>
              <w:rPr>
                <w:rFonts w:hint="default" w:ascii="Times New Roman" w:hAnsi="Times New Roman" w:cs="Times New Roman"/>
                <w:color w:val="auto"/>
                <w:sz w:val="20"/>
                <w:szCs w:val="20"/>
                <w:shd w:val="clear" w:color="auto" w:fill="auto"/>
                <w:lang w:val="en-US" w:eastAsia="zh-CN"/>
              </w:rPr>
              <w:t>以下</w:t>
            </w:r>
            <w:r>
              <w:rPr>
                <w:rFonts w:hint="default" w:ascii="Times New Roman" w:hAnsi="Times New Roman" w:cs="Times New Roman"/>
                <w:color w:val="auto"/>
                <w:sz w:val="20"/>
                <w:szCs w:val="20"/>
                <w:shd w:val="clear" w:color="auto" w:fill="auto"/>
              </w:rPr>
              <w:t>的</w:t>
            </w:r>
          </w:p>
        </w:tc>
        <w:tc>
          <w:tcPr>
            <w:tcW w:w="261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生产超过污染物排放标准的机动车、非道路移动机械10辆以上20辆</w:t>
            </w:r>
            <w:r>
              <w:rPr>
                <w:rFonts w:hint="default" w:ascii="Times New Roman" w:hAnsi="Times New Roman" w:cs="Times New Roman"/>
                <w:color w:val="auto"/>
                <w:sz w:val="20"/>
                <w:szCs w:val="20"/>
                <w:shd w:val="clear" w:color="auto" w:fill="auto"/>
                <w:lang w:val="en-US" w:eastAsia="zh-CN"/>
              </w:rPr>
              <w:t>以下</w:t>
            </w:r>
            <w:r>
              <w:rPr>
                <w:rFonts w:hint="default" w:ascii="Times New Roman" w:hAnsi="Times New Roman" w:cs="Times New Roman"/>
                <w:color w:val="auto"/>
                <w:sz w:val="20"/>
                <w:szCs w:val="20"/>
                <w:shd w:val="clear" w:color="auto" w:fill="auto"/>
              </w:rPr>
              <w:t>的</w:t>
            </w:r>
          </w:p>
        </w:tc>
        <w:tc>
          <w:tcPr>
            <w:tcW w:w="261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3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生产超过污染物排放标准的机动车、非道路移动机械20辆以上30辆</w:t>
            </w:r>
            <w:r>
              <w:rPr>
                <w:rFonts w:hint="default" w:ascii="Times New Roman" w:hAnsi="Times New Roman" w:cs="Times New Roman"/>
                <w:color w:val="auto"/>
                <w:sz w:val="20"/>
                <w:szCs w:val="20"/>
                <w:shd w:val="clear" w:color="auto" w:fill="auto"/>
                <w:lang w:val="en-US" w:eastAsia="zh-CN"/>
              </w:rPr>
              <w:t>以下</w:t>
            </w:r>
            <w:r>
              <w:rPr>
                <w:rFonts w:hint="default" w:ascii="Times New Roman" w:hAnsi="Times New Roman" w:cs="Times New Roman"/>
                <w:color w:val="auto"/>
                <w:sz w:val="20"/>
                <w:szCs w:val="20"/>
                <w:shd w:val="clear" w:color="auto" w:fill="auto"/>
              </w:rPr>
              <w:t>的</w:t>
            </w:r>
          </w:p>
        </w:tc>
        <w:tc>
          <w:tcPr>
            <w:tcW w:w="261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生产超过污染物排放标准的机动车、非道路移动机械30辆以上50辆</w:t>
            </w:r>
            <w:r>
              <w:rPr>
                <w:rFonts w:hint="default" w:ascii="Times New Roman" w:hAnsi="Times New Roman" w:cs="Times New Roman"/>
                <w:color w:val="auto"/>
                <w:sz w:val="20"/>
                <w:szCs w:val="20"/>
                <w:shd w:val="clear" w:color="auto" w:fill="auto"/>
                <w:lang w:val="en-US" w:eastAsia="zh-CN"/>
              </w:rPr>
              <w:t>以下</w:t>
            </w:r>
            <w:r>
              <w:rPr>
                <w:rFonts w:hint="default" w:ascii="Times New Roman" w:hAnsi="Times New Roman" w:cs="Times New Roman"/>
                <w:color w:val="auto"/>
                <w:sz w:val="20"/>
                <w:szCs w:val="20"/>
                <w:shd w:val="clear" w:color="auto" w:fill="auto"/>
              </w:rPr>
              <w:t>的</w:t>
            </w:r>
          </w:p>
        </w:tc>
        <w:tc>
          <w:tcPr>
            <w:tcW w:w="261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3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生产超过污染物排放标准的机动车、非道路移动机械50辆以上的</w:t>
            </w:r>
          </w:p>
        </w:tc>
        <w:tc>
          <w:tcPr>
            <w:tcW w:w="261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货值金额</w:t>
            </w:r>
          </w:p>
        </w:tc>
        <w:tc>
          <w:tcPr>
            <w:tcW w:w="509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货值金额500万元</w:t>
            </w:r>
            <w:r>
              <w:rPr>
                <w:rFonts w:hint="default" w:ascii="Times New Roman" w:hAnsi="Times New Roman" w:cs="Times New Roman"/>
                <w:color w:val="auto"/>
                <w:sz w:val="20"/>
                <w:szCs w:val="20"/>
                <w:shd w:val="clear" w:color="auto" w:fill="auto"/>
                <w:lang w:val="en-US"/>
              </w:rPr>
              <w:t>以下</w:t>
            </w:r>
            <w:r>
              <w:rPr>
                <w:rFonts w:hint="default" w:ascii="Times New Roman" w:hAnsi="Times New Roman" w:cs="Times New Roman"/>
                <w:color w:val="auto"/>
                <w:sz w:val="20"/>
                <w:szCs w:val="20"/>
                <w:shd w:val="clear" w:color="auto" w:fill="auto"/>
              </w:rPr>
              <w:t>的</w:t>
            </w:r>
          </w:p>
        </w:tc>
        <w:tc>
          <w:tcPr>
            <w:tcW w:w="261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货值金额500万元以上1000万元以下的</w:t>
            </w:r>
          </w:p>
        </w:tc>
        <w:tc>
          <w:tcPr>
            <w:tcW w:w="261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369" w:hRule="atLeast"/>
        </w:trPr>
        <w:tc>
          <w:tcPr>
            <w:tcW w:w="13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货值金额1000万元以上2000万元以下的</w:t>
            </w:r>
          </w:p>
        </w:tc>
        <w:tc>
          <w:tcPr>
            <w:tcW w:w="261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货值金额2000万元以上3000万元以下的</w:t>
            </w:r>
          </w:p>
        </w:tc>
        <w:tc>
          <w:tcPr>
            <w:tcW w:w="261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4</w:t>
            </w:r>
          </w:p>
        </w:tc>
      </w:tr>
      <w:tr>
        <w:trPr>
          <w:trHeight w:val="369" w:hRule="atLeast"/>
        </w:trPr>
        <w:tc>
          <w:tcPr>
            <w:tcW w:w="13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货值金额3000万元</w:t>
            </w:r>
            <w:r>
              <w:rPr>
                <w:rFonts w:hint="default" w:ascii="Times New Roman" w:hAnsi="Times New Roman" w:cs="Times New Roman"/>
                <w:color w:val="auto"/>
                <w:sz w:val="20"/>
                <w:szCs w:val="20"/>
                <w:shd w:val="clear" w:color="auto" w:fill="auto"/>
                <w:lang w:val="en-US"/>
              </w:rPr>
              <w:t>以上</w:t>
            </w:r>
            <w:r>
              <w:rPr>
                <w:rFonts w:hint="default" w:ascii="Times New Roman" w:hAnsi="Times New Roman" w:cs="Times New Roman"/>
                <w:color w:val="auto"/>
                <w:sz w:val="20"/>
                <w:szCs w:val="20"/>
                <w:shd w:val="clear" w:color="auto" w:fill="auto"/>
              </w:rPr>
              <w:t>的</w:t>
            </w:r>
          </w:p>
        </w:tc>
        <w:tc>
          <w:tcPr>
            <w:tcW w:w="261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09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61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61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trPr>
        <w:tc>
          <w:tcPr>
            <w:tcW w:w="13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61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61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4</w:t>
            </w:r>
          </w:p>
        </w:tc>
      </w:tr>
      <w:tr>
        <w:trPr>
          <w:trHeight w:val="369" w:hRule="atLeast"/>
        </w:trPr>
        <w:tc>
          <w:tcPr>
            <w:tcW w:w="13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9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61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69" w:hRule="atLeast"/>
        </w:trPr>
        <w:tc>
          <w:tcPr>
            <w:tcW w:w="13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61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69" w:hRule="atLeast"/>
        </w:trPr>
        <w:tc>
          <w:tcPr>
            <w:tcW w:w="13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61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69" w:hRule="atLeast"/>
        </w:trPr>
        <w:tc>
          <w:tcPr>
            <w:tcW w:w="13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09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61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61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50"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09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61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rPr>
              <w:t>执法检查</w:t>
            </w:r>
          </w:p>
        </w:tc>
        <w:tc>
          <w:tcPr>
            <w:tcW w:w="509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61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3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1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61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61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trPr>
        <w:tc>
          <w:tcPr>
            <w:tcW w:w="13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10"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适用裁量计算公式裁定罚款金额时，M值（法定处罚金额上限）取货值金额三倍罚款，N值（法定处罚金额下限）取货值金额一倍罚款。</w:t>
            </w:r>
          </w:p>
        </w:tc>
      </w:tr>
    </w:tbl>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5324"/>
        <w:gridCol w:w="2446"/>
      </w:tblGrid>
      <w:tr>
        <w:trPr>
          <w:jc w:val="center"/>
        </w:trPr>
        <w:tc>
          <w:tcPr>
            <w:tcW w:w="9060" w:type="dxa"/>
            <w:gridSpan w:val="3"/>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jc w:val="center"/>
        </w:trPr>
        <w:tc>
          <w:tcPr>
            <w:tcW w:w="12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0"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78" w:name="_Toc26717"/>
            <w:r>
              <w:rPr>
                <w:rFonts w:hint="default" w:ascii="Times New Roman" w:hAnsi="Times New Roman" w:cs="Times New Roman"/>
                <w:color w:val="auto"/>
                <w:sz w:val="20"/>
                <w:szCs w:val="20"/>
                <w:shd w:val="clear" w:color="auto" w:fill="auto"/>
              </w:rPr>
              <w:t>23</w:t>
            </w:r>
            <w:bookmarkEnd w:id="78"/>
          </w:p>
        </w:tc>
      </w:tr>
      <w:tr>
        <w:trPr>
          <w:jc w:val="center"/>
        </w:trPr>
        <w:tc>
          <w:tcPr>
            <w:tcW w:w="12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0" w:type="dxa"/>
            <w:gridSpan w:val="2"/>
            <w:vAlign w:val="top"/>
          </w:tcPr>
          <w:p>
            <w:pPr>
              <w:shd w:val="clear" w:color="auto" w:fill="auto"/>
              <w:snapToGrid w:val="0"/>
              <w:spacing w:before="0" w:beforeAutospacing="0" w:after="0" w:afterAutospacing="0" w:line="320" w:lineRule="exact"/>
              <w:ind w:left="0" w:right="0" w:firstLine="420"/>
              <w:outlineLvl w:val="9"/>
              <w:rPr>
                <w:rFonts w:hint="default" w:ascii="Times New Roman" w:hAnsi="Times New Roman" w:cs="Times New Roman"/>
                <w:color w:val="auto"/>
                <w:sz w:val="20"/>
                <w:szCs w:val="20"/>
                <w:shd w:val="clear" w:color="auto" w:fill="auto"/>
              </w:rPr>
            </w:pPr>
            <w:bookmarkStart w:id="79" w:name="_Toc23854"/>
            <w:r>
              <w:rPr>
                <w:rFonts w:hint="default" w:ascii="Times New Roman" w:hAnsi="Times New Roman" w:cs="Times New Roman"/>
                <w:color w:val="auto"/>
                <w:sz w:val="20"/>
                <w:szCs w:val="20"/>
                <w:shd w:val="clear" w:color="auto" w:fill="auto"/>
              </w:rPr>
              <w:t>机动车、非道路移动机械生产企业对发动机、污染控制装置弄虚作假、以次充好，冒充排放检验合格产品出厂销售的</w:t>
            </w:r>
            <w:bookmarkEnd w:id="79"/>
          </w:p>
        </w:tc>
      </w:tr>
      <w:tr>
        <w:trPr>
          <w:jc w:val="center"/>
        </w:trPr>
        <w:tc>
          <w:tcPr>
            <w:tcW w:w="12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0" w:type="dxa"/>
            <w:gridSpan w:val="2"/>
            <w:vAlign w:val="top"/>
          </w:tcPr>
          <w:p>
            <w:pPr>
              <w:shd w:val="clear" w:color="auto" w:fill="auto"/>
              <w:snapToGrid w:val="0"/>
              <w:spacing w:before="0" w:beforeAutospacing="0" w:after="0" w:afterAutospacing="0" w:line="320" w:lineRule="exact"/>
              <w:ind w:left="0" w:right="0" w:firstLine="482"/>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《中华人民共和国大气污染防治法》五十二条 </w:t>
            </w:r>
            <w:r>
              <w:rPr>
                <w:rFonts w:hint="default" w:ascii="Times New Roman" w:hAnsi="Times New Roman" w:cs="Times New Roman"/>
                <w:b/>
                <w:bCs/>
                <w:color w:val="auto"/>
                <w:sz w:val="20"/>
                <w:szCs w:val="20"/>
                <w:shd w:val="clear" w:color="auto" w:fill="auto"/>
                <w:lang w:val="en-US"/>
              </w:rPr>
              <w:t>第一款</w:t>
            </w:r>
            <w:r>
              <w:rPr>
                <w:rFonts w:hint="default" w:ascii="Times New Roman" w:hAnsi="Times New Roman" w:cs="Times New Roman"/>
                <w:color w:val="auto"/>
                <w:sz w:val="20"/>
                <w:szCs w:val="20"/>
                <w:shd w:val="clear" w:color="auto" w:fill="auto"/>
              </w:rPr>
              <w:t>机动车、非道路移动机械生产企业应当对新生产的机动车和非道路移动机械进行排放检验。经检验合格的，方可出厂销售。检验信息应当向社会公开。</w:t>
            </w:r>
          </w:p>
        </w:tc>
      </w:tr>
      <w:tr>
        <w:trPr>
          <w:jc w:val="center"/>
        </w:trPr>
        <w:tc>
          <w:tcPr>
            <w:tcW w:w="12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0" w:type="dxa"/>
            <w:gridSpan w:val="2"/>
            <w:vAlign w:val="top"/>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《中华人民共和国大气污染防治法》第一百零九条第二款</w:t>
            </w:r>
            <w:r>
              <w:rPr>
                <w:rFonts w:hint="default" w:ascii="Times New Roman" w:hAnsi="Times New Roman" w:cs="Times New Roman"/>
                <w:color w:val="auto"/>
                <w:sz w:val="20"/>
                <w:szCs w:val="20"/>
                <w:shd w:val="clear" w:color="auto" w:fill="auto"/>
              </w:rPr>
              <w:t xml:space="preserve"> 违反本法规定，机动车、非道路移动机械生产企业对发动机、污染控制装置弄虚作假、以次充好，冒充排放检验合格产品出厂销售的，由省级以上人民政府环境保护主管部门责令停产整治，没收违法所得，并处货值金额一倍以上三倍以下的罚款，没收销毁无法达到污染物排放标准的机动车、非道路移动机械，并由国务院机动车生产主管部门责令停止生产该车型。</w:t>
            </w:r>
          </w:p>
        </w:tc>
      </w:tr>
      <w:tr>
        <w:trPr>
          <w:trHeight w:val="397" w:hRule="atLeast"/>
          <w:jc w:val="center"/>
        </w:trPr>
        <w:tc>
          <w:tcPr>
            <w:tcW w:w="12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32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4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jc w:val="center"/>
        </w:trPr>
        <w:tc>
          <w:tcPr>
            <w:tcW w:w="12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324" w:type="dxa"/>
            <w:vAlign w:val="center"/>
          </w:tcPr>
          <w:p>
            <w:pPr>
              <w:pStyle w:val="19"/>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销售弄虚作假、以次充好，冒充排放检验合格产品的发动机、污染控制装置数量在10辆</w:t>
            </w:r>
            <w:r>
              <w:rPr>
                <w:rFonts w:hint="default" w:ascii="Times New Roman" w:hAnsi="Times New Roman" w:cs="Times New Roman"/>
                <w:color w:val="auto"/>
                <w:kern w:val="2"/>
                <w:sz w:val="21"/>
                <w:szCs w:val="21"/>
                <w:shd w:val="clear" w:color="auto" w:fill="auto"/>
                <w:lang w:val="en-US" w:eastAsia="zh-CN"/>
              </w:rPr>
              <w:t>以下</w:t>
            </w:r>
            <w:r>
              <w:rPr>
                <w:rFonts w:hint="default" w:ascii="Times New Roman" w:hAnsi="Times New Roman" w:cs="Times New Roman"/>
                <w:color w:val="auto"/>
                <w:kern w:val="2"/>
                <w:sz w:val="21"/>
                <w:szCs w:val="21"/>
                <w:shd w:val="clear" w:color="auto" w:fill="auto"/>
              </w:rPr>
              <w:t>的</w:t>
            </w:r>
          </w:p>
        </w:tc>
        <w:tc>
          <w:tcPr>
            <w:tcW w:w="24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2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销售弄虚作假、以次充好，冒充排放检验合格产品的发动机、污染控制装置数量在10辆以上20辆</w:t>
            </w:r>
            <w:r>
              <w:rPr>
                <w:rFonts w:hint="default" w:ascii="Times New Roman" w:hAnsi="Times New Roman" w:cs="Times New Roman"/>
                <w:color w:val="auto"/>
                <w:sz w:val="20"/>
                <w:szCs w:val="20"/>
                <w:shd w:val="clear" w:color="auto" w:fill="auto"/>
                <w:lang w:val="en-US" w:eastAsia="zh-CN"/>
              </w:rPr>
              <w:t>以下</w:t>
            </w:r>
            <w:r>
              <w:rPr>
                <w:rFonts w:hint="default" w:ascii="Times New Roman" w:hAnsi="Times New Roman" w:cs="Times New Roman"/>
                <w:color w:val="auto"/>
                <w:sz w:val="20"/>
                <w:szCs w:val="20"/>
                <w:shd w:val="clear" w:color="auto" w:fill="auto"/>
              </w:rPr>
              <w:t>的</w:t>
            </w:r>
          </w:p>
        </w:tc>
        <w:tc>
          <w:tcPr>
            <w:tcW w:w="24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2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2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销售弄虚作假、以次充好，冒充排放检验合格产品的发动机、污染控制装置数量在20辆以上30辆</w:t>
            </w:r>
            <w:r>
              <w:rPr>
                <w:rFonts w:hint="default" w:ascii="Times New Roman" w:hAnsi="Times New Roman" w:cs="Times New Roman"/>
                <w:color w:val="auto"/>
                <w:sz w:val="20"/>
                <w:szCs w:val="20"/>
                <w:shd w:val="clear" w:color="auto" w:fill="auto"/>
                <w:lang w:val="en-US" w:eastAsia="zh-CN"/>
              </w:rPr>
              <w:t>以下</w:t>
            </w:r>
            <w:r>
              <w:rPr>
                <w:rFonts w:hint="default" w:ascii="Times New Roman" w:hAnsi="Times New Roman" w:cs="Times New Roman"/>
                <w:color w:val="auto"/>
                <w:sz w:val="20"/>
                <w:szCs w:val="20"/>
                <w:shd w:val="clear" w:color="auto" w:fill="auto"/>
              </w:rPr>
              <w:t>的</w:t>
            </w:r>
          </w:p>
        </w:tc>
        <w:tc>
          <w:tcPr>
            <w:tcW w:w="24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2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销售弄虚作假、以次充好，冒充排放检验合格产品的发动机、污染控制装置数量在30辆以上50辆</w:t>
            </w:r>
            <w:r>
              <w:rPr>
                <w:rFonts w:hint="default" w:ascii="Times New Roman" w:hAnsi="Times New Roman" w:cs="Times New Roman"/>
                <w:color w:val="auto"/>
                <w:sz w:val="20"/>
                <w:szCs w:val="20"/>
                <w:shd w:val="clear" w:color="auto" w:fill="auto"/>
                <w:lang w:val="en-US" w:eastAsia="zh-CN"/>
              </w:rPr>
              <w:t>以下</w:t>
            </w:r>
            <w:r>
              <w:rPr>
                <w:rFonts w:hint="default" w:ascii="Times New Roman" w:hAnsi="Times New Roman" w:cs="Times New Roman"/>
                <w:color w:val="auto"/>
                <w:sz w:val="20"/>
                <w:szCs w:val="20"/>
                <w:shd w:val="clear" w:color="auto" w:fill="auto"/>
              </w:rPr>
              <w:t>的</w:t>
            </w:r>
          </w:p>
        </w:tc>
        <w:tc>
          <w:tcPr>
            <w:tcW w:w="24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2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2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销售弄虚作假、以次充好，冒充排放检验合格产品的发动机、污染控制装置数量在50辆以上的</w:t>
            </w:r>
          </w:p>
        </w:tc>
        <w:tc>
          <w:tcPr>
            <w:tcW w:w="24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2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货值金额</w:t>
            </w:r>
          </w:p>
        </w:tc>
        <w:tc>
          <w:tcPr>
            <w:tcW w:w="532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货值金额100万元</w:t>
            </w:r>
            <w:r>
              <w:rPr>
                <w:rFonts w:hint="eastAsia" w:ascii="Times New Roman" w:hAnsi="Times New Roman" w:cs="Times New Roman"/>
                <w:color w:val="auto"/>
                <w:sz w:val="20"/>
                <w:szCs w:val="20"/>
                <w:shd w:val="clear" w:color="auto" w:fill="auto"/>
                <w:lang w:val="en-US" w:eastAsia="zh-CN"/>
              </w:rPr>
              <w:t>以下</w:t>
            </w:r>
            <w:r>
              <w:rPr>
                <w:rFonts w:hint="default" w:ascii="Times New Roman" w:hAnsi="Times New Roman" w:cs="Times New Roman"/>
                <w:color w:val="auto"/>
                <w:sz w:val="20"/>
                <w:szCs w:val="20"/>
                <w:shd w:val="clear" w:color="auto" w:fill="auto"/>
              </w:rPr>
              <w:t>的</w:t>
            </w:r>
          </w:p>
        </w:tc>
        <w:tc>
          <w:tcPr>
            <w:tcW w:w="24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2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货值金额100万元以上500万元以下的</w:t>
            </w:r>
          </w:p>
        </w:tc>
        <w:tc>
          <w:tcPr>
            <w:tcW w:w="24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2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2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货值金额500万元</w:t>
            </w:r>
            <w:r>
              <w:rPr>
                <w:rFonts w:hint="eastAsia" w:ascii="Times New Roman" w:hAnsi="Times New Roman" w:cs="Times New Roman"/>
                <w:color w:val="auto"/>
                <w:sz w:val="20"/>
                <w:szCs w:val="20"/>
                <w:shd w:val="clear" w:color="auto" w:fill="auto"/>
                <w:lang w:val="en-US" w:eastAsia="zh-CN"/>
              </w:rPr>
              <w:t>以上</w:t>
            </w:r>
            <w:r>
              <w:rPr>
                <w:rFonts w:hint="default" w:ascii="Times New Roman" w:hAnsi="Times New Roman" w:cs="Times New Roman"/>
                <w:color w:val="auto"/>
                <w:sz w:val="20"/>
                <w:szCs w:val="20"/>
                <w:shd w:val="clear" w:color="auto" w:fill="auto"/>
              </w:rPr>
              <w:t>的</w:t>
            </w:r>
          </w:p>
        </w:tc>
        <w:tc>
          <w:tcPr>
            <w:tcW w:w="24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2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32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4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2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4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2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2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4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2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2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4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2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32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4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69" w:hRule="atLeast"/>
          <w:jc w:val="center"/>
        </w:trPr>
        <w:tc>
          <w:tcPr>
            <w:tcW w:w="12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2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4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2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2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4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290"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32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4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jc w:val="center"/>
        </w:trPr>
        <w:tc>
          <w:tcPr>
            <w:tcW w:w="12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2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4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jc w:val="center"/>
        </w:trPr>
        <w:tc>
          <w:tcPr>
            <w:tcW w:w="12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2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4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jc w:val="center"/>
        </w:trPr>
        <w:tc>
          <w:tcPr>
            <w:tcW w:w="12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2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4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jc w:val="center"/>
        </w:trPr>
        <w:tc>
          <w:tcPr>
            <w:tcW w:w="12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2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4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2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32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4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2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24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2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24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32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4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32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4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2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32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4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2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32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4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0"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适用裁量计算公式裁定罚款金额时，M值（法定处罚金额上限）取货值金额三倍罚款，N值（法定处罚金额下限）取货值金额一倍罚款。</w:t>
            </w:r>
          </w:p>
        </w:tc>
      </w:tr>
    </w:tbl>
    <w:p>
      <w: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5360"/>
        <w:gridCol w:w="2401"/>
      </w:tblGrid>
      <w:tr>
        <w:trPr>
          <w:trHeight w:val="423" w:hRule="atLeast"/>
          <w:jc w:val="center"/>
        </w:trPr>
        <w:tc>
          <w:tcPr>
            <w:tcW w:w="9060" w:type="dxa"/>
            <w:gridSpan w:val="3"/>
            <w:vAlign w:val="center"/>
          </w:tcPr>
          <w:p>
            <w:pPr>
              <w:shd w:val="clear" w:color="auto" w:fill="auto"/>
              <w:snapToGrid w:val="0"/>
              <w:spacing w:before="0" w:beforeAutospacing="0" w:after="0" w:afterAutospacing="0" w:line="240" w:lineRule="auto"/>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97" w:hRule="atLeast"/>
          <w:jc w:val="center"/>
        </w:trPr>
        <w:tc>
          <w:tcPr>
            <w:tcW w:w="12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61"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80" w:name="_Toc15583"/>
            <w:r>
              <w:rPr>
                <w:rFonts w:hint="default" w:ascii="Times New Roman" w:hAnsi="Times New Roman" w:cs="Times New Roman"/>
                <w:color w:val="auto"/>
                <w:sz w:val="20"/>
                <w:szCs w:val="20"/>
                <w:shd w:val="clear" w:color="auto" w:fill="auto"/>
              </w:rPr>
              <w:t>24</w:t>
            </w:r>
            <w:bookmarkEnd w:id="80"/>
          </w:p>
        </w:tc>
      </w:tr>
      <w:tr>
        <w:trPr>
          <w:jc w:val="center"/>
        </w:trPr>
        <w:tc>
          <w:tcPr>
            <w:tcW w:w="12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61" w:type="dxa"/>
            <w:gridSpan w:val="2"/>
            <w:vAlign w:val="center"/>
          </w:tcPr>
          <w:p>
            <w:pPr>
              <w:shd w:val="clear" w:color="auto" w:fill="auto"/>
              <w:snapToGrid w:val="0"/>
              <w:spacing w:before="0" w:beforeAutospacing="0" w:after="0" w:afterAutospacing="0" w:line="300" w:lineRule="exact"/>
              <w:ind w:left="0" w:right="0" w:firstLine="420"/>
              <w:jc w:val="left"/>
              <w:outlineLvl w:val="9"/>
              <w:rPr>
                <w:rFonts w:hint="default" w:ascii="Times New Roman" w:hAnsi="Times New Roman" w:cs="Times New Roman"/>
                <w:color w:val="auto"/>
                <w:sz w:val="20"/>
                <w:szCs w:val="20"/>
                <w:shd w:val="clear" w:color="auto" w:fill="auto"/>
              </w:rPr>
            </w:pPr>
            <w:bookmarkStart w:id="81" w:name="_Toc11471"/>
            <w:r>
              <w:rPr>
                <w:rFonts w:hint="default" w:ascii="Times New Roman" w:hAnsi="Times New Roman" w:cs="Times New Roman"/>
                <w:color w:val="auto"/>
                <w:sz w:val="20"/>
                <w:szCs w:val="20"/>
                <w:shd w:val="clear" w:color="auto" w:fill="auto"/>
              </w:rPr>
              <w:t>机动车生产、进口企业未按照规定向社会公布其生产、进口机动车车型的排放检验信息或者污染控制技术信息的</w:t>
            </w:r>
            <w:bookmarkEnd w:id="81"/>
          </w:p>
        </w:tc>
      </w:tr>
      <w:tr>
        <w:trPr>
          <w:jc w:val="center"/>
        </w:trPr>
        <w:tc>
          <w:tcPr>
            <w:tcW w:w="12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61" w:type="dxa"/>
            <w:gridSpan w:val="2"/>
            <w:vAlign w:val="top"/>
          </w:tcPr>
          <w:p>
            <w:pPr>
              <w:shd w:val="clear" w:color="auto" w:fill="auto"/>
              <w:snapToGrid w:val="0"/>
              <w:spacing w:before="0" w:beforeAutospacing="0" w:after="0" w:afterAutospacing="0" w:line="300" w:lineRule="exact"/>
              <w:ind w:left="0" w:right="0" w:firstLine="422"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《中华人民共和国大气污染防治法》第五十五条</w:t>
            </w:r>
            <w:r>
              <w:rPr>
                <w:rFonts w:hint="default" w:ascii="Times New Roman" w:hAnsi="Times New Roman" w:cs="Times New Roman"/>
                <w:b/>
                <w:bCs/>
                <w:color w:val="auto"/>
                <w:sz w:val="20"/>
                <w:szCs w:val="20"/>
                <w:shd w:val="clear" w:color="auto" w:fill="auto"/>
                <w:lang w:eastAsia="zh-CN"/>
              </w:rPr>
              <w:t>第一款</w:t>
            </w:r>
            <w:r>
              <w:rPr>
                <w:rFonts w:hint="default" w:ascii="Times New Roman" w:hAnsi="Times New Roman" w:cs="Times New Roman"/>
                <w:color w:val="auto"/>
                <w:sz w:val="20"/>
                <w:szCs w:val="20"/>
                <w:shd w:val="clear" w:color="auto" w:fill="auto"/>
              </w:rPr>
              <w:t xml:space="preserve"> 机动车生产、进口企业应当向社会公布其生产、进口机动车车型的排放检验信息、污染控制技术信息和有关维修技术信息。</w:t>
            </w:r>
          </w:p>
        </w:tc>
      </w:tr>
      <w:tr>
        <w:trPr>
          <w:jc w:val="center"/>
        </w:trPr>
        <w:tc>
          <w:tcPr>
            <w:tcW w:w="12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61" w:type="dxa"/>
            <w:gridSpan w:val="2"/>
            <w:vAlign w:val="top"/>
          </w:tcPr>
          <w:p>
            <w:pPr>
              <w:shd w:val="clear" w:color="auto" w:fill="auto"/>
              <w:snapToGrid w:val="0"/>
              <w:spacing w:before="0" w:beforeAutospacing="0" w:after="0" w:afterAutospacing="0" w:line="30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《中华人民共和国大气污染防治法》第一百一十一条</w:t>
            </w:r>
            <w:r>
              <w:rPr>
                <w:rFonts w:hint="default" w:ascii="Times New Roman" w:hAnsi="Times New Roman" w:cs="Times New Roman"/>
                <w:b/>
                <w:bCs/>
                <w:color w:val="auto"/>
                <w:sz w:val="20"/>
                <w:szCs w:val="20"/>
                <w:shd w:val="clear" w:color="auto" w:fill="auto"/>
                <w:lang w:eastAsia="zh-CN"/>
              </w:rPr>
              <w:t>第一款</w:t>
            </w:r>
            <w:r>
              <w:rPr>
                <w:rFonts w:hint="default" w:ascii="Times New Roman" w:hAnsi="Times New Roman" w:cs="Times New Roman"/>
                <w:color w:val="auto"/>
                <w:sz w:val="20"/>
                <w:szCs w:val="20"/>
                <w:shd w:val="clear" w:color="auto" w:fill="auto"/>
              </w:rPr>
              <w:t xml:space="preserve"> 违反本法规定，机动车生产、进口企业未按照规定向社会公布其生产、进口机动车车型的排放检验信息或者污染控制技术信息的，由省级以上人民政府生态环境主管部门责令改正，处五万元以上五十万元以下的罚款。</w:t>
            </w:r>
          </w:p>
        </w:tc>
      </w:tr>
      <w:tr>
        <w:trPr>
          <w:trHeight w:val="425" w:hRule="atLeast"/>
          <w:jc w:val="center"/>
        </w:trPr>
        <w:tc>
          <w:tcPr>
            <w:tcW w:w="12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3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4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jc w:val="center"/>
        </w:trPr>
        <w:tc>
          <w:tcPr>
            <w:tcW w:w="129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3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遗漏或公开不一致的信息数量</w:t>
            </w:r>
            <w:r>
              <w:rPr>
                <w:rFonts w:hint="default" w:ascii="Times New Roman" w:hAnsi="Times New Roman" w:cs="Times New Roman"/>
                <w:color w:val="auto"/>
                <w:sz w:val="20"/>
                <w:szCs w:val="20"/>
                <w:shd w:val="clear" w:color="auto" w:fill="auto"/>
                <w:lang/>
              </w:rPr>
              <w:t>1</w:t>
            </w:r>
            <w:r>
              <w:rPr>
                <w:rFonts w:hint="default" w:ascii="Times New Roman" w:hAnsi="Times New Roman" w:cs="Times New Roman"/>
                <w:color w:val="auto"/>
                <w:sz w:val="20"/>
                <w:szCs w:val="20"/>
                <w:shd w:val="clear" w:color="auto" w:fill="auto"/>
                <w:lang w:val="en-US"/>
              </w:rPr>
              <w:t>或</w:t>
            </w:r>
            <w:r>
              <w:rPr>
                <w:rFonts w:hint="default" w:ascii="Times New Roman" w:hAnsi="Times New Roman" w:cs="Times New Roman"/>
                <w:color w:val="auto"/>
                <w:sz w:val="20"/>
                <w:szCs w:val="20"/>
                <w:shd w:val="clear" w:color="auto" w:fill="auto"/>
                <w:lang/>
              </w:rPr>
              <w:t>2</w:t>
            </w:r>
            <w:r>
              <w:rPr>
                <w:rFonts w:hint="default" w:ascii="Times New Roman" w:hAnsi="Times New Roman" w:cs="Times New Roman"/>
                <w:color w:val="auto"/>
                <w:sz w:val="20"/>
                <w:szCs w:val="20"/>
                <w:shd w:val="clear" w:color="auto" w:fill="auto"/>
                <w:lang w:val="en-US"/>
              </w:rPr>
              <w:t>个</w:t>
            </w:r>
          </w:p>
        </w:tc>
        <w:tc>
          <w:tcPr>
            <w:tcW w:w="24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425"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遗漏或公开不一致的信息数量</w:t>
            </w:r>
            <w:r>
              <w:rPr>
                <w:rFonts w:hint="default" w:ascii="Times New Roman" w:hAnsi="Times New Roman" w:cs="Times New Roman"/>
                <w:color w:val="auto"/>
                <w:sz w:val="20"/>
                <w:szCs w:val="20"/>
                <w:shd w:val="clear" w:color="auto" w:fill="auto"/>
                <w:lang/>
              </w:rPr>
              <w:t>3</w:t>
            </w:r>
            <w:r>
              <w:rPr>
                <w:rFonts w:hint="default" w:ascii="Times New Roman" w:hAnsi="Times New Roman" w:cs="Times New Roman"/>
                <w:color w:val="auto"/>
                <w:sz w:val="20"/>
                <w:szCs w:val="20"/>
                <w:shd w:val="clear" w:color="auto" w:fill="auto"/>
                <w:lang w:val="en-US"/>
              </w:rPr>
              <w:t>或</w:t>
            </w:r>
            <w:r>
              <w:rPr>
                <w:rFonts w:hint="default" w:ascii="Times New Roman" w:hAnsi="Times New Roman" w:cs="Times New Roman"/>
                <w:color w:val="auto"/>
                <w:sz w:val="20"/>
                <w:szCs w:val="20"/>
                <w:shd w:val="clear" w:color="auto" w:fill="auto"/>
                <w:lang/>
              </w:rPr>
              <w:t>4</w:t>
            </w:r>
            <w:r>
              <w:rPr>
                <w:rFonts w:hint="default" w:ascii="Times New Roman" w:hAnsi="Times New Roman" w:cs="Times New Roman"/>
                <w:color w:val="auto"/>
                <w:sz w:val="20"/>
                <w:szCs w:val="20"/>
                <w:shd w:val="clear" w:color="auto" w:fill="auto"/>
                <w:lang w:val="en-US"/>
              </w:rPr>
              <w:t>个</w:t>
            </w:r>
          </w:p>
        </w:tc>
        <w:tc>
          <w:tcPr>
            <w:tcW w:w="24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2</w:t>
            </w:r>
          </w:p>
        </w:tc>
      </w:tr>
      <w:tr>
        <w:trPr>
          <w:trHeight w:val="425"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遗漏或公开不一致的信息数量</w:t>
            </w:r>
            <w:r>
              <w:rPr>
                <w:rFonts w:hint="default" w:ascii="Times New Roman" w:hAnsi="Times New Roman" w:cs="Times New Roman"/>
                <w:color w:val="auto"/>
                <w:sz w:val="20"/>
                <w:szCs w:val="20"/>
                <w:shd w:val="clear" w:color="auto" w:fill="auto"/>
                <w:lang/>
              </w:rPr>
              <w:t>5</w:t>
            </w:r>
            <w:r>
              <w:rPr>
                <w:rFonts w:hint="default" w:ascii="Times New Roman" w:hAnsi="Times New Roman" w:cs="Times New Roman"/>
                <w:color w:val="auto"/>
                <w:sz w:val="20"/>
                <w:szCs w:val="20"/>
                <w:shd w:val="clear" w:color="auto" w:fill="auto"/>
                <w:lang w:val="en-US"/>
              </w:rPr>
              <w:t>或</w:t>
            </w:r>
            <w:r>
              <w:rPr>
                <w:rFonts w:hint="default" w:ascii="Times New Roman" w:hAnsi="Times New Roman" w:cs="Times New Roman"/>
                <w:color w:val="auto"/>
                <w:sz w:val="20"/>
                <w:szCs w:val="20"/>
                <w:shd w:val="clear" w:color="auto" w:fill="auto"/>
                <w:lang/>
              </w:rPr>
              <w:t>6</w:t>
            </w:r>
            <w:r>
              <w:rPr>
                <w:rFonts w:hint="default" w:ascii="Times New Roman" w:hAnsi="Times New Roman" w:cs="Times New Roman"/>
                <w:color w:val="auto"/>
                <w:sz w:val="20"/>
                <w:szCs w:val="20"/>
                <w:shd w:val="clear" w:color="auto" w:fill="auto"/>
                <w:lang w:val="en-US"/>
              </w:rPr>
              <w:t>个</w:t>
            </w:r>
          </w:p>
        </w:tc>
        <w:tc>
          <w:tcPr>
            <w:tcW w:w="24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遗漏或公开不一致的信息数量</w:t>
            </w:r>
            <w:r>
              <w:rPr>
                <w:rFonts w:hint="default" w:ascii="Times New Roman" w:hAnsi="Times New Roman" w:cs="Times New Roman"/>
                <w:color w:val="auto"/>
                <w:sz w:val="20"/>
                <w:szCs w:val="20"/>
                <w:shd w:val="clear" w:color="auto" w:fill="auto"/>
                <w:lang/>
              </w:rPr>
              <w:t>6</w:t>
            </w:r>
            <w:r>
              <w:rPr>
                <w:rFonts w:hint="default" w:ascii="Times New Roman" w:hAnsi="Times New Roman" w:cs="Times New Roman"/>
                <w:color w:val="auto"/>
                <w:sz w:val="20"/>
                <w:szCs w:val="20"/>
                <w:shd w:val="clear" w:color="auto" w:fill="auto"/>
                <w:lang w:val="en-US"/>
              </w:rPr>
              <w:t>个以上</w:t>
            </w:r>
          </w:p>
        </w:tc>
        <w:tc>
          <w:tcPr>
            <w:tcW w:w="24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未向社会公开其生产、进口机动车车型的排放检验信息或者污染控制技术信息的</w:t>
            </w:r>
          </w:p>
        </w:tc>
        <w:tc>
          <w:tcPr>
            <w:tcW w:w="24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9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未公开车型数量</w:t>
            </w:r>
          </w:p>
        </w:tc>
        <w:tc>
          <w:tcPr>
            <w:tcW w:w="53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r>
              <w:rPr>
                <w:rFonts w:hint="default" w:ascii="Times New Roman" w:hAnsi="Times New Roman" w:cs="Times New Roman"/>
                <w:color w:val="auto"/>
                <w:sz w:val="20"/>
                <w:szCs w:val="20"/>
                <w:shd w:val="clear" w:color="auto" w:fill="auto"/>
                <w:lang w:eastAsia="zh-CN"/>
              </w:rPr>
              <w:t>种</w:t>
            </w:r>
            <w:r>
              <w:rPr>
                <w:rFonts w:hint="default" w:ascii="Times New Roman" w:hAnsi="Times New Roman" w:cs="Times New Roman"/>
                <w:color w:val="auto"/>
                <w:sz w:val="20"/>
                <w:szCs w:val="20"/>
                <w:shd w:val="clear" w:color="auto" w:fill="auto"/>
                <w:lang w:val="en-US" w:eastAsia="zh-CN"/>
              </w:rPr>
              <w:t>以下</w:t>
            </w:r>
            <w:r>
              <w:rPr>
                <w:rFonts w:hint="default" w:ascii="Times New Roman" w:hAnsi="Times New Roman" w:cs="Times New Roman"/>
                <w:color w:val="auto"/>
                <w:sz w:val="20"/>
                <w:szCs w:val="20"/>
                <w:shd w:val="clear" w:color="auto" w:fill="auto"/>
              </w:rPr>
              <w:t>的</w:t>
            </w:r>
          </w:p>
        </w:tc>
        <w:tc>
          <w:tcPr>
            <w:tcW w:w="24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r>
              <w:rPr>
                <w:rFonts w:hint="default" w:ascii="Times New Roman" w:hAnsi="Times New Roman" w:cs="Times New Roman"/>
                <w:color w:val="auto"/>
                <w:sz w:val="20"/>
                <w:szCs w:val="20"/>
                <w:shd w:val="clear" w:color="auto" w:fill="auto"/>
                <w:lang w:eastAsia="zh-CN"/>
              </w:rPr>
              <w:t>种</w:t>
            </w:r>
            <w:r>
              <w:rPr>
                <w:rFonts w:hint="default" w:ascii="Times New Roman" w:hAnsi="Times New Roman" w:cs="Times New Roman"/>
                <w:color w:val="auto"/>
                <w:sz w:val="20"/>
                <w:szCs w:val="20"/>
                <w:shd w:val="clear" w:color="auto" w:fill="auto"/>
              </w:rPr>
              <w:t>以上10</w:t>
            </w:r>
            <w:r>
              <w:rPr>
                <w:rFonts w:hint="default" w:ascii="Times New Roman" w:hAnsi="Times New Roman" w:cs="Times New Roman"/>
                <w:color w:val="auto"/>
                <w:sz w:val="20"/>
                <w:szCs w:val="20"/>
                <w:shd w:val="clear" w:color="auto" w:fill="auto"/>
                <w:lang w:eastAsia="zh-CN"/>
              </w:rPr>
              <w:t>种</w:t>
            </w:r>
            <w:r>
              <w:rPr>
                <w:rFonts w:hint="default" w:ascii="Times New Roman" w:hAnsi="Times New Roman" w:cs="Times New Roman"/>
                <w:color w:val="auto"/>
                <w:sz w:val="20"/>
                <w:szCs w:val="20"/>
                <w:shd w:val="clear" w:color="auto" w:fill="auto"/>
                <w:lang w:val="en-US" w:eastAsia="zh-CN"/>
              </w:rPr>
              <w:t>以下</w:t>
            </w:r>
            <w:r>
              <w:rPr>
                <w:rFonts w:hint="default" w:ascii="Times New Roman" w:hAnsi="Times New Roman" w:cs="Times New Roman"/>
                <w:color w:val="auto"/>
                <w:sz w:val="20"/>
                <w:szCs w:val="20"/>
                <w:shd w:val="clear" w:color="auto" w:fill="auto"/>
              </w:rPr>
              <w:t>的</w:t>
            </w:r>
          </w:p>
        </w:tc>
        <w:tc>
          <w:tcPr>
            <w:tcW w:w="24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10种</w:t>
            </w:r>
            <w:r>
              <w:rPr>
                <w:rFonts w:hint="default" w:ascii="Times New Roman" w:hAnsi="Times New Roman" w:cs="Times New Roman"/>
                <w:color w:val="auto"/>
                <w:sz w:val="20"/>
                <w:szCs w:val="20"/>
                <w:shd w:val="clear" w:color="auto" w:fill="auto"/>
              </w:rPr>
              <w:t>以上15</w:t>
            </w:r>
            <w:r>
              <w:rPr>
                <w:rFonts w:hint="default" w:ascii="Times New Roman" w:hAnsi="Times New Roman" w:cs="Times New Roman"/>
                <w:color w:val="auto"/>
                <w:sz w:val="20"/>
                <w:szCs w:val="20"/>
                <w:shd w:val="clear" w:color="auto" w:fill="auto"/>
                <w:lang w:eastAsia="zh-CN"/>
              </w:rPr>
              <w:t>种</w:t>
            </w:r>
            <w:r>
              <w:rPr>
                <w:rFonts w:hint="default" w:ascii="Times New Roman" w:hAnsi="Times New Roman" w:cs="Times New Roman"/>
                <w:color w:val="auto"/>
                <w:sz w:val="20"/>
                <w:szCs w:val="20"/>
                <w:shd w:val="clear" w:color="auto" w:fill="auto"/>
                <w:lang w:val="en-US" w:eastAsia="zh-CN"/>
              </w:rPr>
              <w:t>以下</w:t>
            </w:r>
            <w:r>
              <w:rPr>
                <w:rFonts w:hint="default" w:ascii="Times New Roman" w:hAnsi="Times New Roman" w:cs="Times New Roman"/>
                <w:color w:val="auto"/>
                <w:sz w:val="20"/>
                <w:szCs w:val="20"/>
                <w:shd w:val="clear" w:color="auto" w:fill="auto"/>
              </w:rPr>
              <w:t>的</w:t>
            </w:r>
          </w:p>
        </w:tc>
        <w:tc>
          <w:tcPr>
            <w:tcW w:w="24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15种</w:t>
            </w:r>
            <w:r>
              <w:rPr>
                <w:rFonts w:hint="default" w:ascii="Times New Roman" w:hAnsi="Times New Roman" w:cs="Times New Roman"/>
                <w:color w:val="auto"/>
                <w:sz w:val="20"/>
                <w:szCs w:val="20"/>
                <w:shd w:val="clear" w:color="auto" w:fill="auto"/>
              </w:rPr>
              <w:t>以上20</w:t>
            </w:r>
            <w:r>
              <w:rPr>
                <w:rFonts w:hint="default" w:ascii="Times New Roman" w:hAnsi="Times New Roman" w:cs="Times New Roman"/>
                <w:color w:val="auto"/>
                <w:sz w:val="20"/>
                <w:szCs w:val="20"/>
                <w:shd w:val="clear" w:color="auto" w:fill="auto"/>
                <w:lang w:eastAsia="zh-CN"/>
              </w:rPr>
              <w:t>种</w:t>
            </w:r>
            <w:r>
              <w:rPr>
                <w:rFonts w:hint="default" w:ascii="Times New Roman" w:hAnsi="Times New Roman" w:cs="Times New Roman"/>
                <w:color w:val="auto"/>
                <w:sz w:val="20"/>
                <w:szCs w:val="20"/>
                <w:shd w:val="clear" w:color="auto" w:fill="auto"/>
                <w:lang w:val="en-US" w:eastAsia="zh-CN"/>
              </w:rPr>
              <w:t>以下</w:t>
            </w:r>
            <w:r>
              <w:rPr>
                <w:rFonts w:hint="default" w:ascii="Times New Roman" w:hAnsi="Times New Roman" w:cs="Times New Roman"/>
                <w:color w:val="auto"/>
                <w:sz w:val="20"/>
                <w:szCs w:val="20"/>
                <w:shd w:val="clear" w:color="auto" w:fill="auto"/>
              </w:rPr>
              <w:t>的</w:t>
            </w:r>
          </w:p>
        </w:tc>
        <w:tc>
          <w:tcPr>
            <w:tcW w:w="24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20</w:t>
            </w:r>
            <w:r>
              <w:rPr>
                <w:rFonts w:hint="default" w:ascii="Times New Roman" w:hAnsi="Times New Roman" w:cs="Times New Roman"/>
                <w:color w:val="auto"/>
                <w:sz w:val="20"/>
                <w:szCs w:val="20"/>
                <w:shd w:val="clear" w:color="auto" w:fill="auto"/>
                <w:lang w:eastAsia="zh-CN"/>
              </w:rPr>
              <w:t>种</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的</w:t>
            </w:r>
          </w:p>
        </w:tc>
        <w:tc>
          <w:tcPr>
            <w:tcW w:w="24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99"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36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40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jc w:val="center"/>
        </w:trPr>
        <w:tc>
          <w:tcPr>
            <w:tcW w:w="129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6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40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jc w:val="center"/>
        </w:trPr>
        <w:tc>
          <w:tcPr>
            <w:tcW w:w="129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6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40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jc w:val="center"/>
        </w:trPr>
        <w:tc>
          <w:tcPr>
            <w:tcW w:w="129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6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40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jc w:val="center"/>
        </w:trPr>
        <w:tc>
          <w:tcPr>
            <w:tcW w:w="129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6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40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29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3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微型企业</w:t>
            </w:r>
          </w:p>
        </w:tc>
        <w:tc>
          <w:tcPr>
            <w:tcW w:w="24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4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4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0" w:type="dxa"/>
            <w:vAlign w:val="center"/>
          </w:tcPr>
          <w:p>
            <w:pPr>
              <w:shd w:val="clear" w:color="auto" w:fill="auto"/>
              <w:snapToGrid w:val="0"/>
              <w:spacing w:before="0" w:beforeAutospacing="0" w:after="0" w:afterAutospacing="0" w:line="300" w:lineRule="exact"/>
              <w:ind w:left="0" w:right="0" w:firstLine="2090" w:firstLineChars="1100"/>
              <w:jc w:val="both"/>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24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4</w:t>
            </w:r>
          </w:p>
        </w:tc>
      </w:tr>
      <w:tr>
        <w:trPr>
          <w:trHeight w:val="397" w:hRule="atLeast"/>
          <w:jc w:val="center"/>
        </w:trPr>
        <w:tc>
          <w:tcPr>
            <w:tcW w:w="129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3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40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40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425"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40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425" w:hRule="atLeast"/>
          <w:jc w:val="center"/>
        </w:trPr>
        <w:tc>
          <w:tcPr>
            <w:tcW w:w="1299"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r>
              <w:rPr>
                <w:rFonts w:hint="default" w:ascii="Times New Roman" w:hAnsi="Times New Roman" w:cs="Times New Roman"/>
                <w:b/>
                <w:bCs/>
                <w:color w:val="auto"/>
                <w:sz w:val="20"/>
                <w:szCs w:val="20"/>
                <w:shd w:val="clear" w:color="auto" w:fill="auto"/>
                <w:lang w:val="en-US"/>
              </w:rPr>
              <w:t>改正时间</w:t>
            </w:r>
          </w:p>
        </w:tc>
        <w:tc>
          <w:tcPr>
            <w:tcW w:w="536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eastAsia" w:ascii="Times New Roman" w:hAnsi="Times New Roman" w:cs="Times New Roman"/>
                <w:color w:val="auto"/>
                <w:kern w:val="2"/>
                <w:sz w:val="21"/>
                <w:szCs w:val="21"/>
                <w:shd w:val="clear" w:color="auto" w:fill="auto"/>
                <w:lang w:eastAsia="zh-CN"/>
              </w:rPr>
              <w:t>限期改正</w:t>
            </w:r>
          </w:p>
        </w:tc>
        <w:tc>
          <w:tcPr>
            <w:tcW w:w="240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299"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p>
        </w:tc>
        <w:tc>
          <w:tcPr>
            <w:tcW w:w="53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3天以下</w:t>
            </w:r>
          </w:p>
        </w:tc>
        <w:tc>
          <w:tcPr>
            <w:tcW w:w="240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299"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p>
        </w:tc>
        <w:tc>
          <w:tcPr>
            <w:tcW w:w="53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240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299"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p>
        </w:tc>
        <w:tc>
          <w:tcPr>
            <w:tcW w:w="53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240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29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3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4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24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24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9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3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40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3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40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3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40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3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40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61"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eastAsia="宋体" w:cs="Times New Roman"/>
                <w:color w:val="auto"/>
                <w:sz w:val="20"/>
                <w:szCs w:val="20"/>
                <w:shd w:val="clear" w:color="auto" w:fill="auto"/>
                <w:lang w:eastAsia="zh-CN"/>
              </w:rPr>
            </w:pPr>
          </w:p>
        </w:tc>
      </w:tr>
    </w:tbl>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5349"/>
        <w:gridCol w:w="2415"/>
      </w:tblGrid>
      <w:tr>
        <w:trPr>
          <w:trHeight w:val="369"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69" w:hRule="atLeast"/>
          <w:jc w:val="center"/>
        </w:trPr>
        <w:tc>
          <w:tcPr>
            <w:tcW w:w="129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64"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82" w:name="_Toc5024"/>
            <w:r>
              <w:rPr>
                <w:rFonts w:hint="default" w:ascii="Times New Roman" w:hAnsi="Times New Roman" w:cs="Times New Roman"/>
                <w:color w:val="auto"/>
                <w:sz w:val="20"/>
                <w:szCs w:val="20"/>
                <w:shd w:val="clear" w:color="auto" w:fill="auto"/>
              </w:rPr>
              <w:t>25</w:t>
            </w:r>
            <w:bookmarkEnd w:id="82"/>
          </w:p>
        </w:tc>
      </w:tr>
      <w:tr>
        <w:trPr>
          <w:trHeight w:val="369" w:hRule="atLeast"/>
          <w:jc w:val="center"/>
        </w:trPr>
        <w:tc>
          <w:tcPr>
            <w:tcW w:w="129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64" w:type="dxa"/>
            <w:gridSpan w:val="2"/>
            <w:vAlign w:val="center"/>
          </w:tcPr>
          <w:p>
            <w:pPr>
              <w:shd w:val="clear" w:color="auto" w:fill="auto"/>
              <w:snapToGrid w:val="0"/>
              <w:spacing w:before="0" w:beforeAutospacing="0" w:after="0" w:afterAutospacing="0" w:line="320" w:lineRule="exact"/>
              <w:ind w:left="0" w:right="0" w:firstLine="420"/>
              <w:jc w:val="center"/>
              <w:outlineLvl w:val="9"/>
              <w:rPr>
                <w:rFonts w:hint="default" w:ascii="Times New Roman" w:hAnsi="Times New Roman" w:cs="Times New Roman"/>
                <w:color w:val="auto"/>
                <w:sz w:val="20"/>
                <w:szCs w:val="20"/>
                <w:shd w:val="clear" w:color="auto" w:fill="auto"/>
              </w:rPr>
            </w:pPr>
            <w:bookmarkStart w:id="83" w:name="_Toc20540"/>
            <w:r>
              <w:rPr>
                <w:rFonts w:hint="default" w:ascii="Times New Roman" w:hAnsi="Times New Roman" w:cs="Times New Roman"/>
                <w:color w:val="auto"/>
                <w:sz w:val="20"/>
                <w:szCs w:val="20"/>
                <w:shd w:val="clear" w:color="auto" w:fill="auto"/>
              </w:rPr>
              <w:t>伪造机动车、非道路移动机械排放检验结果或者出具虚假排放检验报告的</w:t>
            </w:r>
            <w:bookmarkEnd w:id="83"/>
          </w:p>
        </w:tc>
      </w:tr>
      <w:tr>
        <w:trPr>
          <w:trHeight w:val="369" w:hRule="atLeast"/>
          <w:jc w:val="center"/>
        </w:trPr>
        <w:tc>
          <w:tcPr>
            <w:tcW w:w="129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64" w:type="dxa"/>
            <w:gridSpan w:val="2"/>
            <w:vAlign w:val="top"/>
          </w:tcPr>
          <w:p>
            <w:pPr>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《中华人民共和国大气污染防治法》第五十</w:t>
            </w:r>
            <w:r>
              <w:rPr>
                <w:rFonts w:hint="default" w:ascii="Times New Roman" w:hAnsi="Times New Roman" w:cs="Times New Roman"/>
                <w:b/>
                <w:bCs/>
                <w:color w:val="auto"/>
                <w:sz w:val="20"/>
                <w:szCs w:val="20"/>
                <w:shd w:val="clear" w:color="auto" w:fill="auto"/>
                <w:lang w:eastAsia="zh-CN"/>
              </w:rPr>
              <w:t>四</w:t>
            </w:r>
            <w:r>
              <w:rPr>
                <w:rFonts w:hint="default" w:ascii="Times New Roman" w:hAnsi="Times New Roman" w:cs="Times New Roman"/>
                <w:b/>
                <w:bCs/>
                <w:color w:val="auto"/>
                <w:sz w:val="20"/>
                <w:szCs w:val="20"/>
                <w:shd w:val="clear" w:color="auto" w:fill="auto"/>
              </w:rPr>
              <w:t>条</w:t>
            </w:r>
            <w:r>
              <w:rPr>
                <w:rFonts w:hint="default" w:ascii="Times New Roman" w:hAnsi="Times New Roman" w:cs="Times New Roman"/>
                <w:b/>
                <w:bCs/>
                <w:color w:val="auto"/>
                <w:sz w:val="20"/>
                <w:szCs w:val="20"/>
                <w:shd w:val="clear" w:color="auto" w:fill="auto"/>
                <w:lang w:val="en-US"/>
              </w:rPr>
              <w:t>第一款</w:t>
            </w:r>
            <w:r>
              <w:rPr>
                <w:rFonts w:hint="default" w:ascii="Times New Roman" w:hAnsi="Times New Roman" w:cs="Times New Roman"/>
                <w:b/>
                <w:bCs/>
                <w:color w:val="auto"/>
                <w:sz w:val="20"/>
                <w:szCs w:val="20"/>
                <w:shd w:val="clear" w:color="auto" w:fill="auto"/>
              </w:rPr>
              <w:t xml:space="preserve"> </w:t>
            </w:r>
            <w:r>
              <w:rPr>
                <w:rFonts w:hint="default" w:ascii="Times New Roman" w:hAnsi="Times New Roman" w:cs="Times New Roman"/>
                <w:color w:val="auto"/>
                <w:sz w:val="20"/>
                <w:szCs w:val="20"/>
                <w:shd w:val="clear" w:color="auto" w:fill="auto"/>
              </w:rPr>
              <w:t>机动车排放检验机构应当依法通过计量认证，使用经依法检定合格的机动车排放检验设备，按照国务院生态环境主管部门制定的规范，对机动车进行排放检验，并与生态环境主管部门联网，实现检验数据实时共享。机动车排放检验机构及其负责人对检验数据的真实性和准确性负责。</w:t>
            </w:r>
          </w:p>
        </w:tc>
      </w:tr>
      <w:tr>
        <w:trPr>
          <w:trHeight w:val="369" w:hRule="atLeast"/>
          <w:jc w:val="center"/>
        </w:trPr>
        <w:tc>
          <w:tcPr>
            <w:tcW w:w="129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64" w:type="dxa"/>
            <w:gridSpan w:val="2"/>
            <w:vAlign w:val="top"/>
          </w:tcPr>
          <w:p>
            <w:pPr>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《中华人民共和国大气污染防治法》第一百一十二条第一款 </w:t>
            </w:r>
            <w:r>
              <w:rPr>
                <w:rFonts w:hint="default" w:ascii="Times New Roman" w:hAnsi="Times New Roman" w:cs="Times New Roman"/>
                <w:color w:val="auto"/>
                <w:sz w:val="20"/>
                <w:szCs w:val="20"/>
                <w:shd w:val="clear" w:color="auto" w:fill="auto"/>
              </w:rPr>
              <w:t>违反本法规定，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p>
        </w:tc>
      </w:tr>
      <w:tr>
        <w:trPr>
          <w:trHeight w:val="369" w:hRule="atLeast"/>
          <w:jc w:val="center"/>
        </w:trPr>
        <w:tc>
          <w:tcPr>
            <w:tcW w:w="129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3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41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jc w:val="center"/>
        </w:trPr>
        <w:tc>
          <w:tcPr>
            <w:tcW w:w="129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3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伪造结果或出具虚假报告10辆以下的</w:t>
            </w:r>
          </w:p>
        </w:tc>
        <w:tc>
          <w:tcPr>
            <w:tcW w:w="241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9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伪造结果或出具虚假报告10辆以上20辆以下的</w:t>
            </w:r>
          </w:p>
        </w:tc>
        <w:tc>
          <w:tcPr>
            <w:tcW w:w="241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29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伪造结果或出具虚假报告20辆以上30辆以下的</w:t>
            </w:r>
          </w:p>
        </w:tc>
        <w:tc>
          <w:tcPr>
            <w:tcW w:w="241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29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伪造结果或出具虚假报告30辆以上50辆以下的</w:t>
            </w:r>
          </w:p>
        </w:tc>
        <w:tc>
          <w:tcPr>
            <w:tcW w:w="241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29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伪造结果或出具虚假报告50辆以上的</w:t>
            </w:r>
          </w:p>
        </w:tc>
        <w:tc>
          <w:tcPr>
            <w:tcW w:w="241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29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3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41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9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41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29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41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29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41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296"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3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41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jc w:val="center"/>
        </w:trPr>
        <w:tc>
          <w:tcPr>
            <w:tcW w:w="129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41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jc w:val="center"/>
        </w:trPr>
        <w:tc>
          <w:tcPr>
            <w:tcW w:w="129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41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jc w:val="center"/>
        </w:trPr>
        <w:tc>
          <w:tcPr>
            <w:tcW w:w="129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41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jc w:val="center"/>
        </w:trPr>
        <w:tc>
          <w:tcPr>
            <w:tcW w:w="129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41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69" w:hRule="atLeast"/>
          <w:jc w:val="center"/>
        </w:trPr>
        <w:tc>
          <w:tcPr>
            <w:tcW w:w="129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3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41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9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41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296" w:type="dxa"/>
            <w:vMerge w:val="continue"/>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b/>
                <w:bCs/>
                <w:color w:val="auto"/>
                <w:sz w:val="20"/>
                <w:szCs w:val="20"/>
                <w:shd w:val="clear" w:color="auto" w:fill="auto"/>
              </w:rPr>
            </w:pPr>
          </w:p>
        </w:tc>
        <w:tc>
          <w:tcPr>
            <w:tcW w:w="53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41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29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3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41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9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3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41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29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3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41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29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3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41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29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64"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5898"/>
        <w:gridCol w:w="1866"/>
      </w:tblGrid>
      <w:tr>
        <w:trPr>
          <w:trHeight w:val="369" w:hRule="atLeast"/>
          <w:jc w:val="center"/>
        </w:trPr>
        <w:tc>
          <w:tcPr>
            <w:tcW w:w="9060" w:type="dxa"/>
            <w:gridSpan w:val="3"/>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（二）大气污染防治类</w:t>
            </w:r>
          </w:p>
        </w:tc>
      </w:tr>
      <w:tr>
        <w:trPr>
          <w:trHeight w:val="369" w:hRule="atLeast"/>
          <w:jc w:val="center"/>
        </w:trPr>
        <w:tc>
          <w:tcPr>
            <w:tcW w:w="129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序号</w:t>
            </w:r>
          </w:p>
        </w:tc>
        <w:tc>
          <w:tcPr>
            <w:tcW w:w="7764" w:type="dxa"/>
            <w:gridSpan w:val="2"/>
            <w:vAlign w:val="center"/>
          </w:tcPr>
          <w:p>
            <w:pPr>
              <w:shd w:val="clear" w:color="auto" w:fill="auto"/>
              <w:wordWrap/>
              <w:adjustRightInd/>
              <w:snapToGrid w:val="0"/>
              <w:spacing w:before="0" w:beforeAutospacing="0" w:after="0" w:afterAutospacing="0" w:line="340" w:lineRule="exact"/>
              <w:ind w:left="0" w:right="0"/>
              <w:jc w:val="center"/>
              <w:textAlignment w:val="auto"/>
              <w:outlineLvl w:val="9"/>
              <w:rPr>
                <w:rFonts w:hint="default" w:ascii="Times New Roman" w:hAnsi="Times New Roman" w:cs="Times New Roman"/>
                <w:color w:val="auto"/>
                <w:sz w:val="21"/>
                <w:szCs w:val="21"/>
                <w:shd w:val="clear" w:color="auto" w:fill="auto"/>
              </w:rPr>
            </w:pPr>
            <w:bookmarkStart w:id="84" w:name="_Toc18541"/>
            <w:r>
              <w:rPr>
                <w:rFonts w:hint="default" w:ascii="Times New Roman" w:hAnsi="Times New Roman" w:cs="Times New Roman"/>
                <w:color w:val="auto"/>
                <w:sz w:val="21"/>
                <w:szCs w:val="21"/>
                <w:shd w:val="clear" w:color="auto" w:fill="auto"/>
              </w:rPr>
              <w:t>26</w:t>
            </w:r>
            <w:bookmarkEnd w:id="84"/>
          </w:p>
        </w:tc>
      </w:tr>
      <w:tr>
        <w:trPr>
          <w:trHeight w:val="369" w:hRule="atLeast"/>
          <w:jc w:val="center"/>
        </w:trPr>
        <w:tc>
          <w:tcPr>
            <w:tcW w:w="129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违法行为</w:t>
            </w:r>
          </w:p>
        </w:tc>
        <w:tc>
          <w:tcPr>
            <w:tcW w:w="7764" w:type="dxa"/>
            <w:gridSpan w:val="2"/>
            <w:vAlign w:val="center"/>
          </w:tcPr>
          <w:p>
            <w:pPr>
              <w:shd w:val="clear" w:color="auto" w:fill="auto"/>
              <w:wordWrap/>
              <w:adjustRightInd/>
              <w:snapToGrid w:val="0"/>
              <w:spacing w:before="0" w:beforeAutospacing="0" w:after="0" w:afterAutospacing="0" w:line="340" w:lineRule="exact"/>
              <w:ind w:left="0" w:right="0" w:firstLine="420" w:firstLineChars="200"/>
              <w:jc w:val="left"/>
              <w:textAlignment w:val="auto"/>
              <w:outlineLvl w:val="9"/>
              <w:rPr>
                <w:rFonts w:hint="default" w:ascii="Times New Roman" w:hAnsi="Times New Roman" w:cs="Times New Roman"/>
                <w:color w:val="auto"/>
                <w:sz w:val="21"/>
                <w:szCs w:val="21"/>
                <w:shd w:val="clear" w:color="auto" w:fill="auto"/>
              </w:rPr>
            </w:pPr>
            <w:bookmarkStart w:id="85" w:name="_Toc4668"/>
            <w:r>
              <w:rPr>
                <w:rFonts w:hint="default" w:ascii="Times New Roman" w:hAnsi="Times New Roman" w:cs="Times New Roman"/>
                <w:color w:val="auto"/>
                <w:sz w:val="21"/>
                <w:szCs w:val="21"/>
                <w:shd w:val="clear" w:color="auto" w:fill="auto"/>
              </w:rPr>
              <w:t>未密闭煤炭、煤矸石、煤渣、煤灰、水泥、石灰、石膏、砂土等易产生扬尘的物料的</w:t>
            </w:r>
            <w:bookmarkEnd w:id="85"/>
          </w:p>
        </w:tc>
      </w:tr>
      <w:tr>
        <w:trPr>
          <w:trHeight w:val="369" w:hRule="atLeast"/>
          <w:jc w:val="center"/>
        </w:trPr>
        <w:tc>
          <w:tcPr>
            <w:tcW w:w="129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违反条款</w:t>
            </w:r>
          </w:p>
        </w:tc>
        <w:tc>
          <w:tcPr>
            <w:tcW w:w="7764" w:type="dxa"/>
            <w:gridSpan w:val="2"/>
            <w:vAlign w:val="top"/>
          </w:tcPr>
          <w:p>
            <w:pPr>
              <w:pStyle w:val="18"/>
              <w:shd w:val="clear" w:color="auto" w:fill="auto"/>
              <w:wordWrap/>
              <w:adjustRightInd/>
              <w:snapToGrid w:val="0"/>
              <w:spacing w:before="0" w:beforeAutospacing="0" w:after="0" w:afterAutospacing="0" w:line="340" w:lineRule="exact"/>
              <w:ind w:left="0" w:right="0" w:firstLine="422" w:firstLineChars="200"/>
              <w:jc w:val="left"/>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《中华人民共和国大气污染防治法》第七十二条第一款</w:t>
            </w:r>
            <w:r>
              <w:rPr>
                <w:rFonts w:hint="default" w:ascii="Times New Roman" w:hAnsi="Times New Roman" w:cs="Times New Roman"/>
                <w:color w:val="auto"/>
                <w:sz w:val="21"/>
                <w:szCs w:val="21"/>
                <w:shd w:val="clear" w:color="auto" w:fill="auto"/>
              </w:rPr>
              <w:t xml:space="preserve"> 贮存煤炭、煤矸石、煤渣、煤灰、水泥、石灰、石膏、砂土等易产生扬尘的物料应当密闭；不能密闭的，应当设置不低于堆放物高度的严密围挡，并采取有效覆盖措施防治扬尘污染。</w:t>
            </w:r>
          </w:p>
        </w:tc>
      </w:tr>
      <w:tr>
        <w:trPr>
          <w:trHeight w:val="369" w:hRule="atLeast"/>
          <w:jc w:val="center"/>
        </w:trPr>
        <w:tc>
          <w:tcPr>
            <w:tcW w:w="129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处罚依据</w:t>
            </w:r>
          </w:p>
        </w:tc>
        <w:tc>
          <w:tcPr>
            <w:tcW w:w="7764" w:type="dxa"/>
            <w:gridSpan w:val="2"/>
            <w:vAlign w:val="top"/>
          </w:tcPr>
          <w:p>
            <w:pPr>
              <w:pStyle w:val="19"/>
              <w:shd w:val="clear" w:color="auto" w:fill="auto"/>
              <w:wordWrap/>
              <w:adjustRightInd/>
              <w:snapToGrid w:val="0"/>
              <w:spacing w:before="0" w:beforeAutospacing="0" w:after="0" w:afterAutospacing="0" w:line="340" w:lineRule="exact"/>
              <w:ind w:left="0" w:right="0" w:firstLine="422" w:firstLineChars="20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《中华人民共和国大气污染防治法》第一百一十七条第（一）项</w:t>
            </w:r>
            <w:r>
              <w:rPr>
                <w:rFonts w:hint="default" w:ascii="Times New Roman" w:hAnsi="Times New Roman" w:cs="Times New Roman"/>
                <w:color w:val="auto"/>
                <w:sz w:val="21"/>
                <w:szCs w:val="21"/>
                <w:shd w:val="clear" w:color="auto" w:fill="auto"/>
              </w:rPr>
              <w:t xml:space="preserve"> 违反本法规定，有下列行为之一的，由县级以上人民政府生态环境等主管部门按照职责责令改正，处一万元以上十万元以下的罚款；拒不改正的，责令停工整治或者停业整治：</w:t>
            </w:r>
          </w:p>
          <w:p>
            <w:pPr>
              <w:pStyle w:val="19"/>
              <w:shd w:val="clear" w:color="auto" w:fill="auto"/>
              <w:wordWrap/>
              <w:adjustRightInd/>
              <w:snapToGrid w:val="0"/>
              <w:spacing w:before="0" w:beforeAutospacing="0" w:after="0" w:afterAutospacing="0" w:line="340" w:lineRule="exact"/>
              <w:ind w:left="0" w:right="0" w:firstLine="420" w:firstLineChars="20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（一）未密闭煤炭、煤矸石、煤渣、煤灰、水泥、石灰、石膏、砂土等易产生扬尘的物料的。</w:t>
            </w:r>
          </w:p>
        </w:tc>
      </w:tr>
      <w:tr>
        <w:trPr>
          <w:trHeight w:val="369" w:hRule="atLeast"/>
          <w:jc w:val="center"/>
        </w:trPr>
        <w:tc>
          <w:tcPr>
            <w:tcW w:w="129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裁量因素</w:t>
            </w:r>
          </w:p>
        </w:tc>
        <w:tc>
          <w:tcPr>
            <w:tcW w:w="589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判定标准</w:t>
            </w:r>
          </w:p>
        </w:tc>
        <w:tc>
          <w:tcPr>
            <w:tcW w:w="186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裁量等级</w:t>
            </w:r>
          </w:p>
        </w:tc>
      </w:tr>
      <w:tr>
        <w:trPr>
          <w:trHeight w:val="369" w:hRule="atLeast"/>
          <w:jc w:val="center"/>
        </w:trPr>
        <w:tc>
          <w:tcPr>
            <w:tcW w:w="1296" w:type="dxa"/>
            <w:vMerge w:val="restart"/>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★违法事实</w:t>
            </w:r>
          </w:p>
        </w:tc>
        <w:tc>
          <w:tcPr>
            <w:tcW w:w="589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1"/>
                <w:shd w:val="clear" w:color="auto" w:fill="auto"/>
                <w:lang w:eastAsia="zh-CN"/>
              </w:rPr>
              <w:t>已采取密闭措施但密闭不严导致扬尘污染的</w:t>
            </w:r>
          </w:p>
        </w:tc>
        <w:tc>
          <w:tcPr>
            <w:tcW w:w="186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sz w:val="21"/>
                <w:szCs w:val="21"/>
                <w:shd w:val="clear" w:color="auto" w:fill="auto"/>
                <w:lang w:val="en-US" w:eastAsia="zh-CN"/>
              </w:rPr>
            </w:pPr>
            <w:r>
              <w:rPr>
                <w:rFonts w:hint="default" w:ascii="Times New Roman" w:hAnsi="Times New Roman" w:cs="Times New Roman"/>
                <w:color w:val="auto"/>
                <w:sz w:val="21"/>
                <w:szCs w:val="21"/>
                <w:shd w:val="clear" w:color="auto" w:fill="auto"/>
                <w:lang w:val="en-US" w:eastAsia="zh-CN"/>
              </w:rPr>
              <w:t>1</w:t>
            </w:r>
          </w:p>
        </w:tc>
      </w:tr>
      <w:tr>
        <w:trPr>
          <w:trHeight w:val="369" w:hRule="atLeast"/>
          <w:jc w:val="center"/>
        </w:trPr>
        <w:tc>
          <w:tcPr>
            <w:tcW w:w="1296"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89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1"/>
                <w:shd w:val="clear" w:color="auto" w:fill="auto"/>
                <w:lang w:eastAsia="zh-CN"/>
              </w:rPr>
              <w:t>采取部分密闭措施导致扬尘污染的</w:t>
            </w:r>
          </w:p>
        </w:tc>
        <w:tc>
          <w:tcPr>
            <w:tcW w:w="186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sz w:val="21"/>
                <w:szCs w:val="21"/>
                <w:shd w:val="clear" w:color="auto" w:fill="auto"/>
                <w:lang w:val="en-US" w:eastAsia="zh-CN"/>
              </w:rPr>
            </w:pPr>
            <w:r>
              <w:rPr>
                <w:rFonts w:hint="default" w:ascii="Times New Roman" w:hAnsi="Times New Roman" w:cs="Times New Roman"/>
                <w:color w:val="auto"/>
                <w:sz w:val="21"/>
                <w:szCs w:val="21"/>
                <w:shd w:val="clear" w:color="auto" w:fill="auto"/>
                <w:lang w:val="en-US" w:eastAsia="zh-CN"/>
              </w:rPr>
              <w:t>3</w:t>
            </w:r>
          </w:p>
        </w:tc>
      </w:tr>
      <w:tr>
        <w:trPr>
          <w:trHeight w:val="369" w:hRule="atLeast"/>
          <w:jc w:val="center"/>
        </w:trPr>
        <w:tc>
          <w:tcPr>
            <w:tcW w:w="1296"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89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1"/>
                <w:shd w:val="clear" w:color="auto" w:fill="auto"/>
                <w:lang w:eastAsia="zh-CN"/>
              </w:rPr>
              <w:t>未采取密闭措施的</w:t>
            </w:r>
          </w:p>
        </w:tc>
        <w:tc>
          <w:tcPr>
            <w:tcW w:w="186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sz w:val="21"/>
                <w:szCs w:val="21"/>
                <w:shd w:val="clear" w:color="auto" w:fill="auto"/>
                <w:lang w:val="en-US" w:eastAsia="zh-CN"/>
              </w:rPr>
            </w:pPr>
            <w:r>
              <w:rPr>
                <w:rFonts w:hint="default" w:ascii="Times New Roman" w:hAnsi="Times New Roman" w:cs="Times New Roman"/>
                <w:color w:val="auto"/>
                <w:sz w:val="21"/>
                <w:szCs w:val="21"/>
                <w:shd w:val="clear" w:color="auto" w:fill="auto"/>
                <w:lang w:val="en-US" w:eastAsia="zh-CN"/>
              </w:rPr>
              <w:t>5</w:t>
            </w:r>
          </w:p>
        </w:tc>
      </w:tr>
      <w:tr>
        <w:trPr>
          <w:trHeight w:val="369" w:hRule="atLeast"/>
          <w:jc w:val="center"/>
        </w:trPr>
        <w:tc>
          <w:tcPr>
            <w:tcW w:w="1296" w:type="dxa"/>
            <w:vMerge w:val="restart"/>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lang w:eastAsia="zh-CN"/>
              </w:rPr>
              <w:t>易产生扬尘的物料量</w:t>
            </w:r>
          </w:p>
        </w:tc>
        <w:tc>
          <w:tcPr>
            <w:tcW w:w="589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100吨以下</w:t>
            </w:r>
          </w:p>
        </w:tc>
        <w:tc>
          <w:tcPr>
            <w:tcW w:w="186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369" w:hRule="atLeast"/>
          <w:jc w:val="center"/>
        </w:trPr>
        <w:tc>
          <w:tcPr>
            <w:tcW w:w="1296"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89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100吨以上500吨以下</w:t>
            </w:r>
          </w:p>
        </w:tc>
        <w:tc>
          <w:tcPr>
            <w:tcW w:w="186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369" w:hRule="atLeast"/>
          <w:jc w:val="center"/>
        </w:trPr>
        <w:tc>
          <w:tcPr>
            <w:tcW w:w="1296"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89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500吨以上1000吨以下</w:t>
            </w:r>
          </w:p>
        </w:tc>
        <w:tc>
          <w:tcPr>
            <w:tcW w:w="186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369" w:hRule="atLeast"/>
          <w:jc w:val="center"/>
        </w:trPr>
        <w:tc>
          <w:tcPr>
            <w:tcW w:w="1296"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89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1000吨以上2000吨以下</w:t>
            </w:r>
          </w:p>
        </w:tc>
        <w:tc>
          <w:tcPr>
            <w:tcW w:w="186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4</w:t>
            </w:r>
          </w:p>
        </w:tc>
      </w:tr>
      <w:tr>
        <w:trPr>
          <w:trHeight w:val="369" w:hRule="atLeast"/>
          <w:jc w:val="center"/>
        </w:trPr>
        <w:tc>
          <w:tcPr>
            <w:tcW w:w="1296"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89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2000吨以上</w:t>
            </w:r>
          </w:p>
        </w:tc>
        <w:tc>
          <w:tcPr>
            <w:tcW w:w="186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w:t>
            </w:r>
          </w:p>
        </w:tc>
      </w:tr>
      <w:tr>
        <w:trPr>
          <w:trHeight w:val="369" w:hRule="atLeast"/>
          <w:jc w:val="center"/>
        </w:trPr>
        <w:tc>
          <w:tcPr>
            <w:tcW w:w="1296" w:type="dxa"/>
            <w:vMerge w:val="restart"/>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89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186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96"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89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186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296"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89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186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296"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898" w:type="dxa"/>
            <w:vAlign w:val="center"/>
          </w:tcPr>
          <w:p>
            <w:pPr>
              <w:shd w:val="clear" w:color="auto" w:fill="auto"/>
              <w:wordWrap/>
              <w:adjustRightInd/>
              <w:snapToGrid w:val="0"/>
              <w:spacing w:before="0" w:beforeAutospacing="0" w:after="0" w:afterAutospacing="0" w:line="340" w:lineRule="exact"/>
              <w:ind w:left="0" w:right="0" w:firstLine="2470" w:firstLineChars="1300"/>
              <w:jc w:val="both"/>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186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4</w:t>
            </w:r>
          </w:p>
        </w:tc>
      </w:tr>
      <w:tr>
        <w:trPr>
          <w:trHeight w:val="369" w:hRule="atLeast"/>
          <w:jc w:val="center"/>
        </w:trPr>
        <w:tc>
          <w:tcPr>
            <w:tcW w:w="1296" w:type="dxa"/>
            <w:vMerge w:val="restart"/>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b/>
                <w:bCs/>
                <w:color w:val="auto"/>
                <w:sz w:val="21"/>
                <w:szCs w:val="21"/>
                <w:shd w:val="clear" w:color="auto" w:fill="auto"/>
                <w:lang w:val="en-US"/>
              </w:rPr>
            </w:pPr>
            <w:r>
              <w:rPr>
                <w:rFonts w:hint="default" w:ascii="Times New Roman" w:hAnsi="Times New Roman" w:cs="Times New Roman"/>
                <w:b/>
                <w:bCs/>
                <w:color w:val="auto"/>
                <w:sz w:val="21"/>
                <w:szCs w:val="21"/>
                <w:shd w:val="clear" w:color="auto" w:fill="auto"/>
                <w:lang w:val="en-US"/>
              </w:rPr>
              <w:t>管理类别</w:t>
            </w:r>
          </w:p>
        </w:tc>
        <w:tc>
          <w:tcPr>
            <w:tcW w:w="589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sz w:val="21"/>
                <w:szCs w:val="21"/>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186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69" w:hRule="atLeast"/>
          <w:jc w:val="center"/>
        </w:trPr>
        <w:tc>
          <w:tcPr>
            <w:tcW w:w="1296"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89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186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296"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89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sz w:val="21"/>
                <w:szCs w:val="21"/>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186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296" w:type="dxa"/>
            <w:vMerge w:val="restart"/>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项目建设</w:t>
            </w:r>
          </w:p>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地点</w:t>
            </w:r>
          </w:p>
        </w:tc>
        <w:tc>
          <w:tcPr>
            <w:tcW w:w="5898" w:type="dxa"/>
            <w:vAlign w:val="center"/>
          </w:tcPr>
          <w:p>
            <w:pPr>
              <w:widowControl w:val="0"/>
              <w:shd w:val="clear" w:color="auto" w:fill="auto"/>
              <w:tabs>
                <w:tab w:val="center" w:pos="4153"/>
                <w:tab w:val="right" w:pos="8306"/>
              </w:tabs>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color w:val="auto"/>
                <w:sz w:val="20"/>
                <w:szCs w:val="20"/>
                <w:shd w:val="clear" w:color="auto" w:fill="auto"/>
              </w:rPr>
              <w:t>符合环境功能区划</w:t>
            </w:r>
          </w:p>
        </w:tc>
        <w:tc>
          <w:tcPr>
            <w:tcW w:w="1866" w:type="dxa"/>
            <w:vAlign w:val="center"/>
          </w:tcPr>
          <w:p>
            <w:pPr>
              <w:widowControl w:val="0"/>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69" w:hRule="atLeast"/>
          <w:jc w:val="center"/>
        </w:trPr>
        <w:tc>
          <w:tcPr>
            <w:tcW w:w="1296"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898" w:type="dxa"/>
            <w:vAlign w:val="center"/>
          </w:tcPr>
          <w:p>
            <w:pPr>
              <w:widowControl w:val="0"/>
              <w:shd w:val="clear" w:color="auto" w:fill="auto"/>
              <w:tabs>
                <w:tab w:val="center" w:pos="4153"/>
                <w:tab w:val="right" w:pos="8306"/>
              </w:tabs>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不符合环境功能区划，但位于居住区、商业交通居民混合区、文化区、工业区和农村地区</w:t>
            </w:r>
          </w:p>
        </w:tc>
        <w:tc>
          <w:tcPr>
            <w:tcW w:w="1866" w:type="dxa"/>
            <w:vAlign w:val="center"/>
          </w:tcPr>
          <w:p>
            <w:pPr>
              <w:widowControl w:val="0"/>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296"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898" w:type="dxa"/>
            <w:vAlign w:val="center"/>
          </w:tcPr>
          <w:p>
            <w:pPr>
              <w:widowControl w:val="0"/>
              <w:shd w:val="clear" w:color="auto" w:fill="auto"/>
              <w:tabs>
                <w:tab w:val="center" w:pos="4153"/>
                <w:tab w:val="right" w:pos="8306"/>
              </w:tabs>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color w:val="auto"/>
                <w:sz w:val="20"/>
                <w:szCs w:val="20"/>
                <w:shd w:val="clear" w:color="auto" w:fill="auto"/>
              </w:rPr>
              <w:t>不符合环境功能区划，但位于自然保护区、风景名胜区和其他需要特殊保护的区域</w:t>
            </w:r>
          </w:p>
        </w:tc>
        <w:tc>
          <w:tcPr>
            <w:tcW w:w="1866" w:type="dxa"/>
            <w:vAlign w:val="center"/>
          </w:tcPr>
          <w:p>
            <w:pPr>
              <w:widowControl w:val="0"/>
              <w:shd w:val="clear" w:color="auto" w:fill="auto"/>
              <w:tabs>
                <w:tab w:val="center" w:pos="4153"/>
                <w:tab w:val="right" w:pos="8306"/>
              </w:tabs>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69" w:hRule="atLeast"/>
          <w:jc w:val="center"/>
        </w:trPr>
        <w:tc>
          <w:tcPr>
            <w:tcW w:w="1296" w:type="dxa"/>
            <w:vMerge w:val="restart"/>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898"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186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eastAsia"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369" w:hRule="atLeast"/>
          <w:jc w:val="center"/>
        </w:trPr>
        <w:tc>
          <w:tcPr>
            <w:tcW w:w="1296"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89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3天以下</w:t>
            </w:r>
          </w:p>
        </w:tc>
        <w:tc>
          <w:tcPr>
            <w:tcW w:w="186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296"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89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186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69" w:hRule="atLeast"/>
          <w:jc w:val="center"/>
        </w:trPr>
        <w:tc>
          <w:tcPr>
            <w:tcW w:w="1296"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89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186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29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1"/>
                <w:szCs w:val="21"/>
                <w:shd w:val="clear" w:color="auto" w:fill="auto"/>
              </w:rPr>
              <w:t>占地面积</w:t>
            </w:r>
          </w:p>
        </w:tc>
        <w:tc>
          <w:tcPr>
            <w:tcW w:w="589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占地面积100m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0"/>
                <w:szCs w:val="20"/>
                <w:shd w:val="clear" w:color="auto" w:fill="auto"/>
                <w:lang w:val="en-US" w:eastAsia="zh-CN"/>
              </w:rPr>
              <w:t>以下</w:t>
            </w:r>
            <w:r>
              <w:rPr>
                <w:rFonts w:hint="default" w:ascii="Times New Roman" w:hAnsi="Times New Roman" w:cs="Times New Roman"/>
                <w:color w:val="auto"/>
                <w:sz w:val="21"/>
                <w:szCs w:val="21"/>
                <w:shd w:val="clear" w:color="auto" w:fill="auto"/>
              </w:rPr>
              <w:t>的</w:t>
            </w:r>
          </w:p>
        </w:tc>
        <w:tc>
          <w:tcPr>
            <w:tcW w:w="186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1</w:t>
            </w:r>
          </w:p>
        </w:tc>
      </w:tr>
      <w:tr>
        <w:trPr>
          <w:trHeight w:val="397" w:hRule="atLeast"/>
          <w:jc w:val="center"/>
        </w:trPr>
        <w:tc>
          <w:tcPr>
            <w:tcW w:w="129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占地面积100m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0"/>
                <w:szCs w:val="20"/>
                <w:shd w:val="clear" w:color="auto" w:fill="auto"/>
                <w:lang w:val="en-US" w:eastAsia="zh-CN"/>
              </w:rPr>
              <w:t>以下</w:t>
            </w:r>
            <w:r>
              <w:rPr>
                <w:rFonts w:hint="default" w:ascii="Times New Roman" w:hAnsi="Times New Roman" w:cs="Times New Roman"/>
                <w:color w:val="auto"/>
                <w:sz w:val="21"/>
                <w:szCs w:val="21"/>
                <w:shd w:val="clear" w:color="auto" w:fill="auto"/>
              </w:rPr>
              <w:t>的</w:t>
            </w:r>
          </w:p>
        </w:tc>
        <w:tc>
          <w:tcPr>
            <w:tcW w:w="186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3</w:t>
            </w:r>
          </w:p>
        </w:tc>
      </w:tr>
      <w:tr>
        <w:trPr>
          <w:trHeight w:val="397" w:hRule="atLeast"/>
          <w:jc w:val="center"/>
        </w:trPr>
        <w:tc>
          <w:tcPr>
            <w:tcW w:w="129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占地面积500m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以上的</w:t>
            </w:r>
          </w:p>
        </w:tc>
        <w:tc>
          <w:tcPr>
            <w:tcW w:w="186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5</w:t>
            </w:r>
          </w:p>
        </w:tc>
      </w:tr>
      <w:tr>
        <w:trPr>
          <w:trHeight w:val="397" w:hRule="atLeast"/>
          <w:jc w:val="center"/>
        </w:trPr>
        <w:tc>
          <w:tcPr>
            <w:tcW w:w="1296"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发生时期</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环境敏感度</w:t>
            </w:r>
          </w:p>
        </w:tc>
        <w:tc>
          <w:tcPr>
            <w:tcW w:w="589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一般期间</w:t>
            </w:r>
          </w:p>
        </w:tc>
        <w:tc>
          <w:tcPr>
            <w:tcW w:w="186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jc w:val="center"/>
        </w:trPr>
        <w:tc>
          <w:tcPr>
            <w:tcW w:w="129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重污染天气黄色预警期间</w:t>
            </w:r>
          </w:p>
        </w:tc>
        <w:tc>
          <w:tcPr>
            <w:tcW w:w="186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jc w:val="center"/>
        </w:trPr>
        <w:tc>
          <w:tcPr>
            <w:tcW w:w="129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重污染天气橙色预警期间</w:t>
            </w:r>
          </w:p>
        </w:tc>
        <w:tc>
          <w:tcPr>
            <w:tcW w:w="186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jc w:val="center"/>
        </w:trPr>
        <w:tc>
          <w:tcPr>
            <w:tcW w:w="129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重污染天气红色预警期间</w:t>
            </w:r>
          </w:p>
        </w:tc>
        <w:tc>
          <w:tcPr>
            <w:tcW w:w="186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jc w:val="center"/>
        </w:trPr>
        <w:tc>
          <w:tcPr>
            <w:tcW w:w="129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特殊或重大活动期间</w:t>
            </w:r>
          </w:p>
        </w:tc>
        <w:tc>
          <w:tcPr>
            <w:tcW w:w="186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29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1"/>
                <w:szCs w:val="21"/>
                <w:shd w:val="clear" w:color="auto" w:fill="auto"/>
                <w:lang w:eastAsia="zh-CN"/>
              </w:rPr>
              <w:t>受处罚次数</w:t>
            </w:r>
          </w:p>
        </w:tc>
        <w:tc>
          <w:tcPr>
            <w:tcW w:w="589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两年内未受到过同类处罚</w:t>
            </w:r>
          </w:p>
        </w:tc>
        <w:tc>
          <w:tcPr>
            <w:tcW w:w="186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1</w:t>
            </w:r>
          </w:p>
        </w:tc>
      </w:tr>
      <w:tr>
        <w:trPr>
          <w:trHeight w:val="397" w:hRule="atLeast"/>
          <w:jc w:val="center"/>
        </w:trPr>
        <w:tc>
          <w:tcPr>
            <w:tcW w:w="129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两年内受到同类处罚1次</w:t>
            </w:r>
          </w:p>
        </w:tc>
        <w:tc>
          <w:tcPr>
            <w:tcW w:w="186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3</w:t>
            </w:r>
          </w:p>
        </w:tc>
      </w:tr>
      <w:tr>
        <w:trPr>
          <w:trHeight w:val="397" w:hRule="atLeast"/>
          <w:jc w:val="center"/>
        </w:trPr>
        <w:tc>
          <w:tcPr>
            <w:tcW w:w="129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两年内受到同类处罚2次以上</w:t>
            </w:r>
          </w:p>
        </w:tc>
        <w:tc>
          <w:tcPr>
            <w:tcW w:w="186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5</w:t>
            </w:r>
          </w:p>
        </w:tc>
      </w:tr>
      <w:tr>
        <w:trPr>
          <w:trHeight w:val="397" w:hRule="atLeast"/>
          <w:jc w:val="center"/>
        </w:trPr>
        <w:tc>
          <w:tcPr>
            <w:tcW w:w="129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0"/>
                <w:szCs w:val="20"/>
                <w:shd w:val="clear" w:color="auto" w:fill="auto"/>
              </w:rPr>
              <w:t>执法检查</w:t>
            </w:r>
          </w:p>
        </w:tc>
        <w:tc>
          <w:tcPr>
            <w:tcW w:w="589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186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9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1"/>
                <w:szCs w:val="21"/>
                <w:shd w:val="clear" w:color="auto" w:fill="auto"/>
              </w:rPr>
            </w:pPr>
          </w:p>
        </w:tc>
        <w:tc>
          <w:tcPr>
            <w:tcW w:w="589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186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29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1"/>
                <w:szCs w:val="21"/>
                <w:shd w:val="clear" w:color="auto" w:fill="auto"/>
              </w:rPr>
            </w:pPr>
          </w:p>
        </w:tc>
        <w:tc>
          <w:tcPr>
            <w:tcW w:w="589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186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29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1"/>
                <w:szCs w:val="21"/>
                <w:shd w:val="clear" w:color="auto" w:fill="auto"/>
              </w:rPr>
            </w:pPr>
          </w:p>
        </w:tc>
        <w:tc>
          <w:tcPr>
            <w:tcW w:w="589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186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9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备注</w:t>
            </w:r>
          </w:p>
        </w:tc>
        <w:tc>
          <w:tcPr>
            <w:tcW w:w="7764"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p>
        </w:tc>
      </w:tr>
    </w:tbl>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6693"/>
        <w:gridCol w:w="1069"/>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97" w:hRule="atLeast"/>
          <w:jc w:val="center"/>
        </w:trPr>
        <w:tc>
          <w:tcPr>
            <w:tcW w:w="129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6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86" w:name="_Toc10328"/>
            <w:r>
              <w:rPr>
                <w:rFonts w:hint="default" w:ascii="Times New Roman" w:hAnsi="Times New Roman" w:cs="Times New Roman"/>
                <w:color w:val="auto"/>
                <w:sz w:val="20"/>
                <w:szCs w:val="20"/>
                <w:shd w:val="clear" w:color="auto" w:fill="auto"/>
              </w:rPr>
              <w:t>27</w:t>
            </w:r>
            <w:bookmarkEnd w:id="86"/>
          </w:p>
        </w:tc>
      </w:tr>
      <w:tr>
        <w:trPr>
          <w:trHeight w:val="397" w:hRule="atLeast"/>
          <w:jc w:val="center"/>
        </w:trPr>
        <w:tc>
          <w:tcPr>
            <w:tcW w:w="129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62" w:type="dxa"/>
            <w:gridSpan w:val="2"/>
            <w:vAlign w:val="top"/>
          </w:tcPr>
          <w:p>
            <w:pPr>
              <w:pStyle w:val="18"/>
              <w:shd w:val="clear" w:color="auto" w:fill="auto"/>
              <w:snapToGrid w:val="0"/>
              <w:spacing w:before="0" w:beforeAutospacing="0" w:after="0" w:afterAutospacing="0" w:line="320" w:lineRule="exact"/>
              <w:ind w:left="0" w:right="0" w:firstLine="420" w:firstLineChars="200"/>
              <w:outlineLvl w:val="9"/>
              <w:rPr>
                <w:rFonts w:hint="default" w:ascii="Times New Roman" w:hAnsi="Times New Roman" w:cs="Times New Roman"/>
                <w:color w:val="auto"/>
                <w:kern w:val="2"/>
                <w:sz w:val="21"/>
                <w:szCs w:val="21"/>
                <w:shd w:val="clear" w:color="auto" w:fill="auto"/>
              </w:rPr>
            </w:pPr>
            <w:bookmarkStart w:id="87" w:name="_Toc11102"/>
            <w:r>
              <w:rPr>
                <w:rFonts w:hint="default" w:ascii="Times New Roman" w:hAnsi="Times New Roman" w:cs="Times New Roman"/>
                <w:color w:val="auto"/>
                <w:sz w:val="21"/>
                <w:szCs w:val="21"/>
                <w:shd w:val="clear" w:color="auto" w:fill="auto"/>
              </w:rPr>
              <w:t>对不能密闭的易产生扬尘的物料，未设置不低于堆放物高度的严密围挡，或者未采取有效覆盖措施防治扬尘污染的</w:t>
            </w:r>
            <w:bookmarkEnd w:id="87"/>
          </w:p>
        </w:tc>
      </w:tr>
      <w:tr>
        <w:trPr>
          <w:trHeight w:val="397" w:hRule="atLeast"/>
          <w:jc w:val="center"/>
        </w:trPr>
        <w:tc>
          <w:tcPr>
            <w:tcW w:w="129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62" w:type="dxa"/>
            <w:gridSpan w:val="2"/>
            <w:vAlign w:val="top"/>
          </w:tcPr>
          <w:p>
            <w:pPr>
              <w:pStyle w:val="18"/>
              <w:shd w:val="clear" w:color="auto" w:fill="auto"/>
              <w:snapToGrid w:val="0"/>
              <w:spacing w:before="0" w:beforeAutospacing="0" w:after="0" w:afterAutospacing="0" w:line="320" w:lineRule="exact"/>
              <w:ind w:left="0" w:right="0" w:firstLine="357"/>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《中华人民共和国大气污染防治法》第七十二条第一款</w:t>
            </w:r>
            <w:r>
              <w:rPr>
                <w:rFonts w:hint="default" w:ascii="Times New Roman" w:hAnsi="Times New Roman" w:cs="Times New Roman"/>
                <w:color w:val="auto"/>
                <w:sz w:val="21"/>
                <w:szCs w:val="21"/>
                <w:shd w:val="clear" w:color="auto" w:fill="auto"/>
              </w:rPr>
              <w:t xml:space="preserve"> 贮存煤炭、煤矸石、煤渣、煤灰、水泥、石灰、石膏、砂土等易产生扬尘的物料应当密闭；不能密闭的，应当设置不低于堆放物高度的严密围挡，并采取有效覆盖措施防治扬尘污染。</w:t>
            </w:r>
          </w:p>
        </w:tc>
      </w:tr>
      <w:tr>
        <w:trPr>
          <w:trHeight w:val="397" w:hRule="atLeast"/>
          <w:jc w:val="center"/>
        </w:trPr>
        <w:tc>
          <w:tcPr>
            <w:tcW w:w="129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62" w:type="dxa"/>
            <w:gridSpan w:val="2"/>
            <w:vAlign w:val="top"/>
          </w:tcPr>
          <w:p>
            <w:pPr>
              <w:pStyle w:val="18"/>
              <w:shd w:val="clear" w:color="auto" w:fill="auto"/>
              <w:snapToGrid w:val="0"/>
              <w:spacing w:before="0" w:beforeAutospacing="0" w:after="0" w:afterAutospacing="0" w:line="320" w:lineRule="exact"/>
              <w:ind w:left="0" w:right="0" w:firstLine="357"/>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《中华人民共和国大气污染防治法》第一百一十七条</w:t>
            </w:r>
            <w:r>
              <w:rPr>
                <w:rFonts w:hint="default" w:ascii="Times New Roman" w:hAnsi="Times New Roman" w:cs="Times New Roman"/>
                <w:b/>
                <w:bCs/>
                <w:color w:val="auto"/>
                <w:sz w:val="21"/>
                <w:szCs w:val="21"/>
                <w:shd w:val="clear" w:color="auto" w:fill="auto"/>
              </w:rPr>
              <w:t xml:space="preserve">第（二）项 </w:t>
            </w:r>
            <w:r>
              <w:rPr>
                <w:rFonts w:hint="default" w:ascii="Times New Roman" w:hAnsi="Times New Roman" w:cs="Times New Roman"/>
                <w:color w:val="auto"/>
                <w:kern w:val="2"/>
                <w:sz w:val="21"/>
                <w:szCs w:val="21"/>
                <w:shd w:val="clear" w:color="auto" w:fill="auto"/>
              </w:rPr>
              <w:t>违反本法规定，有下列行为之一的，由县级以上人民政府生态环境等主管部门按照职责责令改正，处一万元以上十万元以下的罚款；拒不改正的，责令停工整治或者停业整治：</w:t>
            </w:r>
          </w:p>
          <w:p>
            <w:pPr>
              <w:pStyle w:val="18"/>
              <w:shd w:val="clear" w:color="auto" w:fill="auto"/>
              <w:snapToGrid w:val="0"/>
              <w:spacing w:before="0" w:beforeAutospacing="0" w:after="0" w:afterAutospacing="0" w:line="320" w:lineRule="exact"/>
              <w:ind w:left="0" w:right="0" w:firstLine="36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（二）</w:t>
            </w:r>
            <w:r>
              <w:rPr>
                <w:rFonts w:hint="default" w:ascii="Times New Roman" w:hAnsi="Times New Roman" w:cs="Times New Roman"/>
                <w:color w:val="auto"/>
                <w:sz w:val="21"/>
                <w:szCs w:val="21"/>
                <w:shd w:val="clear" w:color="auto" w:fill="auto"/>
              </w:rPr>
              <w:t>对不能密闭的易产生扬尘的物料，未设置不低于堆放物高度的严密围挡，或者未采取有效覆盖措施防治扬尘污染的。</w:t>
            </w:r>
          </w:p>
        </w:tc>
      </w:tr>
      <w:tr>
        <w:trPr>
          <w:trHeight w:val="442" w:hRule="atLeast"/>
          <w:jc w:val="center"/>
        </w:trPr>
        <w:tc>
          <w:tcPr>
            <w:tcW w:w="129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6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106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42" w:hRule="atLeast"/>
          <w:jc w:val="center"/>
        </w:trPr>
        <w:tc>
          <w:tcPr>
            <w:tcW w:w="129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6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1"/>
                <w:shd w:val="clear" w:color="auto" w:fill="auto"/>
                <w:lang w:eastAsia="zh-CN"/>
              </w:rPr>
              <w:t>设置的围挡低于堆放物高度，</w:t>
            </w:r>
            <w:r>
              <w:rPr>
                <w:rFonts w:hint="default" w:ascii="Times New Roman" w:hAnsi="Times New Roman" w:cs="Times New Roman"/>
                <w:color w:val="auto"/>
                <w:sz w:val="20"/>
                <w:szCs w:val="20"/>
                <w:shd w:val="clear" w:color="auto" w:fill="auto"/>
              </w:rPr>
              <w:t>采取有效覆盖措施</w:t>
            </w:r>
          </w:p>
        </w:tc>
        <w:tc>
          <w:tcPr>
            <w:tcW w:w="106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jc w:val="center"/>
        </w:trPr>
        <w:tc>
          <w:tcPr>
            <w:tcW w:w="129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1"/>
                <w:shd w:val="clear" w:color="auto" w:fill="auto"/>
                <w:lang w:eastAsia="zh-CN"/>
              </w:rPr>
              <w:t>已按要求设置围挡但未采取有效覆盖措施导致扬尘污染的</w:t>
            </w:r>
          </w:p>
        </w:tc>
        <w:tc>
          <w:tcPr>
            <w:tcW w:w="106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42" w:hRule="atLeast"/>
          <w:jc w:val="center"/>
        </w:trPr>
        <w:tc>
          <w:tcPr>
            <w:tcW w:w="129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693" w:type="dxa"/>
            <w:vAlign w:val="center"/>
          </w:tcPr>
          <w:p>
            <w:pPr>
              <w:shd w:val="clear" w:color="auto" w:fill="auto"/>
              <w:snapToGrid w:val="0"/>
              <w:spacing w:before="0" w:beforeAutospacing="0" w:after="0" w:afterAutospacing="0" w:line="320" w:lineRule="exact"/>
              <w:ind w:left="0" w:right="0"/>
              <w:jc w:val="both"/>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1"/>
                <w:shd w:val="clear" w:color="auto" w:fill="auto"/>
                <w:lang w:eastAsia="zh-CN"/>
              </w:rPr>
              <w:t>设置的围挡低于堆放物高度的且未采取有效覆盖措施导致扬尘污染的</w:t>
            </w:r>
          </w:p>
        </w:tc>
        <w:tc>
          <w:tcPr>
            <w:tcW w:w="106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jc w:val="center"/>
        </w:trPr>
        <w:tc>
          <w:tcPr>
            <w:tcW w:w="129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1"/>
                <w:shd w:val="clear" w:color="auto" w:fill="auto"/>
                <w:lang w:eastAsia="zh-CN"/>
              </w:rPr>
              <w:t>未设置围挡</w:t>
            </w:r>
            <w:r>
              <w:rPr>
                <w:rFonts w:hint="default" w:ascii="Times New Roman" w:hAnsi="Times New Roman" w:cs="Times New Roman"/>
                <w:color w:val="auto"/>
                <w:sz w:val="20"/>
                <w:szCs w:val="21"/>
                <w:shd w:val="clear" w:color="auto" w:fill="auto"/>
                <w:lang w:val="en-US"/>
              </w:rPr>
              <w:t>且</w:t>
            </w:r>
            <w:r>
              <w:rPr>
                <w:rFonts w:hint="default" w:ascii="Times New Roman" w:hAnsi="Times New Roman" w:cs="Times New Roman"/>
                <w:color w:val="auto"/>
                <w:sz w:val="20"/>
                <w:szCs w:val="21"/>
                <w:shd w:val="clear" w:color="auto" w:fill="auto"/>
                <w:lang w:eastAsia="zh-CN"/>
              </w:rPr>
              <w:t>未采取覆盖措施的</w:t>
            </w:r>
          </w:p>
        </w:tc>
        <w:tc>
          <w:tcPr>
            <w:tcW w:w="106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42" w:hRule="atLeast"/>
          <w:jc w:val="center"/>
        </w:trPr>
        <w:tc>
          <w:tcPr>
            <w:tcW w:w="129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易产生扬尘的物料量</w:t>
            </w:r>
          </w:p>
        </w:tc>
        <w:tc>
          <w:tcPr>
            <w:tcW w:w="6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100吨以下</w:t>
            </w:r>
          </w:p>
        </w:tc>
        <w:tc>
          <w:tcPr>
            <w:tcW w:w="106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1</w:t>
            </w:r>
          </w:p>
        </w:tc>
      </w:tr>
      <w:tr>
        <w:trPr>
          <w:trHeight w:val="442" w:hRule="atLeast"/>
          <w:jc w:val="center"/>
        </w:trPr>
        <w:tc>
          <w:tcPr>
            <w:tcW w:w="129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100吨以上500吨以下</w:t>
            </w:r>
          </w:p>
        </w:tc>
        <w:tc>
          <w:tcPr>
            <w:tcW w:w="106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2</w:t>
            </w:r>
          </w:p>
        </w:tc>
      </w:tr>
      <w:tr>
        <w:trPr>
          <w:trHeight w:val="442" w:hRule="atLeast"/>
          <w:jc w:val="center"/>
        </w:trPr>
        <w:tc>
          <w:tcPr>
            <w:tcW w:w="129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500吨以上1000吨以下</w:t>
            </w:r>
          </w:p>
        </w:tc>
        <w:tc>
          <w:tcPr>
            <w:tcW w:w="106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3</w:t>
            </w:r>
          </w:p>
        </w:tc>
      </w:tr>
      <w:tr>
        <w:trPr>
          <w:trHeight w:val="442" w:hRule="atLeast"/>
          <w:jc w:val="center"/>
        </w:trPr>
        <w:tc>
          <w:tcPr>
            <w:tcW w:w="129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1000吨以上2000吨以下</w:t>
            </w:r>
          </w:p>
        </w:tc>
        <w:tc>
          <w:tcPr>
            <w:tcW w:w="106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4</w:t>
            </w:r>
          </w:p>
        </w:tc>
      </w:tr>
      <w:tr>
        <w:trPr>
          <w:trHeight w:val="442" w:hRule="atLeast"/>
          <w:jc w:val="center"/>
        </w:trPr>
        <w:tc>
          <w:tcPr>
            <w:tcW w:w="129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2000吨以上</w:t>
            </w:r>
          </w:p>
        </w:tc>
        <w:tc>
          <w:tcPr>
            <w:tcW w:w="106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5</w:t>
            </w:r>
          </w:p>
        </w:tc>
      </w:tr>
      <w:tr>
        <w:trPr>
          <w:trHeight w:val="442" w:hRule="atLeast"/>
          <w:jc w:val="center"/>
        </w:trPr>
        <w:tc>
          <w:tcPr>
            <w:tcW w:w="129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地点</w:t>
            </w:r>
          </w:p>
        </w:tc>
        <w:tc>
          <w:tcPr>
            <w:tcW w:w="6693"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符合环境功能区划</w:t>
            </w:r>
          </w:p>
        </w:tc>
        <w:tc>
          <w:tcPr>
            <w:tcW w:w="1069"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442" w:hRule="atLeast"/>
          <w:jc w:val="center"/>
        </w:trPr>
        <w:tc>
          <w:tcPr>
            <w:tcW w:w="129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693"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不符合环境功能区划，但位于居住区、商业交通居民混合区、文化区、工业区和农村地区</w:t>
            </w:r>
          </w:p>
        </w:tc>
        <w:tc>
          <w:tcPr>
            <w:tcW w:w="1069"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42" w:hRule="atLeast"/>
          <w:jc w:val="center"/>
        </w:trPr>
        <w:tc>
          <w:tcPr>
            <w:tcW w:w="129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693"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不符合环境功能区划，但位于自然保护区、风景名胜区和其他需要特殊保护的区域</w:t>
            </w:r>
          </w:p>
        </w:tc>
        <w:tc>
          <w:tcPr>
            <w:tcW w:w="1069"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442" w:hRule="atLeast"/>
          <w:jc w:val="center"/>
        </w:trPr>
        <w:tc>
          <w:tcPr>
            <w:tcW w:w="129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6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106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42" w:hRule="atLeast"/>
          <w:jc w:val="center"/>
        </w:trPr>
        <w:tc>
          <w:tcPr>
            <w:tcW w:w="129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106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42" w:hRule="atLeast"/>
          <w:jc w:val="center"/>
        </w:trPr>
        <w:tc>
          <w:tcPr>
            <w:tcW w:w="129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106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42" w:hRule="atLeast"/>
          <w:jc w:val="center"/>
        </w:trPr>
        <w:tc>
          <w:tcPr>
            <w:tcW w:w="129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693" w:type="dxa"/>
            <w:vAlign w:val="center"/>
          </w:tcPr>
          <w:p>
            <w:pPr>
              <w:shd w:val="clear" w:color="auto" w:fill="auto"/>
              <w:snapToGrid w:val="0"/>
              <w:spacing w:before="0" w:beforeAutospacing="0" w:after="0" w:afterAutospacing="0" w:line="320" w:lineRule="exact"/>
              <w:ind w:left="0" w:right="0" w:firstLine="2850" w:firstLineChars="1500"/>
              <w:jc w:val="both"/>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106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4</w:t>
            </w:r>
          </w:p>
        </w:tc>
      </w:tr>
      <w:tr>
        <w:trPr>
          <w:trHeight w:val="442" w:hRule="atLeast"/>
          <w:jc w:val="center"/>
        </w:trPr>
        <w:tc>
          <w:tcPr>
            <w:tcW w:w="129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66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106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442" w:hRule="atLeast"/>
          <w:jc w:val="center"/>
        </w:trPr>
        <w:tc>
          <w:tcPr>
            <w:tcW w:w="129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6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106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442" w:hRule="atLeast"/>
          <w:jc w:val="center"/>
        </w:trPr>
        <w:tc>
          <w:tcPr>
            <w:tcW w:w="129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6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106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29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占地面积</w:t>
            </w:r>
          </w:p>
        </w:tc>
        <w:tc>
          <w:tcPr>
            <w:tcW w:w="6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占地面积100m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lang w:val="en-US" w:eastAsia="zh-CN"/>
              </w:rPr>
              <w:t>以下</w:t>
            </w:r>
            <w:r>
              <w:rPr>
                <w:rFonts w:hint="default" w:ascii="Times New Roman" w:hAnsi="Times New Roman" w:cs="Times New Roman"/>
                <w:color w:val="auto"/>
                <w:sz w:val="20"/>
                <w:szCs w:val="20"/>
                <w:shd w:val="clear" w:color="auto" w:fill="auto"/>
              </w:rPr>
              <w:t>的</w:t>
            </w:r>
          </w:p>
        </w:tc>
        <w:tc>
          <w:tcPr>
            <w:tcW w:w="106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9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占地面积100m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以上500m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lang w:val="en-US" w:eastAsia="zh-CN"/>
              </w:rPr>
              <w:t>以下</w:t>
            </w:r>
            <w:r>
              <w:rPr>
                <w:rFonts w:hint="default" w:ascii="Times New Roman" w:hAnsi="Times New Roman" w:cs="Times New Roman"/>
                <w:color w:val="auto"/>
                <w:sz w:val="20"/>
                <w:szCs w:val="20"/>
                <w:shd w:val="clear" w:color="auto" w:fill="auto"/>
              </w:rPr>
              <w:t>的</w:t>
            </w:r>
          </w:p>
        </w:tc>
        <w:tc>
          <w:tcPr>
            <w:tcW w:w="106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9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占地面积500m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以上的</w:t>
            </w:r>
          </w:p>
        </w:tc>
        <w:tc>
          <w:tcPr>
            <w:tcW w:w="106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90" w:hRule="atLeast"/>
          <w:jc w:val="center"/>
        </w:trPr>
        <w:tc>
          <w:tcPr>
            <w:tcW w:w="129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发生时期</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环境敏感度</w:t>
            </w:r>
          </w:p>
        </w:tc>
        <w:tc>
          <w:tcPr>
            <w:tcW w:w="66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rPr>
            </w:pPr>
            <w:r>
              <w:rPr>
                <w:rFonts w:hint="default" w:ascii="Times New Roman" w:hAnsi="Times New Roman" w:cs="Times New Roman"/>
                <w:color w:val="auto"/>
                <w:sz w:val="20"/>
                <w:szCs w:val="20"/>
                <w:shd w:val="clear" w:color="auto" w:fill="auto"/>
              </w:rPr>
              <w:t>一般期间</w:t>
            </w:r>
          </w:p>
        </w:tc>
        <w:tc>
          <w:tcPr>
            <w:tcW w:w="106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jc w:val="center"/>
        </w:trPr>
        <w:tc>
          <w:tcPr>
            <w:tcW w:w="129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66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rPr>
            </w:pPr>
            <w:r>
              <w:rPr>
                <w:rFonts w:hint="default" w:ascii="Times New Roman" w:hAnsi="Times New Roman" w:cs="Times New Roman"/>
                <w:color w:val="auto"/>
                <w:sz w:val="20"/>
                <w:szCs w:val="20"/>
                <w:shd w:val="clear" w:color="auto" w:fill="auto"/>
              </w:rPr>
              <w:t>重污染天气黄色预警期间</w:t>
            </w:r>
          </w:p>
        </w:tc>
        <w:tc>
          <w:tcPr>
            <w:tcW w:w="106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jc w:val="center"/>
        </w:trPr>
        <w:tc>
          <w:tcPr>
            <w:tcW w:w="129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66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rPr>
            </w:pPr>
            <w:r>
              <w:rPr>
                <w:rFonts w:hint="default" w:ascii="Times New Roman" w:hAnsi="Times New Roman" w:cs="Times New Roman"/>
                <w:color w:val="auto"/>
                <w:sz w:val="20"/>
                <w:szCs w:val="20"/>
                <w:shd w:val="clear" w:color="auto" w:fill="auto"/>
              </w:rPr>
              <w:t>重污染天气橙色预警期间</w:t>
            </w:r>
          </w:p>
        </w:tc>
        <w:tc>
          <w:tcPr>
            <w:tcW w:w="106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jc w:val="center"/>
        </w:trPr>
        <w:tc>
          <w:tcPr>
            <w:tcW w:w="129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66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rPr>
            </w:pPr>
            <w:r>
              <w:rPr>
                <w:rFonts w:hint="default" w:ascii="Times New Roman" w:hAnsi="Times New Roman" w:cs="Times New Roman"/>
                <w:color w:val="auto"/>
                <w:sz w:val="20"/>
                <w:szCs w:val="20"/>
                <w:shd w:val="clear" w:color="auto" w:fill="auto"/>
              </w:rPr>
              <w:t>重污染天气红色预警期间</w:t>
            </w:r>
          </w:p>
        </w:tc>
        <w:tc>
          <w:tcPr>
            <w:tcW w:w="106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jc w:val="center"/>
        </w:trPr>
        <w:tc>
          <w:tcPr>
            <w:tcW w:w="129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66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rPr>
            </w:pPr>
            <w:r>
              <w:rPr>
                <w:rFonts w:hint="default" w:ascii="Times New Roman" w:hAnsi="Times New Roman" w:cs="Times New Roman"/>
                <w:color w:val="auto"/>
                <w:sz w:val="20"/>
                <w:szCs w:val="20"/>
                <w:shd w:val="clear" w:color="auto" w:fill="auto"/>
              </w:rPr>
              <w:t>特殊或重大活动期间</w:t>
            </w:r>
          </w:p>
        </w:tc>
        <w:tc>
          <w:tcPr>
            <w:tcW w:w="106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29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669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kern w:val="2"/>
                <w:sz w:val="21"/>
                <w:szCs w:val="21"/>
                <w:shd w:val="clear" w:color="auto" w:fill="auto"/>
                <w:lang w:eastAsia="zh-CN"/>
              </w:rPr>
              <w:t>限期改正</w:t>
            </w:r>
          </w:p>
        </w:tc>
        <w:tc>
          <w:tcPr>
            <w:tcW w:w="106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29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66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106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29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66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106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29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color w:val="auto"/>
                <w:kern w:val="2"/>
                <w:sz w:val="21"/>
                <w:szCs w:val="21"/>
                <w:shd w:val="clear" w:color="auto" w:fill="auto"/>
                <w:lang w:val="en-US" w:eastAsia="zh-CN" w:bidi="ar-SA"/>
              </w:rPr>
            </w:pPr>
          </w:p>
        </w:tc>
        <w:tc>
          <w:tcPr>
            <w:tcW w:w="66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106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29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6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106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9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106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9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106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9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66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106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9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6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106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29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6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106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29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6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106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9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6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wordWrap/>
        <w:adjustRightInd/>
        <w:snapToGrid w:val="0"/>
        <w:spacing w:line="300" w:lineRule="exact"/>
        <w:jc w:val="left"/>
        <w:textAlignment w:val="auto"/>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8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5077"/>
        <w:gridCol w:w="2437"/>
      </w:tblGrid>
      <w:tr>
        <w:trPr>
          <w:trHeight w:val="340" w:hRule="atLeast"/>
          <w:jc w:val="center"/>
        </w:trPr>
        <w:tc>
          <w:tcPr>
            <w:tcW w:w="8893" w:type="dxa"/>
            <w:gridSpan w:val="3"/>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40" w:hRule="atLeast"/>
          <w:jc w:val="center"/>
        </w:trPr>
        <w:tc>
          <w:tcPr>
            <w:tcW w:w="137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514" w:type="dxa"/>
            <w:gridSpan w:val="2"/>
            <w:vAlign w:val="center"/>
          </w:tcPr>
          <w:p>
            <w:pPr>
              <w:shd w:val="clear" w:color="auto" w:fill="auto"/>
              <w:wordWrap/>
              <w:adjustRightInd/>
              <w:snapToGrid w:val="0"/>
              <w:spacing w:before="0" w:beforeAutospacing="0" w:after="0" w:afterAutospacing="0" w:line="32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88" w:name="_Toc12909"/>
            <w:r>
              <w:rPr>
                <w:rFonts w:hint="default" w:ascii="Times New Roman" w:hAnsi="Times New Roman" w:cs="Times New Roman"/>
                <w:color w:val="auto"/>
                <w:sz w:val="20"/>
                <w:szCs w:val="20"/>
                <w:shd w:val="clear" w:color="auto" w:fill="auto"/>
              </w:rPr>
              <w:t>28</w:t>
            </w:r>
            <w:bookmarkEnd w:id="88"/>
          </w:p>
        </w:tc>
      </w:tr>
      <w:tr>
        <w:trPr>
          <w:trHeight w:val="340" w:hRule="atLeast"/>
          <w:jc w:val="center"/>
        </w:trPr>
        <w:tc>
          <w:tcPr>
            <w:tcW w:w="137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514" w:type="dxa"/>
            <w:gridSpan w:val="2"/>
            <w:vAlign w:val="center"/>
          </w:tcPr>
          <w:p>
            <w:pPr>
              <w:pStyle w:val="18"/>
              <w:shd w:val="clear" w:color="auto" w:fill="auto"/>
              <w:wordWrap/>
              <w:adjustRightInd/>
              <w:snapToGrid w:val="0"/>
              <w:spacing w:before="0" w:beforeAutospacing="0" w:after="0" w:afterAutospacing="0" w:line="320" w:lineRule="exact"/>
              <w:ind w:left="0" w:right="0"/>
              <w:jc w:val="center"/>
              <w:textAlignment w:val="auto"/>
              <w:outlineLvl w:val="9"/>
              <w:rPr>
                <w:rFonts w:hint="default" w:ascii="Times New Roman" w:hAnsi="Times New Roman" w:cs="Times New Roman"/>
                <w:color w:val="auto"/>
                <w:kern w:val="2"/>
                <w:sz w:val="21"/>
                <w:szCs w:val="21"/>
                <w:shd w:val="clear" w:color="auto" w:fill="auto"/>
              </w:rPr>
            </w:pPr>
            <w:bookmarkStart w:id="89" w:name="_Toc3148"/>
            <w:r>
              <w:rPr>
                <w:rFonts w:hint="default" w:ascii="Times New Roman" w:hAnsi="Times New Roman" w:cs="Times New Roman"/>
                <w:color w:val="auto"/>
                <w:sz w:val="21"/>
                <w:szCs w:val="21"/>
                <w:shd w:val="clear" w:color="auto" w:fill="auto"/>
              </w:rPr>
              <w:t>装卸物料未采取密闭或者喷淋等方式控制扬尘排放的</w:t>
            </w:r>
            <w:bookmarkEnd w:id="89"/>
          </w:p>
        </w:tc>
      </w:tr>
      <w:tr>
        <w:trPr>
          <w:trHeight w:val="340" w:hRule="atLeast"/>
          <w:jc w:val="center"/>
        </w:trPr>
        <w:tc>
          <w:tcPr>
            <w:tcW w:w="137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514" w:type="dxa"/>
            <w:gridSpan w:val="2"/>
            <w:vAlign w:val="top"/>
          </w:tcPr>
          <w:p>
            <w:pPr>
              <w:pStyle w:val="18"/>
              <w:shd w:val="clear" w:color="auto" w:fill="auto"/>
              <w:wordWrap/>
              <w:adjustRightInd/>
              <w:snapToGrid w:val="0"/>
              <w:spacing w:before="0" w:beforeAutospacing="0" w:after="0" w:afterAutospacing="0" w:line="320" w:lineRule="exact"/>
              <w:ind w:left="0" w:right="0" w:firstLine="357"/>
              <w:jc w:val="both"/>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《中华人民共和国大气污染防治法》第七十条第二款</w:t>
            </w:r>
            <w:r>
              <w:rPr>
                <w:rFonts w:hint="default" w:ascii="Times New Roman" w:hAnsi="Times New Roman" w:cs="Times New Roman"/>
                <w:color w:val="auto"/>
                <w:sz w:val="21"/>
                <w:szCs w:val="21"/>
                <w:shd w:val="clear" w:color="auto" w:fill="auto"/>
              </w:rPr>
              <w:t xml:space="preserve"> 装卸物料应当采取密闭或者喷淋等方式防治扬尘污染。</w:t>
            </w:r>
          </w:p>
        </w:tc>
      </w:tr>
      <w:tr>
        <w:trPr>
          <w:trHeight w:val="340" w:hRule="atLeast"/>
          <w:jc w:val="center"/>
        </w:trPr>
        <w:tc>
          <w:tcPr>
            <w:tcW w:w="137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514" w:type="dxa"/>
            <w:gridSpan w:val="2"/>
            <w:vAlign w:val="top"/>
          </w:tcPr>
          <w:p>
            <w:pPr>
              <w:pStyle w:val="18"/>
              <w:shd w:val="clear" w:color="auto" w:fill="auto"/>
              <w:wordWrap/>
              <w:adjustRightInd/>
              <w:snapToGrid w:val="0"/>
              <w:spacing w:before="0" w:beforeAutospacing="0" w:after="0" w:afterAutospacing="0" w:line="320" w:lineRule="exact"/>
              <w:ind w:left="0" w:right="0" w:firstLine="357"/>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《中华人民共和国大气污染防治法》第一百一十七条第（三）项</w:t>
            </w:r>
            <w:r>
              <w:rPr>
                <w:rFonts w:hint="default" w:ascii="Times New Roman" w:hAnsi="Times New Roman" w:cs="Times New Roman"/>
                <w:color w:val="auto"/>
                <w:kern w:val="2"/>
                <w:sz w:val="21"/>
                <w:szCs w:val="21"/>
                <w:shd w:val="clear" w:color="auto" w:fill="auto"/>
              </w:rPr>
              <w:t xml:space="preserve"> 违反本法规定，有下列行为之一的，由县级以上人民政府生态环境等主管部门按照职责责令改正，处一万元以上十万元以下的罚款；拒不改正的，责令停工整治或者停业整治：</w:t>
            </w:r>
          </w:p>
          <w:p>
            <w:pPr>
              <w:pStyle w:val="18"/>
              <w:shd w:val="clear" w:color="auto" w:fill="auto"/>
              <w:wordWrap/>
              <w:adjustRightInd/>
              <w:snapToGrid w:val="0"/>
              <w:spacing w:before="0" w:beforeAutospacing="0" w:after="0" w:afterAutospacing="0" w:line="320" w:lineRule="exact"/>
              <w:ind w:left="0" w:right="0" w:firstLine="360"/>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（三）</w:t>
            </w:r>
            <w:r>
              <w:rPr>
                <w:rFonts w:hint="default" w:ascii="Times New Roman" w:hAnsi="Times New Roman" w:cs="Times New Roman"/>
                <w:color w:val="auto"/>
                <w:sz w:val="21"/>
                <w:szCs w:val="21"/>
                <w:shd w:val="clear" w:color="auto" w:fill="auto"/>
              </w:rPr>
              <w:t>装卸物料未采取密闭或者喷淋等方式控制扬尘排放的。</w:t>
            </w:r>
          </w:p>
        </w:tc>
      </w:tr>
      <w:tr>
        <w:trPr>
          <w:trHeight w:val="340" w:hRule="atLeast"/>
          <w:jc w:val="center"/>
        </w:trPr>
        <w:tc>
          <w:tcPr>
            <w:tcW w:w="137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7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43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40" w:hRule="atLeast"/>
          <w:jc w:val="center"/>
        </w:trPr>
        <w:tc>
          <w:tcPr>
            <w:tcW w:w="1379"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7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1"/>
                <w:shd w:val="clear" w:color="auto" w:fill="auto"/>
                <w:lang w:eastAsia="zh-CN"/>
              </w:rPr>
              <w:t>已采取密闭措施但密闭不严导致扬尘排放的</w:t>
            </w:r>
            <w:r>
              <w:rPr>
                <w:rFonts w:hint="default" w:ascii="Times New Roman" w:hAnsi="Times New Roman" w:cs="Times New Roman"/>
                <w:color w:val="auto"/>
                <w:sz w:val="20"/>
                <w:szCs w:val="21"/>
                <w:shd w:val="clear" w:color="auto" w:fill="auto"/>
                <w:lang w:val="en-US" w:eastAsia="zh-CN"/>
              </w:rPr>
              <w:t>/已采取喷淋措施，但喷淋不及时导致扬尘排放的</w:t>
            </w:r>
          </w:p>
        </w:tc>
        <w:tc>
          <w:tcPr>
            <w:tcW w:w="243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lang w:val="en-US" w:eastAsia="zh-CN"/>
              </w:rPr>
              <w:t>1</w:t>
            </w:r>
          </w:p>
        </w:tc>
      </w:tr>
      <w:tr>
        <w:trPr>
          <w:trHeight w:val="340" w:hRule="atLeast"/>
          <w:jc w:val="center"/>
        </w:trPr>
        <w:tc>
          <w:tcPr>
            <w:tcW w:w="1379"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7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1"/>
                <w:shd w:val="clear" w:color="auto" w:fill="auto"/>
                <w:lang w:eastAsia="zh-CN"/>
              </w:rPr>
              <w:t>采取部分密闭或喷淋设施导致扬尘排放的</w:t>
            </w:r>
          </w:p>
        </w:tc>
        <w:tc>
          <w:tcPr>
            <w:tcW w:w="243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lang w:val="en-US" w:eastAsia="zh-CN"/>
              </w:rPr>
              <w:t>3</w:t>
            </w:r>
          </w:p>
        </w:tc>
      </w:tr>
      <w:tr>
        <w:trPr>
          <w:trHeight w:val="340" w:hRule="atLeast"/>
          <w:jc w:val="center"/>
        </w:trPr>
        <w:tc>
          <w:tcPr>
            <w:tcW w:w="1379"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7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1"/>
                <w:shd w:val="clear" w:color="auto" w:fill="auto"/>
                <w:lang w:eastAsia="zh-CN"/>
              </w:rPr>
              <w:t>未采取措施的</w:t>
            </w:r>
          </w:p>
        </w:tc>
        <w:tc>
          <w:tcPr>
            <w:tcW w:w="243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lang w:val="en-US" w:eastAsia="zh-CN"/>
              </w:rPr>
              <w:t>5</w:t>
            </w:r>
          </w:p>
        </w:tc>
      </w:tr>
      <w:tr>
        <w:trPr>
          <w:trHeight w:val="340" w:hRule="atLeast"/>
          <w:jc w:val="center"/>
        </w:trPr>
        <w:tc>
          <w:tcPr>
            <w:tcW w:w="1379"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易产生扬尘的物料量</w:t>
            </w:r>
          </w:p>
        </w:tc>
        <w:tc>
          <w:tcPr>
            <w:tcW w:w="507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装卸物料100吨以下的</w:t>
            </w:r>
          </w:p>
        </w:tc>
        <w:tc>
          <w:tcPr>
            <w:tcW w:w="243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79"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77" w:type="dxa"/>
            <w:vAlign w:val="top"/>
          </w:tcPr>
          <w:p>
            <w:pPr>
              <w:shd w:val="clear" w:color="auto" w:fill="auto"/>
              <w:wordWrap/>
              <w:adjustRightInd/>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装卸物料</w:t>
            </w:r>
          </w:p>
          <w:p>
            <w:pPr>
              <w:shd w:val="clear" w:color="auto" w:fill="auto"/>
              <w:wordWrap/>
              <w:adjustRightInd/>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100吨以上500吨以下的</w:t>
            </w:r>
          </w:p>
        </w:tc>
        <w:tc>
          <w:tcPr>
            <w:tcW w:w="243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40" w:hRule="atLeast"/>
          <w:jc w:val="center"/>
        </w:trPr>
        <w:tc>
          <w:tcPr>
            <w:tcW w:w="1379"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77" w:type="dxa"/>
            <w:vAlign w:val="top"/>
          </w:tcPr>
          <w:p>
            <w:pPr>
              <w:shd w:val="clear" w:color="auto" w:fill="auto"/>
              <w:wordWrap/>
              <w:adjustRightInd/>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装卸物料</w:t>
            </w:r>
          </w:p>
          <w:p>
            <w:pPr>
              <w:shd w:val="clear" w:color="auto" w:fill="auto"/>
              <w:wordWrap/>
              <w:adjustRightInd/>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500吨以上1000吨以下的</w:t>
            </w:r>
          </w:p>
        </w:tc>
        <w:tc>
          <w:tcPr>
            <w:tcW w:w="243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379"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77" w:type="dxa"/>
            <w:vAlign w:val="top"/>
          </w:tcPr>
          <w:p>
            <w:pPr>
              <w:shd w:val="clear" w:color="auto" w:fill="auto"/>
              <w:wordWrap/>
              <w:adjustRightInd/>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装卸物料</w:t>
            </w:r>
          </w:p>
          <w:p>
            <w:pPr>
              <w:shd w:val="clear" w:color="auto" w:fill="auto"/>
              <w:wordWrap/>
              <w:adjustRightInd/>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1000吨以上2000吨以下的</w:t>
            </w:r>
          </w:p>
        </w:tc>
        <w:tc>
          <w:tcPr>
            <w:tcW w:w="243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40" w:hRule="atLeast"/>
          <w:jc w:val="center"/>
        </w:trPr>
        <w:tc>
          <w:tcPr>
            <w:tcW w:w="1379"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77" w:type="dxa"/>
            <w:vAlign w:val="top"/>
          </w:tcPr>
          <w:p>
            <w:pPr>
              <w:shd w:val="clear" w:color="auto" w:fill="auto"/>
              <w:wordWrap/>
              <w:adjustRightInd/>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装卸物料2000吨以上的</w:t>
            </w:r>
          </w:p>
        </w:tc>
        <w:tc>
          <w:tcPr>
            <w:tcW w:w="243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79"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地点</w:t>
            </w:r>
          </w:p>
        </w:tc>
        <w:tc>
          <w:tcPr>
            <w:tcW w:w="5077" w:type="dxa"/>
            <w:vAlign w:val="center"/>
          </w:tcPr>
          <w:p>
            <w:pPr>
              <w:widowControl w:val="0"/>
              <w:shd w:val="clear" w:color="auto" w:fill="auto"/>
              <w:tabs>
                <w:tab w:val="center" w:pos="4153"/>
                <w:tab w:val="right" w:pos="8306"/>
              </w:tabs>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符合环境功能区划</w:t>
            </w:r>
          </w:p>
        </w:tc>
        <w:tc>
          <w:tcPr>
            <w:tcW w:w="2437"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40" w:hRule="atLeast"/>
          <w:jc w:val="center"/>
        </w:trPr>
        <w:tc>
          <w:tcPr>
            <w:tcW w:w="1379"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77" w:type="dxa"/>
            <w:vAlign w:val="center"/>
          </w:tcPr>
          <w:p>
            <w:pPr>
              <w:widowControl w:val="0"/>
              <w:shd w:val="clear" w:color="auto" w:fill="auto"/>
              <w:tabs>
                <w:tab w:val="center" w:pos="4153"/>
                <w:tab w:val="right" w:pos="8306"/>
              </w:tabs>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不符合环境功能区划，但位于居住区、商业交通居民混合区、文化区、工业区和农村地区</w:t>
            </w:r>
          </w:p>
        </w:tc>
        <w:tc>
          <w:tcPr>
            <w:tcW w:w="2437" w:type="dxa"/>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40" w:hRule="atLeast"/>
          <w:jc w:val="center"/>
        </w:trPr>
        <w:tc>
          <w:tcPr>
            <w:tcW w:w="1379"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77" w:type="dxa"/>
            <w:vAlign w:val="center"/>
          </w:tcPr>
          <w:p>
            <w:pPr>
              <w:widowControl w:val="0"/>
              <w:shd w:val="clear" w:color="auto" w:fill="auto"/>
              <w:tabs>
                <w:tab w:val="center" w:pos="4153"/>
                <w:tab w:val="right" w:pos="8306"/>
              </w:tabs>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不符合环境功能区划，但位于自然保护区、风景名胜区和其他需要特殊保护的区域</w:t>
            </w:r>
          </w:p>
        </w:tc>
        <w:tc>
          <w:tcPr>
            <w:tcW w:w="2437" w:type="dxa"/>
            <w:vAlign w:val="center"/>
          </w:tcPr>
          <w:p>
            <w:pPr>
              <w:widowControl w:val="0"/>
              <w:shd w:val="clear" w:color="auto" w:fill="auto"/>
              <w:tabs>
                <w:tab w:val="center" w:pos="4153"/>
                <w:tab w:val="right" w:pos="8306"/>
              </w:tabs>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40" w:hRule="atLeast"/>
          <w:jc w:val="center"/>
        </w:trPr>
        <w:tc>
          <w:tcPr>
            <w:tcW w:w="1379"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b/>
                <w:bCs/>
                <w:color w:val="auto"/>
                <w:sz w:val="20"/>
                <w:szCs w:val="20"/>
                <w:shd w:val="clear" w:color="auto" w:fill="auto"/>
              </w:rPr>
              <w:t>企业规模</w:t>
            </w:r>
          </w:p>
        </w:tc>
        <w:tc>
          <w:tcPr>
            <w:tcW w:w="507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43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79"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7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43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40" w:hRule="atLeast"/>
          <w:jc w:val="center"/>
        </w:trPr>
        <w:tc>
          <w:tcPr>
            <w:tcW w:w="1379"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7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43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40" w:hRule="atLeast"/>
          <w:jc w:val="center"/>
        </w:trPr>
        <w:tc>
          <w:tcPr>
            <w:tcW w:w="1379"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77" w:type="dxa"/>
            <w:vAlign w:val="center"/>
          </w:tcPr>
          <w:p>
            <w:pPr>
              <w:shd w:val="clear" w:color="auto" w:fill="auto"/>
              <w:wordWrap/>
              <w:adjustRightInd/>
              <w:snapToGrid w:val="0"/>
              <w:spacing w:before="0" w:beforeAutospacing="0" w:after="0" w:afterAutospacing="0" w:line="320" w:lineRule="exact"/>
              <w:ind w:left="0" w:right="0" w:firstLine="2090" w:firstLineChars="1100"/>
              <w:jc w:val="both"/>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243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4</w:t>
            </w:r>
          </w:p>
        </w:tc>
      </w:tr>
      <w:tr>
        <w:trPr>
          <w:trHeight w:val="340" w:hRule="atLeast"/>
          <w:jc w:val="center"/>
        </w:trPr>
        <w:tc>
          <w:tcPr>
            <w:tcW w:w="1379"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7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43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40" w:hRule="atLeast"/>
          <w:jc w:val="center"/>
        </w:trPr>
        <w:tc>
          <w:tcPr>
            <w:tcW w:w="1379"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7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43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40" w:hRule="atLeast"/>
          <w:jc w:val="center"/>
        </w:trPr>
        <w:tc>
          <w:tcPr>
            <w:tcW w:w="1379"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7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43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40" w:hRule="atLeast"/>
          <w:jc w:val="center"/>
        </w:trPr>
        <w:tc>
          <w:tcPr>
            <w:tcW w:w="1379"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lang w:val="en-US" w:eastAsia="zh-CN"/>
              </w:rPr>
            </w:pPr>
            <w:r>
              <w:rPr>
                <w:rFonts w:hint="default" w:ascii="Times New Roman" w:hAnsi="Times New Roman" w:cs="Times New Roman"/>
                <w:b/>
                <w:bCs/>
                <w:color w:val="auto"/>
                <w:sz w:val="20"/>
                <w:szCs w:val="20"/>
                <w:shd w:val="clear" w:color="auto" w:fill="auto"/>
                <w:lang w:val="en-US"/>
              </w:rPr>
              <w:t>改正时间</w:t>
            </w:r>
          </w:p>
        </w:tc>
        <w:tc>
          <w:tcPr>
            <w:tcW w:w="5077"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kern w:val="2"/>
                <w:sz w:val="21"/>
                <w:szCs w:val="21"/>
                <w:shd w:val="clear" w:color="auto" w:fill="auto"/>
                <w:lang w:eastAsia="zh-CN"/>
              </w:rPr>
              <w:t>限期改正</w:t>
            </w:r>
          </w:p>
        </w:tc>
        <w:tc>
          <w:tcPr>
            <w:tcW w:w="243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40" w:hRule="atLeast"/>
          <w:jc w:val="center"/>
        </w:trPr>
        <w:tc>
          <w:tcPr>
            <w:tcW w:w="1379"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07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43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40" w:hRule="atLeast"/>
          <w:jc w:val="center"/>
        </w:trPr>
        <w:tc>
          <w:tcPr>
            <w:tcW w:w="1379"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7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243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40" w:hRule="atLeast"/>
          <w:jc w:val="center"/>
        </w:trPr>
        <w:tc>
          <w:tcPr>
            <w:tcW w:w="1379"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7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243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7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color w:val="auto"/>
                <w:sz w:val="21"/>
                <w:szCs w:val="20"/>
                <w:shd w:val="clear" w:color="auto" w:fill="auto"/>
              </w:rPr>
            </w:pPr>
            <w:r>
              <w:rPr>
                <w:rFonts w:hint="default" w:ascii="Times New Roman" w:hAnsi="Times New Roman" w:cs="Times New Roman"/>
                <w:b/>
                <w:color w:val="auto"/>
                <w:sz w:val="21"/>
                <w:szCs w:val="20"/>
                <w:shd w:val="clear" w:color="auto" w:fill="auto"/>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color w:val="auto"/>
                <w:sz w:val="21"/>
                <w:szCs w:val="20"/>
                <w:shd w:val="clear" w:color="auto" w:fill="auto"/>
              </w:rPr>
            </w:pPr>
            <w:r>
              <w:rPr>
                <w:rFonts w:hint="default" w:ascii="Times New Roman" w:hAnsi="Times New Roman" w:cs="Times New Roman"/>
                <w:b/>
                <w:color w:val="auto"/>
                <w:sz w:val="21"/>
                <w:szCs w:val="20"/>
                <w:shd w:val="clear" w:color="auto" w:fill="auto"/>
              </w:rPr>
              <w:t>发生时期</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color w:val="auto"/>
                <w:sz w:val="21"/>
                <w:szCs w:val="20"/>
                <w:shd w:val="clear" w:color="auto" w:fill="auto"/>
              </w:rPr>
              <w:t>环境敏感度</w:t>
            </w:r>
          </w:p>
        </w:tc>
        <w:tc>
          <w:tcPr>
            <w:tcW w:w="507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一般期间</w:t>
            </w:r>
          </w:p>
        </w:tc>
        <w:tc>
          <w:tcPr>
            <w:tcW w:w="24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0"/>
                <w:shd w:val="clear" w:color="auto" w:fill="auto"/>
              </w:rPr>
              <w:t>1</w:t>
            </w:r>
          </w:p>
        </w:tc>
      </w:tr>
      <w:tr>
        <w:trPr>
          <w:trHeight w:val="397" w:hRule="atLeast"/>
          <w:jc w:val="center"/>
        </w:trPr>
        <w:tc>
          <w:tcPr>
            <w:tcW w:w="137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7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重污染天气黄色预警期间</w:t>
            </w:r>
          </w:p>
        </w:tc>
        <w:tc>
          <w:tcPr>
            <w:tcW w:w="24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0"/>
                <w:shd w:val="clear" w:color="auto" w:fill="auto"/>
              </w:rPr>
              <w:t>2</w:t>
            </w:r>
          </w:p>
        </w:tc>
      </w:tr>
      <w:tr>
        <w:trPr>
          <w:trHeight w:val="397" w:hRule="atLeast"/>
          <w:jc w:val="center"/>
        </w:trPr>
        <w:tc>
          <w:tcPr>
            <w:tcW w:w="137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7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重污染天气橙色预警期间</w:t>
            </w:r>
          </w:p>
        </w:tc>
        <w:tc>
          <w:tcPr>
            <w:tcW w:w="24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0"/>
                <w:shd w:val="clear" w:color="auto" w:fill="auto"/>
              </w:rPr>
              <w:t>3</w:t>
            </w:r>
          </w:p>
        </w:tc>
      </w:tr>
      <w:tr>
        <w:trPr>
          <w:trHeight w:val="397" w:hRule="atLeast"/>
          <w:jc w:val="center"/>
        </w:trPr>
        <w:tc>
          <w:tcPr>
            <w:tcW w:w="137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7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重污染天气红色预警期间</w:t>
            </w:r>
          </w:p>
        </w:tc>
        <w:tc>
          <w:tcPr>
            <w:tcW w:w="24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0"/>
                <w:shd w:val="clear" w:color="auto" w:fill="auto"/>
              </w:rPr>
              <w:t>4</w:t>
            </w:r>
          </w:p>
        </w:tc>
      </w:tr>
      <w:tr>
        <w:trPr>
          <w:trHeight w:val="397" w:hRule="atLeast"/>
          <w:jc w:val="center"/>
        </w:trPr>
        <w:tc>
          <w:tcPr>
            <w:tcW w:w="137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7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特殊或重大活动期间</w:t>
            </w:r>
          </w:p>
        </w:tc>
        <w:tc>
          <w:tcPr>
            <w:tcW w:w="24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0"/>
                <w:shd w:val="clear" w:color="auto" w:fill="auto"/>
              </w:rPr>
              <w:t>5</w:t>
            </w:r>
          </w:p>
        </w:tc>
      </w:tr>
      <w:tr>
        <w:trPr>
          <w:trHeight w:val="397" w:hRule="atLeast"/>
          <w:jc w:val="center"/>
        </w:trPr>
        <w:tc>
          <w:tcPr>
            <w:tcW w:w="137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07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4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7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7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24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7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7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24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7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7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4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7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7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4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7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7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4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7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7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4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514"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5477"/>
        <w:gridCol w:w="2204"/>
      </w:tblGrid>
      <w:tr>
        <w:trPr>
          <w:trHeight w:val="397" w:hRule="atLeast"/>
          <w:jc w:val="center"/>
        </w:trPr>
        <w:tc>
          <w:tcPr>
            <w:tcW w:w="9060" w:type="dxa"/>
            <w:gridSpan w:val="3"/>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97" w:hRule="atLeast"/>
          <w:jc w:val="center"/>
        </w:trPr>
        <w:tc>
          <w:tcPr>
            <w:tcW w:w="1379"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81" w:type="dxa"/>
            <w:gridSpan w:val="2"/>
            <w:vAlign w:val="center"/>
          </w:tcPr>
          <w:p>
            <w:pPr>
              <w:shd w:val="clear" w:color="auto" w:fill="auto"/>
              <w:wordWrap/>
              <w:adjustRightInd/>
              <w:snapToGrid w:val="0"/>
              <w:spacing w:before="0" w:beforeAutospacing="0" w:after="0" w:afterAutospacing="0" w:line="29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90" w:name="_Toc4920"/>
            <w:r>
              <w:rPr>
                <w:rFonts w:hint="default" w:ascii="Times New Roman" w:hAnsi="Times New Roman" w:cs="Times New Roman"/>
                <w:color w:val="auto"/>
                <w:sz w:val="20"/>
                <w:szCs w:val="20"/>
                <w:shd w:val="clear" w:color="auto" w:fill="auto"/>
                <w:lang w:eastAsia="zh-CN"/>
              </w:rPr>
              <w:t>29</w:t>
            </w:r>
            <w:bookmarkEnd w:id="90"/>
          </w:p>
        </w:tc>
      </w:tr>
      <w:tr>
        <w:trPr>
          <w:trHeight w:val="397" w:hRule="atLeast"/>
          <w:jc w:val="center"/>
        </w:trPr>
        <w:tc>
          <w:tcPr>
            <w:tcW w:w="1379"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81" w:type="dxa"/>
            <w:gridSpan w:val="2"/>
            <w:vAlign w:val="center"/>
          </w:tcPr>
          <w:p>
            <w:pPr>
              <w:pStyle w:val="18"/>
              <w:shd w:val="clear" w:color="auto" w:fill="auto"/>
              <w:wordWrap/>
              <w:adjustRightInd/>
              <w:snapToGrid w:val="0"/>
              <w:spacing w:before="0" w:beforeAutospacing="0" w:after="0" w:afterAutospacing="0" w:line="290" w:lineRule="exact"/>
              <w:ind w:left="0" w:right="0"/>
              <w:jc w:val="center"/>
              <w:textAlignment w:val="auto"/>
              <w:outlineLvl w:val="9"/>
              <w:rPr>
                <w:rFonts w:hint="default" w:ascii="Times New Roman" w:hAnsi="Times New Roman" w:cs="Times New Roman"/>
                <w:color w:val="auto"/>
                <w:kern w:val="2"/>
                <w:sz w:val="21"/>
                <w:szCs w:val="21"/>
                <w:shd w:val="clear" w:color="auto" w:fill="auto"/>
              </w:rPr>
            </w:pPr>
            <w:bookmarkStart w:id="91" w:name="_Toc23494"/>
            <w:r>
              <w:rPr>
                <w:rFonts w:hint="default" w:ascii="Times New Roman" w:hAnsi="Times New Roman" w:cs="Times New Roman"/>
                <w:color w:val="auto"/>
                <w:sz w:val="21"/>
                <w:szCs w:val="21"/>
                <w:shd w:val="clear" w:color="auto" w:fill="auto"/>
              </w:rPr>
              <w:t>存放煤炭、煤矸石、煤渣、煤灰等物料，未采取防燃措施的</w:t>
            </w:r>
            <w:bookmarkEnd w:id="91"/>
          </w:p>
        </w:tc>
      </w:tr>
      <w:tr>
        <w:trPr>
          <w:trHeight w:val="397" w:hRule="atLeast"/>
          <w:jc w:val="center"/>
        </w:trPr>
        <w:tc>
          <w:tcPr>
            <w:tcW w:w="1379"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81" w:type="dxa"/>
            <w:gridSpan w:val="2"/>
            <w:vAlign w:val="top"/>
          </w:tcPr>
          <w:p>
            <w:pPr>
              <w:pStyle w:val="18"/>
              <w:shd w:val="clear" w:color="auto" w:fill="auto"/>
              <w:wordWrap/>
              <w:adjustRightInd/>
              <w:snapToGrid w:val="0"/>
              <w:spacing w:before="0" w:beforeAutospacing="0" w:after="0" w:afterAutospacing="0" w:line="290" w:lineRule="exact"/>
              <w:ind w:left="0" w:right="0" w:firstLine="357"/>
              <w:jc w:val="both"/>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《中华人民共和国大气污染防治法》第三十五条第二款</w:t>
            </w:r>
            <w:r>
              <w:rPr>
                <w:rFonts w:hint="default" w:ascii="Times New Roman" w:hAnsi="Times New Roman" w:cs="Times New Roman"/>
                <w:color w:val="auto"/>
                <w:sz w:val="21"/>
                <w:szCs w:val="21"/>
                <w:shd w:val="clear" w:color="auto" w:fill="auto"/>
              </w:rPr>
              <w:t xml:space="preserve"> 单位存放煤炭、煤矸石、煤渣、煤灰等物料，应当采取防燃措施，防止大气污染。</w:t>
            </w:r>
          </w:p>
        </w:tc>
      </w:tr>
      <w:tr>
        <w:trPr>
          <w:trHeight w:val="397" w:hRule="atLeast"/>
          <w:jc w:val="center"/>
        </w:trPr>
        <w:tc>
          <w:tcPr>
            <w:tcW w:w="1379"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81" w:type="dxa"/>
            <w:gridSpan w:val="2"/>
            <w:vAlign w:val="top"/>
          </w:tcPr>
          <w:p>
            <w:pPr>
              <w:pStyle w:val="18"/>
              <w:shd w:val="clear" w:color="auto" w:fill="auto"/>
              <w:wordWrap/>
              <w:adjustRightInd/>
              <w:snapToGrid w:val="0"/>
              <w:spacing w:before="0" w:beforeAutospacing="0" w:after="0" w:afterAutospacing="0" w:line="290" w:lineRule="exact"/>
              <w:ind w:left="0" w:right="0" w:firstLine="357"/>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《中华人民共和国大气污染防治法》第一百一十七条第（四）项</w:t>
            </w:r>
            <w:r>
              <w:rPr>
                <w:rFonts w:hint="default" w:ascii="Times New Roman" w:hAnsi="Times New Roman" w:cs="Times New Roman"/>
                <w:color w:val="auto"/>
                <w:kern w:val="2"/>
                <w:sz w:val="21"/>
                <w:szCs w:val="21"/>
                <w:shd w:val="clear" w:color="auto" w:fill="auto"/>
              </w:rPr>
              <w:t xml:space="preserve"> 违反本法规定，有下列行为之一的，由县级以上人民政府生态环境等主管部门按照职责责令改正，处一万元以上十万元以下的罚款；拒不改正的，责令停工整治或者停业整治：</w:t>
            </w:r>
          </w:p>
          <w:p>
            <w:pPr>
              <w:pStyle w:val="18"/>
              <w:shd w:val="clear" w:color="auto" w:fill="auto"/>
              <w:wordWrap/>
              <w:adjustRightInd/>
              <w:snapToGrid w:val="0"/>
              <w:spacing w:before="0" w:beforeAutospacing="0" w:after="0" w:afterAutospacing="0" w:line="290" w:lineRule="exact"/>
              <w:ind w:left="0" w:right="0" w:firstLine="360"/>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（四）</w:t>
            </w:r>
            <w:r>
              <w:rPr>
                <w:rFonts w:hint="default" w:ascii="Times New Roman" w:hAnsi="Times New Roman" w:cs="Times New Roman"/>
                <w:color w:val="auto"/>
                <w:sz w:val="21"/>
                <w:szCs w:val="21"/>
                <w:shd w:val="clear" w:color="auto" w:fill="auto"/>
              </w:rPr>
              <w:t>存放煤炭、煤矸石、煤渣、煤灰等物料，未采取防燃措施的。</w:t>
            </w:r>
          </w:p>
        </w:tc>
      </w:tr>
      <w:tr>
        <w:trPr>
          <w:trHeight w:val="425" w:hRule="atLeast"/>
          <w:jc w:val="center"/>
        </w:trPr>
        <w:tc>
          <w:tcPr>
            <w:tcW w:w="1379"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477"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20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jc w:val="center"/>
        </w:trPr>
        <w:tc>
          <w:tcPr>
            <w:tcW w:w="1379"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477" w:type="dxa"/>
            <w:vAlign w:val="bottom"/>
          </w:tcPr>
          <w:p>
            <w:pPr>
              <w:shd w:val="clear" w:color="auto" w:fill="auto"/>
              <w:wordWrap/>
              <w:adjustRightInd/>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1"/>
                <w:shd w:val="clear" w:color="auto" w:fill="auto"/>
              </w:rPr>
              <w:t>部分物料采取防燃措施的</w:t>
            </w:r>
          </w:p>
        </w:tc>
        <w:tc>
          <w:tcPr>
            <w:tcW w:w="2204" w:type="dxa"/>
            <w:vAlign w:val="center"/>
          </w:tcPr>
          <w:p>
            <w:pPr>
              <w:shd w:val="clear" w:color="auto" w:fill="auto"/>
              <w:wordWrap/>
              <w:adjustRightInd/>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1"/>
                <w:shd w:val="clear" w:color="auto" w:fill="auto"/>
              </w:rPr>
              <w:t>1</w:t>
            </w:r>
          </w:p>
        </w:tc>
      </w:tr>
      <w:tr>
        <w:trPr>
          <w:trHeight w:val="425" w:hRule="atLeast"/>
          <w:jc w:val="center"/>
        </w:trPr>
        <w:tc>
          <w:tcPr>
            <w:tcW w:w="1379"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77" w:type="dxa"/>
            <w:vAlign w:val="bottom"/>
          </w:tcPr>
          <w:p>
            <w:pPr>
              <w:shd w:val="clear" w:color="auto" w:fill="auto"/>
              <w:wordWrap/>
              <w:adjustRightInd/>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1"/>
                <w:shd w:val="clear" w:color="auto" w:fill="auto"/>
              </w:rPr>
              <w:t>未采取防燃措施的</w:t>
            </w:r>
          </w:p>
        </w:tc>
        <w:tc>
          <w:tcPr>
            <w:tcW w:w="2204" w:type="dxa"/>
            <w:vAlign w:val="bottom"/>
          </w:tcPr>
          <w:p>
            <w:pPr>
              <w:shd w:val="clear" w:color="auto" w:fill="auto"/>
              <w:wordWrap/>
              <w:adjustRightInd/>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1"/>
                <w:shd w:val="clear" w:color="auto" w:fill="auto"/>
                <w:lang w:eastAsia="zh-CN"/>
              </w:rPr>
              <w:t>3</w:t>
            </w:r>
          </w:p>
        </w:tc>
      </w:tr>
      <w:tr>
        <w:trPr>
          <w:trHeight w:val="425" w:hRule="atLeast"/>
          <w:jc w:val="center"/>
        </w:trPr>
        <w:tc>
          <w:tcPr>
            <w:tcW w:w="1379"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477"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20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79"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77"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20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25" w:hRule="atLeast"/>
          <w:jc w:val="center"/>
        </w:trPr>
        <w:tc>
          <w:tcPr>
            <w:tcW w:w="1379"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77"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20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25" w:hRule="atLeast"/>
          <w:jc w:val="center"/>
        </w:trPr>
        <w:tc>
          <w:tcPr>
            <w:tcW w:w="1379"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77" w:type="dxa"/>
            <w:vAlign w:val="center"/>
          </w:tcPr>
          <w:p>
            <w:pPr>
              <w:shd w:val="clear" w:color="auto" w:fill="auto"/>
              <w:wordWrap/>
              <w:adjustRightInd/>
              <w:snapToGrid w:val="0"/>
              <w:spacing w:before="0" w:beforeAutospacing="0" w:after="0" w:afterAutospacing="0" w:line="290" w:lineRule="exact"/>
              <w:ind w:left="0" w:right="0" w:firstLine="2280" w:firstLineChars="1200"/>
              <w:jc w:val="both"/>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220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4</w:t>
            </w:r>
          </w:p>
        </w:tc>
      </w:tr>
      <w:tr>
        <w:trPr>
          <w:trHeight w:val="425" w:hRule="atLeast"/>
          <w:jc w:val="center"/>
        </w:trPr>
        <w:tc>
          <w:tcPr>
            <w:tcW w:w="1379"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477"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20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425" w:hRule="atLeast"/>
          <w:jc w:val="center"/>
        </w:trPr>
        <w:tc>
          <w:tcPr>
            <w:tcW w:w="1379"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77"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20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425" w:hRule="atLeast"/>
          <w:jc w:val="center"/>
        </w:trPr>
        <w:tc>
          <w:tcPr>
            <w:tcW w:w="1379"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77"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20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425" w:hRule="atLeast"/>
          <w:jc w:val="center"/>
        </w:trPr>
        <w:tc>
          <w:tcPr>
            <w:tcW w:w="1379"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地点</w:t>
            </w:r>
          </w:p>
        </w:tc>
        <w:tc>
          <w:tcPr>
            <w:tcW w:w="5477" w:type="dxa"/>
            <w:vAlign w:val="center"/>
          </w:tcPr>
          <w:p>
            <w:pPr>
              <w:widowControl w:val="0"/>
              <w:shd w:val="clear" w:color="auto" w:fill="auto"/>
              <w:tabs>
                <w:tab w:val="center" w:pos="4153"/>
                <w:tab w:val="right" w:pos="8306"/>
              </w:tabs>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符合环境功能区划</w:t>
            </w:r>
          </w:p>
        </w:tc>
        <w:tc>
          <w:tcPr>
            <w:tcW w:w="2204"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425" w:hRule="atLeast"/>
          <w:jc w:val="center"/>
        </w:trPr>
        <w:tc>
          <w:tcPr>
            <w:tcW w:w="1379"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77" w:type="dxa"/>
            <w:vAlign w:val="center"/>
          </w:tcPr>
          <w:p>
            <w:pPr>
              <w:widowControl w:val="0"/>
              <w:shd w:val="clear" w:color="auto" w:fill="auto"/>
              <w:tabs>
                <w:tab w:val="center" w:pos="4153"/>
                <w:tab w:val="right" w:pos="8306"/>
              </w:tabs>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不符合环境功能区划，但位于居住区、商业交通居民混合区、文化区、工业区和农村地区</w:t>
            </w:r>
          </w:p>
        </w:tc>
        <w:tc>
          <w:tcPr>
            <w:tcW w:w="2204"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jc w:val="center"/>
        </w:trPr>
        <w:tc>
          <w:tcPr>
            <w:tcW w:w="1379"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77" w:type="dxa"/>
            <w:vAlign w:val="center"/>
          </w:tcPr>
          <w:p>
            <w:pPr>
              <w:widowControl w:val="0"/>
              <w:shd w:val="clear" w:color="auto" w:fill="auto"/>
              <w:tabs>
                <w:tab w:val="center" w:pos="4153"/>
                <w:tab w:val="right" w:pos="8306"/>
              </w:tabs>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不符合环境功能区划，但位于自然保护区、风景名胜区和其他需要特殊保护的区域</w:t>
            </w:r>
          </w:p>
        </w:tc>
        <w:tc>
          <w:tcPr>
            <w:tcW w:w="2204" w:type="dxa"/>
            <w:vAlign w:val="center"/>
          </w:tcPr>
          <w:p>
            <w:pPr>
              <w:widowControl w:val="0"/>
              <w:shd w:val="clear" w:color="auto" w:fill="auto"/>
              <w:tabs>
                <w:tab w:val="center" w:pos="4153"/>
                <w:tab w:val="right" w:pos="8306"/>
              </w:tabs>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425" w:hRule="atLeast"/>
          <w:jc w:val="center"/>
        </w:trPr>
        <w:tc>
          <w:tcPr>
            <w:tcW w:w="1379"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物料存放量</w:t>
            </w:r>
          </w:p>
        </w:tc>
        <w:tc>
          <w:tcPr>
            <w:tcW w:w="5477" w:type="dxa"/>
            <w:vAlign w:val="center"/>
          </w:tcPr>
          <w:p>
            <w:pPr>
              <w:pStyle w:val="19"/>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500吨以下</w:t>
            </w:r>
          </w:p>
        </w:tc>
        <w:tc>
          <w:tcPr>
            <w:tcW w:w="220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79"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77" w:type="dxa"/>
            <w:vAlign w:val="center"/>
          </w:tcPr>
          <w:p>
            <w:pPr>
              <w:pStyle w:val="19"/>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500吨以上1000吨以下</w:t>
            </w:r>
          </w:p>
        </w:tc>
        <w:tc>
          <w:tcPr>
            <w:tcW w:w="220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2</w:t>
            </w:r>
          </w:p>
        </w:tc>
      </w:tr>
      <w:tr>
        <w:trPr>
          <w:trHeight w:val="425" w:hRule="atLeast"/>
          <w:jc w:val="center"/>
        </w:trPr>
        <w:tc>
          <w:tcPr>
            <w:tcW w:w="1379"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77" w:type="dxa"/>
            <w:vAlign w:val="center"/>
          </w:tcPr>
          <w:p>
            <w:pPr>
              <w:pStyle w:val="19"/>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1000吨以上2000吨以下</w:t>
            </w:r>
          </w:p>
        </w:tc>
        <w:tc>
          <w:tcPr>
            <w:tcW w:w="220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425" w:hRule="atLeast"/>
          <w:jc w:val="center"/>
        </w:trPr>
        <w:tc>
          <w:tcPr>
            <w:tcW w:w="1379"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77" w:type="dxa"/>
            <w:vAlign w:val="center"/>
          </w:tcPr>
          <w:p>
            <w:pPr>
              <w:pStyle w:val="19"/>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2000吨以上3000吨以下</w:t>
            </w:r>
          </w:p>
        </w:tc>
        <w:tc>
          <w:tcPr>
            <w:tcW w:w="220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4</w:t>
            </w:r>
          </w:p>
        </w:tc>
      </w:tr>
      <w:tr>
        <w:trPr>
          <w:trHeight w:val="425" w:hRule="atLeast"/>
          <w:jc w:val="center"/>
        </w:trPr>
        <w:tc>
          <w:tcPr>
            <w:tcW w:w="1379"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77" w:type="dxa"/>
            <w:vAlign w:val="center"/>
          </w:tcPr>
          <w:p>
            <w:pPr>
              <w:pStyle w:val="19"/>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3000吨以上的</w:t>
            </w:r>
          </w:p>
        </w:tc>
        <w:tc>
          <w:tcPr>
            <w:tcW w:w="220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79" w:type="dxa"/>
            <w:vMerge w:val="restart"/>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477"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204"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jc w:val="center"/>
        </w:trPr>
        <w:tc>
          <w:tcPr>
            <w:tcW w:w="1379" w:type="dxa"/>
            <w:vMerge w:val="continue"/>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477"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204"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jc w:val="center"/>
        </w:trPr>
        <w:tc>
          <w:tcPr>
            <w:tcW w:w="1379" w:type="dxa"/>
            <w:vMerge w:val="continue"/>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477"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204"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jc w:val="center"/>
        </w:trPr>
        <w:tc>
          <w:tcPr>
            <w:tcW w:w="1379" w:type="dxa"/>
            <w:vMerge w:val="continue"/>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477"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204"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jc w:val="center"/>
        </w:trPr>
        <w:tc>
          <w:tcPr>
            <w:tcW w:w="1379" w:type="dxa"/>
            <w:vMerge w:val="continue"/>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477"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204"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379"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r>
              <w:rPr>
                <w:rFonts w:hint="default" w:ascii="Times New Roman" w:hAnsi="Times New Roman" w:cs="Times New Roman"/>
                <w:b/>
                <w:bCs/>
                <w:color w:val="auto"/>
                <w:sz w:val="20"/>
                <w:szCs w:val="20"/>
                <w:shd w:val="clear" w:color="auto" w:fill="auto"/>
                <w:lang w:val="en-US"/>
              </w:rPr>
              <w:t>改正时间</w:t>
            </w:r>
          </w:p>
        </w:tc>
        <w:tc>
          <w:tcPr>
            <w:tcW w:w="5477"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kern w:val="2"/>
                <w:sz w:val="21"/>
                <w:szCs w:val="21"/>
                <w:shd w:val="clear" w:color="auto" w:fill="auto"/>
                <w:lang w:eastAsia="zh-CN"/>
              </w:rPr>
              <w:t>限期改正</w:t>
            </w:r>
          </w:p>
        </w:tc>
        <w:tc>
          <w:tcPr>
            <w:tcW w:w="220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379"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47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20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79"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7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220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379"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7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220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7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47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20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7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7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220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7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7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220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7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47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20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7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7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20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7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7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20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7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7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20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81"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5084"/>
        <w:gridCol w:w="2542"/>
      </w:tblGrid>
      <w:tr>
        <w:trPr>
          <w:trHeight w:val="397" w:hRule="atLeast"/>
          <w:jc w:val="center"/>
        </w:trPr>
        <w:tc>
          <w:tcPr>
            <w:tcW w:w="9060" w:type="dxa"/>
            <w:gridSpan w:val="3"/>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97" w:hRule="atLeast"/>
          <w:jc w:val="center"/>
        </w:trPr>
        <w:tc>
          <w:tcPr>
            <w:tcW w:w="143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26" w:type="dxa"/>
            <w:gridSpan w:val="2"/>
            <w:vAlign w:val="center"/>
          </w:tcPr>
          <w:p>
            <w:pPr>
              <w:shd w:val="clear" w:color="auto" w:fill="auto"/>
              <w:wordWrap/>
              <w:adjustRightInd/>
              <w:snapToGrid w:val="0"/>
              <w:spacing w:before="0" w:beforeAutospacing="0" w:after="0" w:afterAutospacing="0" w:line="300" w:lineRule="exact"/>
              <w:ind w:left="0" w:right="0"/>
              <w:jc w:val="center"/>
              <w:textAlignment w:val="auto"/>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30</w:t>
            </w:r>
          </w:p>
        </w:tc>
      </w:tr>
      <w:tr>
        <w:trPr>
          <w:trHeight w:val="397" w:hRule="atLeast"/>
          <w:jc w:val="center"/>
        </w:trPr>
        <w:tc>
          <w:tcPr>
            <w:tcW w:w="143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26" w:type="dxa"/>
            <w:gridSpan w:val="2"/>
            <w:vAlign w:val="center"/>
          </w:tcPr>
          <w:p>
            <w:pPr>
              <w:pStyle w:val="18"/>
              <w:shd w:val="clear" w:color="auto" w:fill="auto"/>
              <w:wordWrap/>
              <w:adjustRightInd/>
              <w:snapToGrid w:val="0"/>
              <w:spacing w:before="0" w:beforeAutospacing="0" w:after="0" w:afterAutospacing="0" w:line="300" w:lineRule="exact"/>
              <w:ind w:left="0" w:right="0"/>
              <w:jc w:val="center"/>
              <w:textAlignment w:val="auto"/>
              <w:outlineLvl w:val="9"/>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1"/>
                <w:shd w:val="clear" w:color="auto" w:fill="auto"/>
              </w:rPr>
              <w:t>码头、矿山、填埋场和消纳场未采取有效措施防治扬尘污染的</w:t>
            </w:r>
          </w:p>
        </w:tc>
      </w:tr>
      <w:tr>
        <w:trPr>
          <w:trHeight w:val="397" w:hRule="atLeast"/>
          <w:jc w:val="center"/>
        </w:trPr>
        <w:tc>
          <w:tcPr>
            <w:tcW w:w="143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26" w:type="dxa"/>
            <w:gridSpan w:val="2"/>
            <w:vAlign w:val="top"/>
          </w:tcPr>
          <w:p>
            <w:pPr>
              <w:pStyle w:val="18"/>
              <w:shd w:val="clear" w:color="auto" w:fill="auto"/>
              <w:wordWrap/>
              <w:adjustRightInd/>
              <w:snapToGrid w:val="0"/>
              <w:spacing w:before="0" w:beforeAutospacing="0" w:after="0" w:afterAutospacing="0" w:line="300" w:lineRule="exact"/>
              <w:ind w:left="0" w:right="0" w:firstLine="357"/>
              <w:jc w:val="both"/>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1.《中华人民共和国大气污染防治法》第七十二条第二款</w:t>
            </w:r>
            <w:r>
              <w:rPr>
                <w:rFonts w:hint="default" w:ascii="Times New Roman" w:hAnsi="Times New Roman" w:cs="Times New Roman"/>
                <w:color w:val="auto"/>
                <w:sz w:val="21"/>
                <w:szCs w:val="21"/>
                <w:shd w:val="clear" w:color="auto" w:fill="auto"/>
              </w:rPr>
              <w:t xml:space="preserve"> 码头、矿山、填埋场和消纳场应当实施分区作业，并采取有效措施防治扬尘污染。</w:t>
            </w:r>
          </w:p>
          <w:p>
            <w:pPr>
              <w:pStyle w:val="18"/>
              <w:shd w:val="clear" w:color="auto" w:fill="auto"/>
              <w:wordWrap/>
              <w:adjustRightInd/>
              <w:snapToGrid w:val="0"/>
              <w:spacing w:before="0" w:beforeAutospacing="0" w:after="0" w:afterAutospacing="0" w:line="300" w:lineRule="exact"/>
              <w:ind w:left="0" w:right="0" w:firstLine="360"/>
              <w:jc w:val="both"/>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2.《河南省大气污染防治条例》第五十二条第三款</w:t>
            </w:r>
            <w:r>
              <w:rPr>
                <w:rFonts w:hint="default" w:ascii="Times New Roman" w:hAnsi="Times New Roman" w:cs="Times New Roman"/>
                <w:color w:val="auto"/>
                <w:sz w:val="21"/>
                <w:szCs w:val="21"/>
                <w:shd w:val="clear" w:color="auto" w:fill="auto"/>
              </w:rPr>
              <w:t xml:space="preserve"> 垃圾填埋场、建筑垃圾以及渣土消纳场，应当按照相关标准和要求采取抑尘措施。</w:t>
            </w:r>
          </w:p>
        </w:tc>
      </w:tr>
      <w:tr>
        <w:trPr>
          <w:trHeight w:val="397" w:hRule="atLeast"/>
          <w:jc w:val="center"/>
        </w:trPr>
        <w:tc>
          <w:tcPr>
            <w:tcW w:w="143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26" w:type="dxa"/>
            <w:gridSpan w:val="2"/>
            <w:vAlign w:val="top"/>
          </w:tcPr>
          <w:p>
            <w:pPr>
              <w:pStyle w:val="18"/>
              <w:shd w:val="clear" w:color="auto" w:fill="auto"/>
              <w:wordWrap/>
              <w:adjustRightInd/>
              <w:snapToGrid w:val="0"/>
              <w:spacing w:before="0" w:beforeAutospacing="0" w:after="0" w:afterAutospacing="0" w:line="300" w:lineRule="exact"/>
              <w:ind w:left="0" w:right="0" w:firstLine="357"/>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1.《中华人民共和国大气污染防治法》第一百一十七条第（五）项</w:t>
            </w:r>
            <w:r>
              <w:rPr>
                <w:rFonts w:hint="default" w:ascii="Times New Roman" w:hAnsi="Times New Roman" w:cs="Times New Roman"/>
                <w:color w:val="auto"/>
                <w:kern w:val="2"/>
                <w:sz w:val="21"/>
                <w:szCs w:val="21"/>
                <w:shd w:val="clear" w:color="auto" w:fill="auto"/>
              </w:rPr>
              <w:t xml:space="preserve"> 违反本法规定，有下列行为之一的，由县级以上人民政府生态环境等主管部门按照职责责令改正，处一万元以上十万元以下的罚款；拒不改正的，责令停工整治或者停业整治：</w:t>
            </w:r>
          </w:p>
          <w:p>
            <w:pPr>
              <w:pStyle w:val="18"/>
              <w:numPr>
                <w:ilvl w:val="0"/>
                <w:numId w:val="6"/>
              </w:numPr>
              <w:shd w:val="clear" w:color="auto" w:fill="auto"/>
              <w:wordWrap/>
              <w:adjustRightInd/>
              <w:snapToGrid w:val="0"/>
              <w:spacing w:before="0" w:beforeAutospacing="0" w:after="0" w:afterAutospacing="0" w:line="300" w:lineRule="exact"/>
              <w:ind w:left="0" w:right="0" w:firstLine="36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码头、矿山、填埋场和消纳场未采取有效措施防治扬尘污染的。</w:t>
            </w:r>
          </w:p>
          <w:p>
            <w:pPr>
              <w:pStyle w:val="18"/>
              <w:shd w:val="clear" w:color="auto" w:fill="auto"/>
              <w:wordWrap/>
              <w:adjustRightInd/>
              <w:snapToGrid w:val="0"/>
              <w:spacing w:before="0" w:beforeAutospacing="0" w:after="0" w:afterAutospacing="0" w:line="300" w:lineRule="exact"/>
              <w:ind w:left="0" w:right="0" w:firstLine="422" w:firstLineChars="20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kern w:val="2"/>
                <w:sz w:val="21"/>
                <w:szCs w:val="21"/>
                <w:shd w:val="clear" w:color="auto" w:fill="auto"/>
              </w:rPr>
              <w:t xml:space="preserve">2.《河南省大气污染防治条例》第七十九条第（四）项 </w:t>
            </w:r>
            <w:r>
              <w:rPr>
                <w:rFonts w:hint="default" w:ascii="Times New Roman" w:hAnsi="Times New Roman" w:cs="Times New Roman"/>
                <w:color w:val="auto"/>
                <w:sz w:val="21"/>
                <w:szCs w:val="21"/>
                <w:shd w:val="clear" w:color="auto" w:fill="auto"/>
              </w:rPr>
              <w:t>违反本条例第五十二条规定，有下列情形之一的，由县级以上人民政府环境保护主管部门或者其他负有大气环境保护监督管理职责的部门责令限期改正，处一万元以上五万元以下罚款；造成严重后果的，处五万元以上十万元以下罚款，并责令停业整治：</w:t>
            </w:r>
          </w:p>
          <w:p>
            <w:pPr>
              <w:pStyle w:val="18"/>
              <w:shd w:val="clear" w:color="auto" w:fill="auto"/>
              <w:wordWrap/>
              <w:adjustRightInd/>
              <w:snapToGrid w:val="0"/>
              <w:spacing w:before="0" w:beforeAutospacing="0" w:after="0" w:afterAutospacing="0" w:line="300" w:lineRule="exact"/>
              <w:ind w:left="0" w:right="0" w:firstLine="420" w:firstLineChars="20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（四）垃圾填埋场、建筑垃圾以及渣土消纳场，未按照相关标准和要求采取抑尘措施的。</w:t>
            </w:r>
          </w:p>
        </w:tc>
      </w:tr>
      <w:tr>
        <w:trPr>
          <w:trHeight w:val="442" w:hRule="atLeast"/>
          <w:jc w:val="center"/>
        </w:trPr>
        <w:tc>
          <w:tcPr>
            <w:tcW w:w="143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8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42"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42" w:hRule="atLeast"/>
          <w:jc w:val="center"/>
        </w:trPr>
        <w:tc>
          <w:tcPr>
            <w:tcW w:w="1434"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8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部分场所未</w:t>
            </w:r>
            <w:r>
              <w:rPr>
                <w:rFonts w:hint="default" w:ascii="Times New Roman" w:hAnsi="Times New Roman" w:cs="Times New Roman"/>
                <w:color w:val="auto"/>
                <w:sz w:val="20"/>
                <w:szCs w:val="20"/>
                <w:shd w:val="clear" w:color="auto" w:fill="auto"/>
              </w:rPr>
              <w:t>采取防治扬尘污染措施</w:t>
            </w:r>
          </w:p>
        </w:tc>
        <w:tc>
          <w:tcPr>
            <w:tcW w:w="2542"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42" w:hRule="atLeast"/>
          <w:jc w:val="center"/>
        </w:trPr>
        <w:tc>
          <w:tcPr>
            <w:tcW w:w="143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8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未采取防治扬尘污染措施的</w:t>
            </w:r>
          </w:p>
        </w:tc>
        <w:tc>
          <w:tcPr>
            <w:tcW w:w="2542"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jc w:val="center"/>
        </w:trPr>
        <w:tc>
          <w:tcPr>
            <w:tcW w:w="1434"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地点</w:t>
            </w:r>
          </w:p>
        </w:tc>
        <w:tc>
          <w:tcPr>
            <w:tcW w:w="5084"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符合环境功能区划</w:t>
            </w:r>
          </w:p>
        </w:tc>
        <w:tc>
          <w:tcPr>
            <w:tcW w:w="2542"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442" w:hRule="atLeast"/>
          <w:jc w:val="center"/>
        </w:trPr>
        <w:tc>
          <w:tcPr>
            <w:tcW w:w="143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84"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不符合环境功能区划，但位于居住区、商业交通居民混合区、文化区、工业区和农村地区</w:t>
            </w:r>
          </w:p>
        </w:tc>
        <w:tc>
          <w:tcPr>
            <w:tcW w:w="2542"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42" w:hRule="atLeast"/>
          <w:jc w:val="center"/>
        </w:trPr>
        <w:tc>
          <w:tcPr>
            <w:tcW w:w="143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84"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不符合环境功能区划，但位于自然保护区、风景名胜区和其他需要特殊保护的区域</w:t>
            </w:r>
          </w:p>
        </w:tc>
        <w:tc>
          <w:tcPr>
            <w:tcW w:w="2542"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442" w:hRule="atLeast"/>
          <w:jc w:val="center"/>
        </w:trPr>
        <w:tc>
          <w:tcPr>
            <w:tcW w:w="1434"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占地面积</w:t>
            </w:r>
          </w:p>
        </w:tc>
        <w:tc>
          <w:tcPr>
            <w:tcW w:w="508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占地面积100m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lang w:val="en-US" w:eastAsia="zh-CN"/>
              </w:rPr>
              <w:t>以下</w:t>
            </w:r>
            <w:r>
              <w:rPr>
                <w:rFonts w:hint="default" w:ascii="Times New Roman" w:hAnsi="Times New Roman" w:cs="Times New Roman"/>
                <w:color w:val="auto"/>
                <w:sz w:val="20"/>
                <w:szCs w:val="20"/>
                <w:shd w:val="clear" w:color="auto" w:fill="auto"/>
              </w:rPr>
              <w:t>的</w:t>
            </w:r>
          </w:p>
        </w:tc>
        <w:tc>
          <w:tcPr>
            <w:tcW w:w="2542"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jc w:val="center"/>
        </w:trPr>
        <w:tc>
          <w:tcPr>
            <w:tcW w:w="143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8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占地面积100m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以上500m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lang w:val="en-US" w:eastAsia="zh-CN"/>
              </w:rPr>
              <w:t>以下</w:t>
            </w:r>
            <w:r>
              <w:rPr>
                <w:rFonts w:hint="default" w:ascii="Times New Roman" w:hAnsi="Times New Roman" w:cs="Times New Roman"/>
                <w:color w:val="auto"/>
                <w:sz w:val="20"/>
                <w:szCs w:val="20"/>
                <w:shd w:val="clear" w:color="auto" w:fill="auto"/>
              </w:rPr>
              <w:t>的</w:t>
            </w:r>
          </w:p>
        </w:tc>
        <w:tc>
          <w:tcPr>
            <w:tcW w:w="2542"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jc w:val="center"/>
        </w:trPr>
        <w:tc>
          <w:tcPr>
            <w:tcW w:w="143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8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占地面积500m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以上的</w:t>
            </w:r>
          </w:p>
        </w:tc>
        <w:tc>
          <w:tcPr>
            <w:tcW w:w="2542"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42" w:hRule="atLeast"/>
          <w:jc w:val="center"/>
        </w:trPr>
        <w:tc>
          <w:tcPr>
            <w:tcW w:w="1434"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企业规模</w:t>
            </w:r>
          </w:p>
        </w:tc>
        <w:tc>
          <w:tcPr>
            <w:tcW w:w="5084"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caps w:val="0"/>
                <w:color w:val="auto"/>
                <w:spacing w:val="0"/>
                <w:kern w:val="2"/>
                <w:sz w:val="19"/>
                <w:szCs w:val="19"/>
                <w:shd w:val="clear" w:color="auto" w:fill="auto"/>
                <w:lang w:val="en-US" w:eastAsia="zh-CN"/>
              </w:rPr>
              <w:t>微型企业</w:t>
            </w:r>
          </w:p>
        </w:tc>
        <w:tc>
          <w:tcPr>
            <w:tcW w:w="2542"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42" w:hRule="atLeast"/>
          <w:jc w:val="center"/>
        </w:trPr>
        <w:tc>
          <w:tcPr>
            <w:tcW w:w="143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084"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46"/>
                <w:rFonts w:hint="default" w:ascii="Times New Roman" w:hAnsi="Times New Roman" w:eastAsia="宋体" w:cs="Times New Roman"/>
                <w:i w:val="0"/>
                <w:caps w:val="0"/>
                <w:color w:val="auto"/>
                <w:spacing w:val="0"/>
                <w:kern w:val="2"/>
                <w:sz w:val="19"/>
                <w:szCs w:val="19"/>
                <w:shd w:val="clear" w:color="auto" w:fill="auto"/>
                <w:lang w:val="en-US" w:eastAsia="zh-CN"/>
              </w:rPr>
              <w:t>小型</w:t>
            </w:r>
            <w:r>
              <w:rPr>
                <w:rFonts w:hint="default" w:ascii="Times New Roman" w:hAnsi="Times New Roman" w:eastAsia="宋体" w:cs="Times New Roman"/>
                <w:i w:val="0"/>
                <w:caps w:val="0"/>
                <w:color w:val="auto"/>
                <w:spacing w:val="0"/>
                <w:kern w:val="2"/>
                <w:sz w:val="19"/>
                <w:szCs w:val="19"/>
                <w:shd w:val="clear" w:color="auto" w:fill="auto"/>
                <w:lang w:val="en-US" w:eastAsia="zh-CN"/>
              </w:rPr>
              <w:t>企业</w:t>
            </w:r>
          </w:p>
        </w:tc>
        <w:tc>
          <w:tcPr>
            <w:tcW w:w="2542"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42" w:hRule="atLeast"/>
          <w:jc w:val="center"/>
        </w:trPr>
        <w:tc>
          <w:tcPr>
            <w:tcW w:w="143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084"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46"/>
                <w:rFonts w:hint="default" w:ascii="Times New Roman" w:hAnsi="Times New Roman" w:eastAsia="宋体" w:cs="Times New Roman"/>
                <w:i w:val="0"/>
                <w:caps w:val="0"/>
                <w:color w:val="auto"/>
                <w:spacing w:val="0"/>
                <w:kern w:val="2"/>
                <w:sz w:val="19"/>
                <w:szCs w:val="19"/>
                <w:shd w:val="clear" w:color="auto" w:fill="auto"/>
                <w:lang w:val="en-US" w:eastAsia="zh-CN"/>
              </w:rPr>
              <w:t>中型</w:t>
            </w:r>
            <w:r>
              <w:rPr>
                <w:rFonts w:hint="default" w:ascii="Times New Roman" w:hAnsi="Times New Roman" w:eastAsia="宋体" w:cs="Times New Roman"/>
                <w:i w:val="0"/>
                <w:caps w:val="0"/>
                <w:color w:val="auto"/>
                <w:spacing w:val="0"/>
                <w:kern w:val="2"/>
                <w:sz w:val="19"/>
                <w:szCs w:val="19"/>
                <w:shd w:val="clear" w:color="auto" w:fill="auto"/>
                <w:lang w:val="en-US" w:eastAsia="zh-CN"/>
              </w:rPr>
              <w:t>企业</w:t>
            </w:r>
          </w:p>
        </w:tc>
        <w:tc>
          <w:tcPr>
            <w:tcW w:w="2542"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42" w:hRule="atLeast"/>
          <w:jc w:val="center"/>
        </w:trPr>
        <w:tc>
          <w:tcPr>
            <w:tcW w:w="1434"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b/>
                <w:color w:val="auto"/>
                <w:kern w:val="2"/>
                <w:sz w:val="21"/>
                <w:szCs w:val="21"/>
                <w:shd w:val="clear" w:color="auto" w:fill="auto"/>
                <w:lang w:val="en-US" w:eastAsia="zh-CN" w:bidi="ar-SA"/>
              </w:rPr>
            </w:pPr>
          </w:p>
        </w:tc>
        <w:tc>
          <w:tcPr>
            <w:tcW w:w="5084" w:type="dxa"/>
            <w:vAlign w:val="center"/>
          </w:tcPr>
          <w:p>
            <w:pPr>
              <w:widowControl w:val="0"/>
              <w:shd w:val="clear" w:color="auto" w:fill="auto"/>
              <w:wordWrap/>
              <w:adjustRightInd/>
              <w:snapToGrid w:val="0"/>
              <w:spacing w:before="0" w:beforeAutospacing="0" w:after="0" w:afterAutospacing="0" w:line="300" w:lineRule="exact"/>
              <w:ind w:left="0" w:leftChars="0" w:right="0" w:firstLine="2090" w:firstLineChars="1100"/>
              <w:jc w:val="both"/>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46"/>
                <w:rFonts w:hint="default" w:ascii="Times New Roman" w:hAnsi="Times New Roman" w:eastAsia="宋体" w:cs="Times New Roman"/>
                <w:i w:val="0"/>
                <w:caps w:val="0"/>
                <w:color w:val="auto"/>
                <w:spacing w:val="0"/>
                <w:kern w:val="2"/>
                <w:sz w:val="19"/>
                <w:szCs w:val="19"/>
                <w:shd w:val="clear" w:color="auto" w:fill="auto"/>
                <w:lang w:val="en-US" w:eastAsia="zh-CN"/>
              </w:rPr>
              <w:t>大型企业</w:t>
            </w:r>
          </w:p>
        </w:tc>
        <w:tc>
          <w:tcPr>
            <w:tcW w:w="2542"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42" w:hRule="atLeast"/>
          <w:jc w:val="center"/>
        </w:trPr>
        <w:tc>
          <w:tcPr>
            <w:tcW w:w="1434"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管理类别</w:t>
            </w:r>
          </w:p>
        </w:tc>
        <w:tc>
          <w:tcPr>
            <w:tcW w:w="5084" w:type="dxa"/>
            <w:vAlign w:val="center"/>
          </w:tcPr>
          <w:p>
            <w:pPr>
              <w:widowControl/>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登记管理</w:t>
            </w:r>
          </w:p>
        </w:tc>
        <w:tc>
          <w:tcPr>
            <w:tcW w:w="2542" w:type="dxa"/>
            <w:vAlign w:val="center"/>
          </w:tcPr>
          <w:p>
            <w:pPr>
              <w:widowControl/>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442" w:hRule="atLeast"/>
          <w:jc w:val="center"/>
        </w:trPr>
        <w:tc>
          <w:tcPr>
            <w:tcW w:w="1434"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b/>
                <w:color w:val="auto"/>
                <w:kern w:val="2"/>
                <w:sz w:val="21"/>
                <w:szCs w:val="21"/>
                <w:shd w:val="clear" w:color="auto" w:fill="auto"/>
                <w:lang w:val="en-US" w:eastAsia="zh-CN" w:bidi="ar-SA"/>
              </w:rPr>
            </w:pPr>
          </w:p>
        </w:tc>
        <w:tc>
          <w:tcPr>
            <w:tcW w:w="508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eastAsia="zh-CN"/>
              </w:rPr>
              <w:t>简化管理</w:t>
            </w:r>
          </w:p>
        </w:tc>
        <w:tc>
          <w:tcPr>
            <w:tcW w:w="2542"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442" w:hRule="atLeast"/>
          <w:jc w:val="center"/>
        </w:trPr>
        <w:tc>
          <w:tcPr>
            <w:tcW w:w="1434"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b/>
                <w:color w:val="auto"/>
                <w:kern w:val="2"/>
                <w:sz w:val="21"/>
                <w:szCs w:val="21"/>
                <w:shd w:val="clear" w:color="auto" w:fill="auto"/>
                <w:lang w:val="en-US" w:eastAsia="zh-CN" w:bidi="ar-SA"/>
              </w:rPr>
            </w:pPr>
          </w:p>
        </w:tc>
        <w:tc>
          <w:tcPr>
            <w:tcW w:w="5084" w:type="dxa"/>
            <w:vAlign w:val="center"/>
          </w:tcPr>
          <w:p>
            <w:pPr>
              <w:widowControl/>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重点管理</w:t>
            </w:r>
          </w:p>
        </w:tc>
        <w:tc>
          <w:tcPr>
            <w:tcW w:w="2542" w:type="dxa"/>
            <w:vAlign w:val="center"/>
          </w:tcPr>
          <w:p>
            <w:pPr>
              <w:widowControl/>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43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color w:val="auto"/>
                <w:sz w:val="21"/>
                <w:szCs w:val="20"/>
                <w:shd w:val="clear" w:color="auto" w:fill="auto"/>
              </w:rPr>
            </w:pPr>
            <w:r>
              <w:rPr>
                <w:rFonts w:hint="default" w:ascii="Times New Roman" w:hAnsi="Times New Roman" w:cs="Times New Roman"/>
                <w:b/>
                <w:color w:val="auto"/>
                <w:sz w:val="21"/>
                <w:szCs w:val="20"/>
                <w:shd w:val="clear" w:color="auto" w:fill="auto"/>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color w:val="auto"/>
                <w:sz w:val="21"/>
                <w:szCs w:val="20"/>
                <w:shd w:val="clear" w:color="auto" w:fill="auto"/>
              </w:rPr>
            </w:pPr>
            <w:r>
              <w:rPr>
                <w:rFonts w:hint="default" w:ascii="Times New Roman" w:hAnsi="Times New Roman" w:cs="Times New Roman"/>
                <w:b/>
                <w:color w:val="auto"/>
                <w:sz w:val="21"/>
                <w:szCs w:val="20"/>
                <w:shd w:val="clear" w:color="auto" w:fill="auto"/>
              </w:rPr>
              <w:t>发生时期</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color w:val="auto"/>
                <w:sz w:val="21"/>
                <w:szCs w:val="20"/>
                <w:shd w:val="clear" w:color="auto" w:fill="auto"/>
              </w:rPr>
              <w:t>环境敏感度</w:t>
            </w:r>
          </w:p>
        </w:tc>
        <w:tc>
          <w:tcPr>
            <w:tcW w:w="50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rPr>
              <w:t>一般期间</w:t>
            </w:r>
          </w:p>
        </w:tc>
        <w:tc>
          <w:tcPr>
            <w:tcW w:w="25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1"/>
                <w:szCs w:val="20"/>
                <w:shd w:val="clear" w:color="auto" w:fill="auto"/>
              </w:rPr>
              <w:t>1</w:t>
            </w:r>
          </w:p>
        </w:tc>
      </w:tr>
      <w:tr>
        <w:trPr>
          <w:trHeight w:val="397" w:hRule="atLeast"/>
          <w:jc w:val="center"/>
        </w:trPr>
        <w:tc>
          <w:tcPr>
            <w:tcW w:w="143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rPr>
              <w:t>重污染天气黄色预警期间</w:t>
            </w:r>
          </w:p>
        </w:tc>
        <w:tc>
          <w:tcPr>
            <w:tcW w:w="25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1"/>
                <w:szCs w:val="20"/>
                <w:shd w:val="clear" w:color="auto" w:fill="auto"/>
              </w:rPr>
              <w:t>2</w:t>
            </w:r>
          </w:p>
        </w:tc>
      </w:tr>
      <w:tr>
        <w:trPr>
          <w:trHeight w:val="397" w:hRule="atLeast"/>
          <w:jc w:val="center"/>
        </w:trPr>
        <w:tc>
          <w:tcPr>
            <w:tcW w:w="143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rPr>
              <w:t>重污染天气橙色预警期间</w:t>
            </w:r>
          </w:p>
        </w:tc>
        <w:tc>
          <w:tcPr>
            <w:tcW w:w="25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1"/>
                <w:szCs w:val="20"/>
                <w:shd w:val="clear" w:color="auto" w:fill="auto"/>
              </w:rPr>
              <w:t>3</w:t>
            </w:r>
          </w:p>
        </w:tc>
      </w:tr>
      <w:tr>
        <w:trPr>
          <w:trHeight w:val="397" w:hRule="atLeast"/>
          <w:jc w:val="center"/>
        </w:trPr>
        <w:tc>
          <w:tcPr>
            <w:tcW w:w="143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rPr>
              <w:t>重污染天气红色预警期间</w:t>
            </w:r>
          </w:p>
        </w:tc>
        <w:tc>
          <w:tcPr>
            <w:tcW w:w="25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1"/>
                <w:szCs w:val="20"/>
                <w:shd w:val="clear" w:color="auto" w:fill="auto"/>
              </w:rPr>
              <w:t>4</w:t>
            </w:r>
          </w:p>
        </w:tc>
      </w:tr>
      <w:tr>
        <w:trPr>
          <w:trHeight w:val="397" w:hRule="atLeast"/>
          <w:jc w:val="center"/>
        </w:trPr>
        <w:tc>
          <w:tcPr>
            <w:tcW w:w="143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rPr>
              <w:t>特殊或重大活动期间</w:t>
            </w:r>
          </w:p>
        </w:tc>
        <w:tc>
          <w:tcPr>
            <w:tcW w:w="25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1"/>
                <w:szCs w:val="20"/>
                <w:shd w:val="clear" w:color="auto" w:fill="auto"/>
              </w:rPr>
              <w:t>5</w:t>
            </w:r>
          </w:p>
        </w:tc>
      </w:tr>
      <w:tr>
        <w:trPr>
          <w:trHeight w:val="397" w:hRule="atLeast"/>
          <w:jc w:val="center"/>
        </w:trPr>
        <w:tc>
          <w:tcPr>
            <w:tcW w:w="143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val="en-US"/>
              </w:rPr>
              <w:t>改正时间</w:t>
            </w:r>
          </w:p>
        </w:tc>
        <w:tc>
          <w:tcPr>
            <w:tcW w:w="5084"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kern w:val="2"/>
                <w:sz w:val="21"/>
                <w:szCs w:val="21"/>
                <w:shd w:val="clear" w:color="auto" w:fill="auto"/>
                <w:lang w:eastAsia="zh-CN"/>
              </w:rPr>
              <w:t>限期改正</w:t>
            </w:r>
          </w:p>
        </w:tc>
        <w:tc>
          <w:tcPr>
            <w:tcW w:w="254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43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54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43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254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43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254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43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w:t>
            </w:r>
            <w:r>
              <w:rPr>
                <w:rFonts w:hint="default" w:ascii="Times New Roman" w:hAnsi="Times New Roman" w:cs="Times New Roman"/>
                <w:b/>
                <w:bCs/>
                <w:color w:val="auto"/>
                <w:sz w:val="20"/>
                <w:szCs w:val="20"/>
                <w:shd w:val="clear" w:color="auto" w:fill="auto"/>
              </w:rPr>
              <w:t>次数</w:t>
            </w:r>
          </w:p>
        </w:tc>
        <w:tc>
          <w:tcPr>
            <w:tcW w:w="50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5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43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5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43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5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43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54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43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4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43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54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43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54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90" w:hRule="atLeast"/>
          <w:jc w:val="center"/>
        </w:trPr>
        <w:tc>
          <w:tcPr>
            <w:tcW w:w="1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eastAsia="zh-CN"/>
              </w:rPr>
            </w:pPr>
            <w:r>
              <w:rPr>
                <w:rFonts w:hint="default" w:ascii="Times New Roman" w:hAnsi="Times New Roman" w:cs="Times New Roman"/>
                <w:b/>
                <w:bCs/>
                <w:color w:val="auto"/>
                <w:sz w:val="20"/>
                <w:szCs w:val="20"/>
                <w:shd w:val="clear" w:color="auto" w:fill="auto"/>
                <w:lang w:val="en-US" w:eastAsia="zh-CN"/>
              </w:rPr>
              <w:t>备注</w:t>
            </w:r>
          </w:p>
        </w:tc>
        <w:tc>
          <w:tcPr>
            <w:tcW w:w="7626"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4658"/>
        <w:gridCol w:w="2705"/>
      </w:tblGrid>
      <w:tr>
        <w:trPr>
          <w:trHeight w:val="369" w:hRule="atLeast"/>
          <w:jc w:val="center"/>
        </w:trPr>
        <w:tc>
          <w:tcPr>
            <w:tcW w:w="9060" w:type="dxa"/>
            <w:gridSpan w:val="3"/>
            <w:vAlign w:val="top"/>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69" w:hRule="atLeast"/>
          <w:jc w:val="center"/>
        </w:trPr>
        <w:tc>
          <w:tcPr>
            <w:tcW w:w="1697" w:type="dxa"/>
            <w:vAlign w:val="center"/>
          </w:tcPr>
          <w:p>
            <w:pPr>
              <w:widowControl w:val="0"/>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363" w:type="dxa"/>
            <w:gridSpan w:val="2"/>
            <w:vAlign w:val="center"/>
          </w:tcPr>
          <w:p>
            <w:pPr>
              <w:widowControl w:val="0"/>
              <w:shd w:val="clear" w:color="auto" w:fill="auto"/>
              <w:wordWrap/>
              <w:adjustRightInd/>
              <w:spacing w:before="0" w:beforeAutospacing="0" w:after="0" w:afterAutospacing="0" w:line="300" w:lineRule="exact"/>
              <w:ind w:left="0" w:right="0"/>
              <w:jc w:val="center"/>
              <w:textAlignment w:val="auto"/>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31</w:t>
            </w:r>
          </w:p>
        </w:tc>
      </w:tr>
      <w:tr>
        <w:trPr>
          <w:trHeight w:val="369" w:hRule="atLeast"/>
          <w:jc w:val="center"/>
        </w:trPr>
        <w:tc>
          <w:tcPr>
            <w:tcW w:w="1697"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363" w:type="dxa"/>
            <w:gridSpan w:val="2"/>
            <w:vAlign w:val="top"/>
          </w:tcPr>
          <w:p>
            <w:pPr>
              <w:widowControl w:val="0"/>
              <w:shd w:val="clear" w:color="auto" w:fill="auto"/>
              <w:wordWrap/>
              <w:adjustRightInd/>
              <w:snapToGrid w:val="0"/>
              <w:spacing w:before="0" w:beforeAutospacing="0" w:after="0" w:afterAutospacing="0" w:line="300" w:lineRule="exact"/>
              <w:ind w:left="0" w:right="0" w:firstLine="420"/>
              <w:textAlignment w:val="auto"/>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highlight w:val="none"/>
                <w:shd w:val="clear" w:color="auto" w:fill="auto"/>
              </w:rPr>
              <w:t>排放有毒有害大气污染物名录中所列有毒有害大气污染物的企业事业单位，未按照规定建设环境风险预警体系或者对排放口和周边环境进行定期监测、排查环境安全隐患并采取有效措施防范环境风险的</w:t>
            </w:r>
          </w:p>
        </w:tc>
      </w:tr>
      <w:tr>
        <w:trPr>
          <w:trHeight w:val="369" w:hRule="atLeast"/>
          <w:jc w:val="center"/>
        </w:trPr>
        <w:tc>
          <w:tcPr>
            <w:tcW w:w="1697"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363" w:type="dxa"/>
            <w:gridSpan w:val="2"/>
            <w:vAlign w:val="top"/>
          </w:tcPr>
          <w:p>
            <w:pPr>
              <w:widowControl w:val="0"/>
              <w:shd w:val="clear" w:color="auto" w:fill="auto"/>
              <w:wordWrap/>
              <w:adjustRightInd/>
              <w:snapToGrid w:val="0"/>
              <w:spacing w:before="0" w:beforeAutospacing="0" w:after="0" w:afterAutospacing="0" w:line="300" w:lineRule="exact"/>
              <w:ind w:left="0" w:right="0" w:firstLine="482"/>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《中华人民共和国大气污染防治法》第七十八条</w:t>
            </w:r>
            <w:r>
              <w:rPr>
                <w:rFonts w:hint="default" w:ascii="Times New Roman" w:hAnsi="Times New Roman" w:cs="Times New Roman"/>
                <w:color w:val="auto"/>
                <w:sz w:val="20"/>
                <w:szCs w:val="20"/>
                <w:shd w:val="clear" w:color="auto" w:fill="auto"/>
              </w:rPr>
              <w:t xml:space="preserve"> 国务院生态环境主管部门应当会同国务院卫生行政部门，根据大气污染物对公众健康和生态环境的危害和影响程度，公布有毒有害大气污染物名录，实行风险管理。</w:t>
            </w:r>
          </w:p>
          <w:p>
            <w:pPr>
              <w:widowControl w:val="0"/>
              <w:shd w:val="clear" w:color="auto" w:fill="auto"/>
              <w:wordWrap/>
              <w:adjustRightInd/>
              <w:snapToGrid w:val="0"/>
              <w:spacing w:before="0" w:beforeAutospacing="0" w:after="0" w:afterAutospacing="0" w:line="300" w:lineRule="exact"/>
              <w:ind w:left="0" w:right="0" w:firstLine="48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排放前款规定名录中所列有毒有害大气污染物的企业事业单位，应当按照国家有关规定建设环境风险预警体系，对排放口和周边环境进行定期监测，评估环境风险，排查环境安全隐患，并采取有效措施防范环境风险。</w:t>
            </w:r>
          </w:p>
        </w:tc>
      </w:tr>
      <w:tr>
        <w:trPr>
          <w:trHeight w:val="2430" w:hRule="atLeast"/>
          <w:jc w:val="center"/>
        </w:trPr>
        <w:tc>
          <w:tcPr>
            <w:tcW w:w="1697"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363" w:type="dxa"/>
            <w:gridSpan w:val="2"/>
            <w:vAlign w:val="center"/>
          </w:tcPr>
          <w:p>
            <w:pPr>
              <w:widowControl w:val="0"/>
              <w:shd w:val="clear" w:color="auto" w:fill="auto"/>
              <w:wordWrap/>
              <w:adjustRightInd/>
              <w:snapToGrid w:val="0"/>
              <w:spacing w:before="0" w:beforeAutospacing="0" w:after="0" w:afterAutospacing="0" w:line="300" w:lineRule="exact"/>
              <w:ind w:left="0" w:right="0" w:firstLine="42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《中华人民共和国大气污染防治法》第一百一十七条第（六）项 </w:t>
            </w:r>
            <w:r>
              <w:rPr>
                <w:rFonts w:hint="default" w:ascii="Times New Roman" w:hAnsi="Times New Roman" w:cs="Times New Roman"/>
                <w:color w:val="auto"/>
                <w:sz w:val="20"/>
                <w:szCs w:val="20"/>
                <w:shd w:val="clear" w:color="auto" w:fill="auto"/>
              </w:rPr>
              <w:t>违反本法规定，有下列行为之一的，由县级以上人民政府生态环境等主管部门按照职责责令改正，处一万元以上十万元以下的罚款；拒不改正的，责令停工整治或者停业整治：</w:t>
            </w:r>
          </w:p>
          <w:p>
            <w:pPr>
              <w:widowControl w:val="0"/>
              <w:shd w:val="clear" w:color="auto" w:fill="auto"/>
              <w:wordWrap/>
              <w:adjustRightInd/>
              <w:snapToGrid w:val="0"/>
              <w:spacing w:before="0" w:beforeAutospacing="0" w:after="0" w:afterAutospacing="0" w:line="300" w:lineRule="exact"/>
              <w:ind w:left="0" w:right="0" w:firstLine="42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（六）排放有毒有害大气污染物名录中所列有毒有害大气污染物的企业事业单位，未按照规定建设环境风险预警体系或者对排放口和周边环境进行定期监测、排查环境安全隐患并采取有效措施防范环境风险的。</w:t>
            </w:r>
          </w:p>
        </w:tc>
      </w:tr>
      <w:tr>
        <w:trPr>
          <w:trHeight w:val="351" w:hRule="atLeast"/>
          <w:jc w:val="center"/>
        </w:trPr>
        <w:tc>
          <w:tcPr>
            <w:tcW w:w="1697"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4658"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705"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51" w:hRule="atLeast"/>
          <w:jc w:val="center"/>
        </w:trPr>
        <w:tc>
          <w:tcPr>
            <w:tcW w:w="1697" w:type="dxa"/>
            <w:vMerge w:val="restart"/>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4658"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未按照规定建设环境风险预警体系或者对排放口和周边环境进行定期监测、排查环境安全隐患并采取有效措施防范环境风险，其中1项的</w:t>
            </w:r>
          </w:p>
        </w:tc>
        <w:tc>
          <w:tcPr>
            <w:tcW w:w="2705"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51" w:hRule="atLeast"/>
          <w:jc w:val="center"/>
        </w:trPr>
        <w:tc>
          <w:tcPr>
            <w:tcW w:w="1697" w:type="dxa"/>
            <w:vMerge w:val="continue"/>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658"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未按照规定建设环境风险预警体系或者对排放口和周边环境进行定期监测、排查环境安全隐患并采取有效措施防范环境风险，其中2项的</w:t>
            </w:r>
          </w:p>
        </w:tc>
        <w:tc>
          <w:tcPr>
            <w:tcW w:w="2705"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51" w:hRule="atLeast"/>
          <w:jc w:val="center"/>
        </w:trPr>
        <w:tc>
          <w:tcPr>
            <w:tcW w:w="1697" w:type="dxa"/>
            <w:vMerge w:val="continue"/>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658"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未按照规定建设环境风险预警体系或者对排放口和周边环境进行定期监测、排查环境安全隐患并采取有效措施防范环境风险，其中3项的</w:t>
            </w:r>
          </w:p>
        </w:tc>
        <w:tc>
          <w:tcPr>
            <w:tcW w:w="2705"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51" w:hRule="atLeast"/>
          <w:jc w:val="center"/>
        </w:trPr>
        <w:tc>
          <w:tcPr>
            <w:tcW w:w="1697" w:type="dxa"/>
            <w:vMerge w:val="restart"/>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4658"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705"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51" w:hRule="atLeast"/>
          <w:jc w:val="center"/>
        </w:trPr>
        <w:tc>
          <w:tcPr>
            <w:tcW w:w="1697" w:type="dxa"/>
            <w:vMerge w:val="continue"/>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658"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705"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51" w:hRule="atLeast"/>
          <w:jc w:val="center"/>
        </w:trPr>
        <w:tc>
          <w:tcPr>
            <w:tcW w:w="1697" w:type="dxa"/>
            <w:vMerge w:val="continue"/>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658"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705"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51" w:hRule="atLeast"/>
          <w:jc w:val="center"/>
        </w:trPr>
        <w:tc>
          <w:tcPr>
            <w:tcW w:w="1697" w:type="dxa"/>
            <w:vMerge w:val="continue"/>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658"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705"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351" w:hRule="atLeast"/>
          <w:jc w:val="center"/>
        </w:trPr>
        <w:tc>
          <w:tcPr>
            <w:tcW w:w="1697" w:type="dxa"/>
            <w:vMerge w:val="restart"/>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有毒有害</w:t>
            </w:r>
          </w:p>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大气污染物种类</w:t>
            </w:r>
          </w:p>
        </w:tc>
        <w:tc>
          <w:tcPr>
            <w:tcW w:w="4658"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1种</w:t>
            </w:r>
          </w:p>
        </w:tc>
        <w:tc>
          <w:tcPr>
            <w:tcW w:w="2705"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51" w:hRule="atLeast"/>
          <w:jc w:val="center"/>
        </w:trPr>
        <w:tc>
          <w:tcPr>
            <w:tcW w:w="1697" w:type="dxa"/>
            <w:vMerge w:val="continue"/>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658"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2种</w:t>
            </w:r>
          </w:p>
        </w:tc>
        <w:tc>
          <w:tcPr>
            <w:tcW w:w="2705"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51" w:hRule="atLeast"/>
          <w:jc w:val="center"/>
        </w:trPr>
        <w:tc>
          <w:tcPr>
            <w:tcW w:w="1697" w:type="dxa"/>
            <w:vMerge w:val="continue"/>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658"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3种</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的</w:t>
            </w:r>
          </w:p>
        </w:tc>
        <w:tc>
          <w:tcPr>
            <w:tcW w:w="2705"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51" w:hRule="atLeast"/>
          <w:jc w:val="center"/>
        </w:trPr>
        <w:tc>
          <w:tcPr>
            <w:tcW w:w="1697" w:type="dxa"/>
            <w:vMerge w:val="restart"/>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地点</w:t>
            </w:r>
          </w:p>
        </w:tc>
        <w:tc>
          <w:tcPr>
            <w:tcW w:w="4658"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符合环境功能区划</w:t>
            </w:r>
          </w:p>
        </w:tc>
        <w:tc>
          <w:tcPr>
            <w:tcW w:w="2705"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51" w:hRule="atLeast"/>
          <w:jc w:val="center"/>
        </w:trPr>
        <w:tc>
          <w:tcPr>
            <w:tcW w:w="1697" w:type="dxa"/>
            <w:vMerge w:val="continue"/>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658"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不符合环境功能区划，但位于居住区、商业交通居民混合区、文化区、工业区和农村地区</w:t>
            </w:r>
          </w:p>
        </w:tc>
        <w:tc>
          <w:tcPr>
            <w:tcW w:w="2705"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51" w:hRule="atLeast"/>
          <w:jc w:val="center"/>
        </w:trPr>
        <w:tc>
          <w:tcPr>
            <w:tcW w:w="1697" w:type="dxa"/>
            <w:vMerge w:val="continue"/>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658"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不符合环境功能区划，但位于自然保护区、风景名胜区和其他需要特殊保护的区域</w:t>
            </w:r>
          </w:p>
        </w:tc>
        <w:tc>
          <w:tcPr>
            <w:tcW w:w="2705"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69" w:hRule="atLeast"/>
          <w:jc w:val="center"/>
        </w:trPr>
        <w:tc>
          <w:tcPr>
            <w:tcW w:w="1697"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shd w:val="clear" w:color="auto" w:fill="auto"/>
                <w:lang w:val="en-US"/>
              </w:rPr>
              <w:t>改正时间</w:t>
            </w:r>
          </w:p>
        </w:tc>
        <w:tc>
          <w:tcPr>
            <w:tcW w:w="4658"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kern w:val="2"/>
                <w:sz w:val="21"/>
                <w:szCs w:val="21"/>
                <w:shd w:val="clear" w:color="auto" w:fill="auto"/>
                <w:lang w:eastAsia="zh-CN"/>
              </w:rPr>
              <w:t>限期改正</w:t>
            </w:r>
          </w:p>
        </w:tc>
        <w:tc>
          <w:tcPr>
            <w:tcW w:w="270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69" w:hRule="atLeast"/>
          <w:jc w:val="center"/>
        </w:trPr>
        <w:tc>
          <w:tcPr>
            <w:tcW w:w="169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465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70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69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rPr>
            </w:pPr>
          </w:p>
        </w:tc>
        <w:tc>
          <w:tcPr>
            <w:tcW w:w="465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270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69" w:hRule="atLeast"/>
          <w:jc w:val="center"/>
        </w:trPr>
        <w:tc>
          <w:tcPr>
            <w:tcW w:w="169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color w:val="auto"/>
                <w:kern w:val="2"/>
                <w:sz w:val="21"/>
                <w:szCs w:val="21"/>
                <w:lang w:val="en-US" w:eastAsia="zh-CN" w:bidi="ar-SA"/>
              </w:rPr>
            </w:pPr>
          </w:p>
        </w:tc>
        <w:tc>
          <w:tcPr>
            <w:tcW w:w="465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270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69" w:hRule="atLeast"/>
          <w:jc w:val="center"/>
        </w:trPr>
        <w:tc>
          <w:tcPr>
            <w:tcW w:w="1697"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rPr>
            </w:pPr>
            <w:r>
              <w:rPr>
                <w:rFonts w:hint="default" w:ascii="Times New Roman" w:hAnsi="Times New Roman" w:eastAsia="宋体" w:cs="Times New Roman"/>
                <w:b/>
                <w:color w:val="auto"/>
                <w:kern w:val="2"/>
                <w:sz w:val="21"/>
                <w:szCs w:val="21"/>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color w:val="auto"/>
                <w:kern w:val="2"/>
                <w:sz w:val="21"/>
                <w:szCs w:val="21"/>
                <w:lang w:val="en-US" w:eastAsia="zh-CN"/>
              </w:rPr>
              <w:t>持续时间</w:t>
            </w:r>
          </w:p>
        </w:tc>
        <w:tc>
          <w:tcPr>
            <w:tcW w:w="465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rPr>
              <w:t>1</w:t>
            </w:r>
            <w:r>
              <w:rPr>
                <w:rFonts w:hint="default" w:ascii="宋体" w:hAnsi="宋体" w:eastAsia="宋体" w:cs="宋体"/>
                <w:color w:val="auto"/>
                <w:kern w:val="2"/>
                <w:sz w:val="21"/>
                <w:szCs w:val="21"/>
                <w:lang w:val="en-US" w:eastAsia="zh-CN"/>
              </w:rPr>
              <w:t>个月</w:t>
            </w:r>
            <w:r>
              <w:rPr>
                <w:rFonts w:hint="default" w:ascii="宋体" w:hAnsi="宋体" w:cs="宋体"/>
                <w:color w:val="auto"/>
                <w:kern w:val="2"/>
                <w:sz w:val="21"/>
                <w:szCs w:val="21"/>
                <w:lang w:val="en-US"/>
              </w:rPr>
              <w:t>以下</w:t>
            </w:r>
          </w:p>
        </w:tc>
        <w:tc>
          <w:tcPr>
            <w:tcW w:w="270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rPr>
              <w:t>1</w:t>
            </w:r>
          </w:p>
        </w:tc>
      </w:tr>
      <w:tr>
        <w:trPr>
          <w:trHeight w:val="369" w:hRule="atLeast"/>
          <w:jc w:val="center"/>
        </w:trPr>
        <w:tc>
          <w:tcPr>
            <w:tcW w:w="169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rPr>
            </w:pPr>
          </w:p>
        </w:tc>
        <w:tc>
          <w:tcPr>
            <w:tcW w:w="465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rPr>
              <w:t>1</w:t>
            </w:r>
            <w:r>
              <w:rPr>
                <w:rFonts w:hint="default" w:ascii="宋体" w:hAnsi="宋体" w:eastAsia="宋体" w:cs="宋体"/>
                <w:color w:val="auto"/>
                <w:kern w:val="2"/>
                <w:sz w:val="21"/>
                <w:szCs w:val="21"/>
                <w:lang w:val="en-US" w:eastAsia="zh-CN"/>
              </w:rPr>
              <w:t>个月以上</w:t>
            </w:r>
            <w:r>
              <w:rPr>
                <w:rFonts w:hint="default" w:ascii="Times New Roman" w:hAnsi="Times New Roman" w:eastAsia="宋体" w:cs="Times New Roman"/>
                <w:color w:val="auto"/>
                <w:kern w:val="2"/>
                <w:sz w:val="21"/>
                <w:szCs w:val="21"/>
                <w:lang w:val="en-US" w:eastAsia="zh-CN"/>
              </w:rPr>
              <w:t>3</w:t>
            </w:r>
            <w:r>
              <w:rPr>
                <w:rFonts w:hint="default" w:ascii="宋体" w:hAnsi="宋体" w:eastAsia="宋体" w:cs="宋体"/>
                <w:color w:val="auto"/>
                <w:kern w:val="2"/>
                <w:sz w:val="21"/>
                <w:szCs w:val="21"/>
                <w:lang w:val="en-US" w:eastAsia="zh-CN"/>
              </w:rPr>
              <w:t>个月</w:t>
            </w:r>
            <w:r>
              <w:rPr>
                <w:rFonts w:hint="default" w:ascii="宋体" w:hAnsi="宋体" w:cs="宋体"/>
                <w:color w:val="auto"/>
                <w:kern w:val="2"/>
                <w:sz w:val="21"/>
                <w:szCs w:val="21"/>
                <w:lang w:val="en-US"/>
              </w:rPr>
              <w:t>以下</w:t>
            </w:r>
          </w:p>
        </w:tc>
        <w:tc>
          <w:tcPr>
            <w:tcW w:w="270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rPr>
              <w:t>2</w:t>
            </w:r>
          </w:p>
        </w:tc>
      </w:tr>
      <w:tr>
        <w:trPr>
          <w:trHeight w:val="369" w:hRule="atLeast"/>
          <w:jc w:val="center"/>
        </w:trPr>
        <w:tc>
          <w:tcPr>
            <w:tcW w:w="169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rPr>
            </w:pPr>
          </w:p>
        </w:tc>
        <w:tc>
          <w:tcPr>
            <w:tcW w:w="465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rPr>
              <w:t>3</w:t>
            </w:r>
            <w:r>
              <w:rPr>
                <w:rFonts w:hint="default" w:ascii="宋体" w:hAnsi="宋体" w:eastAsia="宋体" w:cs="宋体"/>
                <w:color w:val="auto"/>
                <w:kern w:val="2"/>
                <w:sz w:val="21"/>
                <w:szCs w:val="21"/>
                <w:lang w:val="en-US" w:eastAsia="zh-CN"/>
              </w:rPr>
              <w:t>个月以上</w:t>
            </w:r>
            <w:r>
              <w:rPr>
                <w:rFonts w:hint="default" w:ascii="Times New Roman" w:hAnsi="Times New Roman" w:cs="Times New Roman"/>
                <w:color w:val="auto"/>
                <w:kern w:val="2"/>
                <w:sz w:val="21"/>
                <w:szCs w:val="21"/>
                <w:lang w:eastAsia="zh-CN"/>
              </w:rPr>
              <w:t>6</w:t>
            </w:r>
            <w:r>
              <w:rPr>
                <w:rFonts w:hint="default" w:ascii="Times New Roman" w:hAnsi="Times New Roman" w:eastAsia="宋体" w:cs="Times New Roman"/>
                <w:color w:val="auto"/>
                <w:kern w:val="2"/>
                <w:sz w:val="21"/>
                <w:szCs w:val="21"/>
                <w:lang w:val="en-US" w:eastAsia="zh-CN"/>
              </w:rPr>
              <w:t>个月</w:t>
            </w:r>
            <w:r>
              <w:rPr>
                <w:rFonts w:hint="default" w:ascii="Times New Roman" w:hAnsi="Times New Roman" w:cs="Times New Roman"/>
                <w:color w:val="auto"/>
                <w:kern w:val="2"/>
                <w:sz w:val="21"/>
                <w:szCs w:val="21"/>
                <w:lang w:val="en-US"/>
              </w:rPr>
              <w:t>以下</w:t>
            </w:r>
          </w:p>
        </w:tc>
        <w:tc>
          <w:tcPr>
            <w:tcW w:w="270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rPr>
              <w:t>3</w:t>
            </w:r>
          </w:p>
        </w:tc>
      </w:tr>
      <w:tr>
        <w:trPr>
          <w:trHeight w:val="369" w:hRule="atLeast"/>
          <w:jc w:val="center"/>
        </w:trPr>
        <w:tc>
          <w:tcPr>
            <w:tcW w:w="169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rPr>
            </w:pPr>
          </w:p>
        </w:tc>
        <w:tc>
          <w:tcPr>
            <w:tcW w:w="465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rPr>
              <w:t>6</w:t>
            </w:r>
            <w:r>
              <w:rPr>
                <w:rFonts w:hint="default" w:ascii="Times New Roman" w:hAnsi="Times New Roman" w:eastAsia="宋体" w:cs="Times New Roman"/>
                <w:color w:val="auto"/>
                <w:kern w:val="2"/>
                <w:sz w:val="21"/>
                <w:szCs w:val="21"/>
                <w:lang w:val="en-US" w:eastAsia="zh-CN"/>
              </w:rPr>
              <w:t>个月以上</w:t>
            </w:r>
            <w:r>
              <w:rPr>
                <w:rFonts w:hint="default" w:ascii="Times New Roman" w:hAnsi="Times New Roman" w:cs="Times New Roman"/>
                <w:color w:val="auto"/>
                <w:kern w:val="2"/>
                <w:sz w:val="21"/>
                <w:szCs w:val="21"/>
                <w:lang w:eastAsia="zh-CN"/>
              </w:rPr>
              <w:t>1</w:t>
            </w:r>
            <w:r>
              <w:rPr>
                <w:rFonts w:hint="default" w:ascii="Times New Roman" w:hAnsi="Times New Roman" w:eastAsia="宋体" w:cs="Times New Roman"/>
                <w:color w:val="auto"/>
                <w:kern w:val="2"/>
                <w:sz w:val="21"/>
                <w:szCs w:val="21"/>
                <w:lang w:val="en-US" w:eastAsia="zh-CN"/>
              </w:rPr>
              <w:t>年</w:t>
            </w:r>
            <w:r>
              <w:rPr>
                <w:rFonts w:hint="default" w:ascii="Times New Roman" w:hAnsi="Times New Roman" w:cs="Times New Roman"/>
                <w:color w:val="auto"/>
                <w:kern w:val="2"/>
                <w:sz w:val="21"/>
                <w:szCs w:val="21"/>
                <w:lang w:val="en-US"/>
              </w:rPr>
              <w:t>以下</w:t>
            </w:r>
          </w:p>
        </w:tc>
        <w:tc>
          <w:tcPr>
            <w:tcW w:w="270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rPr>
              <w:t>4</w:t>
            </w:r>
          </w:p>
        </w:tc>
      </w:tr>
      <w:tr>
        <w:trPr>
          <w:trHeight w:val="369" w:hRule="atLeast"/>
          <w:jc w:val="center"/>
        </w:trPr>
        <w:tc>
          <w:tcPr>
            <w:tcW w:w="169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rPr>
            </w:pPr>
          </w:p>
        </w:tc>
        <w:tc>
          <w:tcPr>
            <w:tcW w:w="465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eastAsia="zh-CN"/>
              </w:rPr>
              <w:t>1</w:t>
            </w:r>
            <w:r>
              <w:rPr>
                <w:rFonts w:hint="default" w:ascii="Times New Roman" w:hAnsi="Times New Roman" w:eastAsia="宋体" w:cs="Times New Roman"/>
                <w:color w:val="auto"/>
                <w:kern w:val="2"/>
                <w:sz w:val="21"/>
                <w:szCs w:val="21"/>
                <w:lang w:val="en-US" w:eastAsia="zh-CN"/>
              </w:rPr>
              <w:t>年以上</w:t>
            </w:r>
          </w:p>
        </w:tc>
        <w:tc>
          <w:tcPr>
            <w:tcW w:w="270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rPr>
              <w:t>5</w:t>
            </w:r>
          </w:p>
        </w:tc>
      </w:tr>
      <w:tr>
        <w:trPr>
          <w:trHeight w:val="369" w:hRule="atLeast"/>
          <w:jc w:val="center"/>
        </w:trPr>
        <w:tc>
          <w:tcPr>
            <w:tcW w:w="169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lang w:eastAsia="zh-CN"/>
              </w:rPr>
              <w:t>受处罚次数</w:t>
            </w:r>
          </w:p>
        </w:tc>
        <w:tc>
          <w:tcPr>
            <w:tcW w:w="465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lang w:eastAsia="zh-CN"/>
              </w:rPr>
            </w:pPr>
            <w:r>
              <w:rPr>
                <w:rFonts w:hint="default" w:ascii="Times New Roman" w:hAnsi="Times New Roman" w:cs="Times New Roman"/>
                <w:color w:val="auto"/>
                <w:sz w:val="20"/>
                <w:szCs w:val="20"/>
              </w:rPr>
              <w:t>两年内未受到过同类处罚</w:t>
            </w:r>
          </w:p>
        </w:tc>
        <w:tc>
          <w:tcPr>
            <w:tcW w:w="270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sz w:val="20"/>
                <w:szCs w:val="20"/>
              </w:rPr>
              <w:t>1</w:t>
            </w:r>
          </w:p>
        </w:tc>
      </w:tr>
      <w:tr>
        <w:trPr>
          <w:trHeight w:val="369" w:hRule="atLeast"/>
          <w:jc w:val="center"/>
        </w:trPr>
        <w:tc>
          <w:tcPr>
            <w:tcW w:w="169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465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lang w:eastAsia="zh-CN"/>
              </w:rPr>
            </w:pPr>
            <w:r>
              <w:rPr>
                <w:rFonts w:hint="default" w:ascii="Times New Roman" w:hAnsi="Times New Roman" w:cs="Times New Roman"/>
                <w:color w:val="auto"/>
                <w:sz w:val="20"/>
                <w:szCs w:val="20"/>
              </w:rPr>
              <w:t>两年内受到同类处罚1次</w:t>
            </w:r>
          </w:p>
        </w:tc>
        <w:tc>
          <w:tcPr>
            <w:tcW w:w="270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sz w:val="20"/>
                <w:szCs w:val="20"/>
              </w:rPr>
              <w:t>3</w:t>
            </w:r>
          </w:p>
        </w:tc>
      </w:tr>
      <w:tr>
        <w:trPr>
          <w:trHeight w:val="369" w:hRule="atLeast"/>
          <w:jc w:val="center"/>
        </w:trPr>
        <w:tc>
          <w:tcPr>
            <w:tcW w:w="169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465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lang w:eastAsia="zh-CN"/>
              </w:rPr>
            </w:pPr>
            <w:r>
              <w:rPr>
                <w:rFonts w:hint="default" w:ascii="Times New Roman" w:hAnsi="Times New Roman" w:cs="Times New Roman"/>
                <w:color w:val="auto"/>
                <w:sz w:val="20"/>
                <w:szCs w:val="20"/>
              </w:rPr>
              <w:t>两年内受到同类处罚2次以上</w:t>
            </w:r>
          </w:p>
        </w:tc>
        <w:tc>
          <w:tcPr>
            <w:tcW w:w="270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sz w:val="20"/>
                <w:szCs w:val="20"/>
              </w:rPr>
              <w:t>5</w:t>
            </w:r>
          </w:p>
        </w:tc>
      </w:tr>
      <w:tr>
        <w:trPr>
          <w:trHeight w:val="369" w:hRule="atLeast"/>
          <w:jc w:val="center"/>
        </w:trPr>
        <w:tc>
          <w:tcPr>
            <w:tcW w:w="169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执法检查</w:t>
            </w:r>
          </w:p>
        </w:tc>
        <w:tc>
          <w:tcPr>
            <w:tcW w:w="465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70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69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465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70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69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465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70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69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465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70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69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lang w:eastAsia="zh-CN"/>
              </w:rPr>
            </w:pPr>
            <w:r>
              <w:rPr>
                <w:rFonts w:hint="default" w:ascii="Times New Roman" w:hAnsi="Times New Roman" w:cs="Times New Roman"/>
                <w:b/>
                <w:bCs/>
                <w:color w:val="auto"/>
                <w:sz w:val="20"/>
                <w:szCs w:val="20"/>
                <w:lang w:eastAsia="zh-CN"/>
              </w:rPr>
              <w:t>备注</w:t>
            </w:r>
          </w:p>
        </w:tc>
        <w:tc>
          <w:tcPr>
            <w:tcW w:w="7363"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lang w:val="en-US" w:eastAsia="zh-CN"/>
              </w:rPr>
            </w:pPr>
          </w:p>
        </w:tc>
      </w:tr>
    </w:tbl>
    <w:p>
      <w:pPr>
        <w:shd w:val="clear" w:color="auto" w:fill="auto"/>
        <w:rPr>
          <w:color w:val="auto"/>
        </w:rPr>
      </w:pPr>
    </w:p>
    <w:p>
      <w:pPr>
        <w:shd w:val="clear" w:color="auto" w:fill="auto"/>
        <w:rPr>
          <w:color w:val="auto"/>
        </w:rPr>
      </w:pPr>
    </w:p>
    <w:p>
      <w:pPr>
        <w:shd w:val="clear" w:color="auto" w:fill="auto"/>
        <w:rPr>
          <w:color w:val="auto"/>
        </w:rPr>
      </w:pPr>
      <w:r>
        <w:rPr>
          <w:color w:va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4770"/>
        <w:gridCol w:w="2593"/>
      </w:tblGrid>
      <w:tr>
        <w:trPr>
          <w:trHeight w:val="397" w:hRule="atLeast"/>
          <w:jc w:val="center"/>
        </w:trPr>
        <w:tc>
          <w:tcPr>
            <w:tcW w:w="9060" w:type="dxa"/>
            <w:gridSpan w:val="3"/>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rPr>
            </w:pPr>
            <w:r>
              <w:rPr>
                <w:rFonts w:hint="default" w:ascii="Times New Roman" w:hAnsi="Times New Roman" w:cs="Times New Roman"/>
                <w:b/>
                <w:bCs/>
                <w:color w:val="auto"/>
                <w:sz w:val="20"/>
                <w:szCs w:val="20"/>
              </w:rPr>
              <w:t>（二）大气污染防治类</w:t>
            </w:r>
          </w:p>
        </w:tc>
      </w:tr>
      <w:tr>
        <w:trPr>
          <w:trHeight w:val="397" w:hRule="atLeast"/>
          <w:jc w:val="center"/>
        </w:trPr>
        <w:tc>
          <w:tcPr>
            <w:tcW w:w="169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序号</w:t>
            </w:r>
          </w:p>
        </w:tc>
        <w:tc>
          <w:tcPr>
            <w:tcW w:w="7363" w:type="dxa"/>
            <w:gridSpan w:val="2"/>
            <w:vAlign w:val="center"/>
          </w:tcPr>
          <w:p>
            <w:pPr>
              <w:shd w:val="clear" w:color="auto" w:fill="auto"/>
              <w:wordWrap/>
              <w:adjustRightInd/>
              <w:snapToGrid w:val="0"/>
              <w:spacing w:before="0" w:beforeAutospacing="0" w:after="0" w:afterAutospacing="0" w:line="300" w:lineRule="exact"/>
              <w:ind w:left="0" w:right="0"/>
              <w:jc w:val="center"/>
              <w:textAlignment w:val="auto"/>
              <w:outlineLvl w:val="9"/>
              <w:rPr>
                <w:rFonts w:hint="default" w:ascii="Times New Roman" w:hAnsi="Times New Roman" w:cs="Times New Roman"/>
                <w:color w:val="auto"/>
                <w:sz w:val="20"/>
                <w:szCs w:val="20"/>
              </w:rPr>
            </w:pPr>
            <w:r>
              <w:rPr>
                <w:rFonts w:hint="default" w:ascii="Times New Roman" w:hAnsi="Times New Roman" w:cs="Times New Roman"/>
                <w:color w:val="auto"/>
                <w:sz w:val="20"/>
                <w:szCs w:val="20"/>
              </w:rPr>
              <w:t>32</w:t>
            </w:r>
          </w:p>
        </w:tc>
      </w:tr>
      <w:tr>
        <w:trPr>
          <w:trHeight w:val="397" w:hRule="atLeast"/>
          <w:jc w:val="center"/>
        </w:trPr>
        <w:tc>
          <w:tcPr>
            <w:tcW w:w="169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违法行为</w:t>
            </w:r>
          </w:p>
        </w:tc>
        <w:tc>
          <w:tcPr>
            <w:tcW w:w="7363" w:type="dxa"/>
            <w:gridSpan w:val="2"/>
            <w:vAlign w:val="center"/>
          </w:tcPr>
          <w:p>
            <w:pPr>
              <w:shd w:val="clear" w:color="auto" w:fill="auto"/>
              <w:wordWrap/>
              <w:adjustRightInd/>
              <w:snapToGrid w:val="0"/>
              <w:spacing w:before="0" w:beforeAutospacing="0" w:after="0" w:afterAutospacing="0" w:line="300" w:lineRule="exact"/>
              <w:ind w:left="0" w:right="0" w:firstLine="420"/>
              <w:jc w:val="left"/>
              <w:textAlignment w:val="auto"/>
              <w:outlineLvl w:val="9"/>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向大气排放持久性有机污染物的企业事业单位和其他生产经营者以及废弃物焚烧设施的运营单位，未按照国家有关规定采取有利于减少污染物排放的技术方法和工艺，配备净化装置并保持正常运行的</w:t>
            </w:r>
          </w:p>
        </w:tc>
      </w:tr>
      <w:tr>
        <w:trPr>
          <w:trHeight w:val="2610" w:hRule="atLeast"/>
          <w:jc w:val="center"/>
        </w:trPr>
        <w:tc>
          <w:tcPr>
            <w:tcW w:w="169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违反条款</w:t>
            </w:r>
          </w:p>
        </w:tc>
        <w:tc>
          <w:tcPr>
            <w:tcW w:w="7363" w:type="dxa"/>
            <w:gridSpan w:val="2"/>
            <w:vAlign w:val="center"/>
          </w:tcPr>
          <w:p>
            <w:pPr>
              <w:shd w:val="clear" w:color="auto" w:fill="auto"/>
              <w:wordWrap/>
              <w:adjustRightInd/>
              <w:snapToGrid w:val="0"/>
              <w:spacing w:before="0" w:beforeAutospacing="0" w:after="0" w:afterAutospacing="0" w:line="300" w:lineRule="exact"/>
              <w:ind w:left="0" w:right="0" w:firstLine="420"/>
              <w:jc w:val="left"/>
              <w:textAlignment w:val="auto"/>
              <w:rPr>
                <w:rFonts w:hint="default" w:ascii="Times New Roman" w:hAnsi="Times New Roman" w:cs="Times New Roman"/>
                <w:color w:val="auto"/>
                <w:sz w:val="20"/>
                <w:szCs w:val="20"/>
              </w:rPr>
            </w:pPr>
            <w:r>
              <w:rPr>
                <w:rFonts w:hint="default" w:ascii="Times New Roman" w:hAnsi="Times New Roman" w:cs="Times New Roman"/>
                <w:b/>
                <w:bCs/>
                <w:color w:val="auto"/>
                <w:sz w:val="20"/>
                <w:szCs w:val="20"/>
              </w:rPr>
              <w:t xml:space="preserve">《中华人民共和国大气污染防治法》第七十九条 </w:t>
            </w:r>
            <w:r>
              <w:rPr>
                <w:rFonts w:hint="default" w:ascii="Times New Roman" w:hAnsi="Times New Roman" w:cs="Times New Roman"/>
                <w:color w:val="auto"/>
                <w:sz w:val="20"/>
                <w:szCs w:val="20"/>
              </w:rPr>
              <w:t>向大气排放持久性有机污染物的企业事业单位和其他生产经营者以及废弃物焚烧设施的运营单位，应当按照国家有关规定，采取有利于减少持久性有机污染物排放的技术方法和工艺，配备有效的净化装置，实现达标排放。</w:t>
            </w:r>
          </w:p>
          <w:p>
            <w:pPr>
              <w:shd w:val="clear" w:color="auto" w:fill="auto"/>
              <w:wordWrap/>
              <w:adjustRightInd/>
              <w:snapToGrid w:val="0"/>
              <w:spacing w:before="0" w:beforeAutospacing="0" w:after="0" w:afterAutospacing="0" w:line="300" w:lineRule="exact"/>
              <w:ind w:left="0" w:right="0" w:firstLine="420"/>
              <w:jc w:val="left"/>
              <w:textAlignment w:val="auto"/>
              <w:rPr>
                <w:rFonts w:hint="default" w:ascii="Times New Roman" w:hAnsi="Times New Roman" w:cs="Times New Roman"/>
                <w:color w:val="auto"/>
                <w:sz w:val="20"/>
                <w:szCs w:val="20"/>
              </w:rPr>
            </w:pPr>
            <w:r>
              <w:rPr>
                <w:rFonts w:hint="default" w:ascii="Times New Roman" w:hAnsi="Times New Roman" w:cs="Times New Roman"/>
                <w:b/>
                <w:bCs/>
                <w:color w:val="auto"/>
                <w:sz w:val="20"/>
                <w:szCs w:val="20"/>
              </w:rPr>
              <w:t xml:space="preserve">《河南省大气污染防治条例》第三十九条 </w:t>
            </w:r>
            <w:r>
              <w:rPr>
                <w:rFonts w:hint="default" w:ascii="Times New Roman" w:hAnsi="Times New Roman" w:cs="Times New Roman"/>
                <w:color w:val="auto"/>
                <w:sz w:val="20"/>
                <w:szCs w:val="20"/>
              </w:rPr>
              <w:t>向大气排放持久性有机污染物的企业事业单位和其他生产经营者以及废弃物焚烧设施运营单位，应当按照国家有关规定，采取有利于减少污染物排放的技术方法和工艺，配备有效的净化装置并保持正常运行，实现达标排放。</w:t>
            </w:r>
          </w:p>
        </w:tc>
      </w:tr>
      <w:tr>
        <w:trPr>
          <w:trHeight w:val="4570" w:hRule="atLeast"/>
          <w:jc w:val="center"/>
        </w:trPr>
        <w:tc>
          <w:tcPr>
            <w:tcW w:w="169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处罚依据</w:t>
            </w:r>
          </w:p>
        </w:tc>
        <w:tc>
          <w:tcPr>
            <w:tcW w:w="7363" w:type="dxa"/>
            <w:gridSpan w:val="2"/>
            <w:vAlign w:val="center"/>
          </w:tcPr>
          <w:p>
            <w:pPr>
              <w:shd w:val="clear" w:color="auto" w:fill="auto"/>
              <w:wordWrap/>
              <w:adjustRightInd/>
              <w:snapToGrid w:val="0"/>
              <w:spacing w:before="0" w:beforeAutospacing="0" w:after="0" w:afterAutospacing="0" w:line="300" w:lineRule="exact"/>
              <w:ind w:left="0" w:right="0" w:firstLine="420"/>
              <w:jc w:val="left"/>
              <w:textAlignment w:val="auto"/>
              <w:rPr>
                <w:rFonts w:hint="default" w:ascii="Times New Roman" w:hAnsi="Times New Roman" w:cs="Times New Roman"/>
                <w:color w:val="auto"/>
                <w:sz w:val="20"/>
                <w:szCs w:val="20"/>
              </w:rPr>
            </w:pPr>
            <w:r>
              <w:rPr>
                <w:rFonts w:hint="default" w:ascii="Times New Roman" w:hAnsi="Times New Roman" w:cs="Times New Roman"/>
                <w:b/>
                <w:bCs/>
                <w:color w:val="auto"/>
                <w:sz w:val="20"/>
                <w:szCs w:val="20"/>
              </w:rPr>
              <w:t xml:space="preserve">《中华人民共和国大气污染防治法》第一百一十七条第（七）项 </w:t>
            </w:r>
            <w:r>
              <w:rPr>
                <w:rFonts w:hint="default" w:ascii="Times New Roman" w:hAnsi="Times New Roman" w:cs="Times New Roman"/>
                <w:color w:val="auto"/>
                <w:sz w:val="20"/>
                <w:szCs w:val="20"/>
              </w:rPr>
              <w:t>违反本法规定，有下列行为之一的，由县级以上人民政府生态环境等主管部门按照职责责令改正，处一万元以上十万元以下的罚款；拒不改正的，责令停工整治或者停业整治：</w:t>
            </w:r>
          </w:p>
          <w:p>
            <w:pPr>
              <w:shd w:val="clear" w:color="auto" w:fill="auto"/>
              <w:wordWrap/>
              <w:adjustRightInd/>
              <w:snapToGrid w:val="0"/>
              <w:spacing w:before="0" w:beforeAutospacing="0" w:after="0" w:afterAutospacing="0" w:line="300" w:lineRule="exact"/>
              <w:ind w:left="0" w:right="0" w:firstLine="420"/>
              <w:jc w:val="left"/>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（七）向大气排放持久性有机污染物的企业事业单位和其他生产经营者以及废弃物焚烧设施的运营单位，未按照国家有关规定采取有利于减少持久性有机污染物排放的技术方法和工艺，配备净化装置的。</w:t>
            </w:r>
          </w:p>
          <w:p>
            <w:pPr>
              <w:pStyle w:val="18"/>
              <w:shd w:val="clear" w:color="auto" w:fill="auto"/>
              <w:wordWrap/>
              <w:adjustRightInd/>
              <w:snapToGrid w:val="0"/>
              <w:spacing w:before="0" w:beforeAutospacing="0" w:after="0" w:afterAutospacing="0" w:line="300" w:lineRule="exact"/>
              <w:ind w:left="0" w:right="0" w:firstLine="360"/>
              <w:jc w:val="left"/>
              <w:textAlignment w:val="auto"/>
              <w:rPr>
                <w:rFonts w:hint="default" w:ascii="Times New Roman" w:hAnsi="Times New Roman" w:cs="Times New Roman"/>
                <w:color w:val="auto"/>
                <w:kern w:val="2"/>
                <w:sz w:val="21"/>
                <w:szCs w:val="21"/>
              </w:rPr>
            </w:pPr>
            <w:r>
              <w:rPr>
                <w:rFonts w:hint="default" w:ascii="Times New Roman" w:hAnsi="Times New Roman" w:cs="Times New Roman"/>
                <w:b/>
                <w:bCs/>
                <w:color w:val="auto"/>
                <w:kern w:val="2"/>
                <w:sz w:val="21"/>
                <w:szCs w:val="21"/>
              </w:rPr>
              <w:t xml:space="preserve">《河南省大气污染防治条例》第七十三条第（三）项 </w:t>
            </w:r>
            <w:r>
              <w:rPr>
                <w:rFonts w:hint="default" w:ascii="Times New Roman" w:hAnsi="Times New Roman" w:cs="Times New Roman"/>
                <w:color w:val="auto"/>
                <w:kern w:val="2"/>
                <w:sz w:val="21"/>
                <w:szCs w:val="21"/>
              </w:rPr>
              <w:t>有下列行为之一的，由县级以上人民政府环境保护主管部门或者其他负有监督管理职责的部门责令改正，处二万元以上十万元以下罚款；拒不改正的，责令停工整治或者停业整治：</w:t>
            </w:r>
          </w:p>
          <w:p>
            <w:pPr>
              <w:shd w:val="clear" w:color="auto" w:fill="auto"/>
              <w:wordWrap/>
              <w:adjustRightInd/>
              <w:snapToGrid w:val="0"/>
              <w:spacing w:before="0" w:beforeAutospacing="0" w:after="0" w:afterAutospacing="0" w:line="300" w:lineRule="exact"/>
              <w:ind w:left="0" w:right="0" w:firstLine="420" w:firstLineChars="200"/>
              <w:jc w:val="left"/>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三）违反本条例第三十九条规定，向大气排放持久性有机污染物的企业事业单位和其他生产经营者以及废弃物焚烧设施运营单位，未按照规定采取有利于减少污染物排放的技术方法和工艺，配备净化装置并保持正常运行的。</w:t>
            </w:r>
          </w:p>
        </w:tc>
      </w:tr>
      <w:tr>
        <w:trPr>
          <w:trHeight w:val="369" w:hRule="atLeast"/>
          <w:jc w:val="center"/>
        </w:trPr>
        <w:tc>
          <w:tcPr>
            <w:tcW w:w="169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裁量因素</w:t>
            </w:r>
          </w:p>
        </w:tc>
        <w:tc>
          <w:tcPr>
            <w:tcW w:w="477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rPr>
            </w:pPr>
            <w:r>
              <w:rPr>
                <w:rFonts w:hint="default" w:ascii="Times New Roman" w:hAnsi="Times New Roman" w:cs="Times New Roman"/>
                <w:b/>
                <w:bCs/>
                <w:color w:val="auto"/>
                <w:sz w:val="20"/>
                <w:szCs w:val="20"/>
              </w:rPr>
              <w:t>判定标准</w:t>
            </w:r>
          </w:p>
        </w:tc>
        <w:tc>
          <w:tcPr>
            <w:tcW w:w="259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rPr>
            </w:pPr>
            <w:r>
              <w:rPr>
                <w:rFonts w:hint="default" w:ascii="Times New Roman" w:hAnsi="Times New Roman" w:cs="Times New Roman"/>
                <w:b/>
                <w:bCs/>
                <w:color w:val="auto"/>
                <w:sz w:val="20"/>
                <w:szCs w:val="20"/>
              </w:rPr>
              <w:t>裁量等级</w:t>
            </w:r>
          </w:p>
        </w:tc>
      </w:tr>
      <w:tr>
        <w:trPr>
          <w:trHeight w:val="369" w:hRule="atLeast"/>
          <w:jc w:val="center"/>
        </w:trPr>
        <w:tc>
          <w:tcPr>
            <w:tcW w:w="1697"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★违法事实</w:t>
            </w:r>
          </w:p>
        </w:tc>
        <w:tc>
          <w:tcPr>
            <w:tcW w:w="4770" w:type="dxa"/>
            <w:vAlign w:val="top"/>
          </w:tcPr>
          <w:p>
            <w:pPr>
              <w:shd w:val="clear" w:color="auto" w:fill="auto"/>
              <w:wordWrap/>
              <w:adjustRightInd/>
              <w:spacing w:before="0" w:beforeAutospacing="0" w:after="0" w:afterAutospacing="0" w:line="300" w:lineRule="exact"/>
              <w:ind w:left="0" w:right="0"/>
              <w:jc w:val="center"/>
              <w:textAlignment w:val="auto"/>
              <w:rPr>
                <w:rFonts w:hint="default" w:ascii="宋体" w:hAnsi="Calibri" w:eastAsia="宋体" w:cs="宋体"/>
                <w:color w:val="auto"/>
                <w:kern w:val="2"/>
                <w:sz w:val="21"/>
                <w:szCs w:val="21"/>
                <w:lang w:val="en-US" w:eastAsia="zh-CN" w:bidi="ar-SA"/>
              </w:rPr>
            </w:pPr>
            <w:r>
              <w:rPr>
                <w:rFonts w:hint="default" w:ascii="Times New Roman" w:hAnsi="Times New Roman" w:cs="Times New Roman"/>
                <w:color w:val="auto"/>
                <w:sz w:val="20"/>
                <w:szCs w:val="20"/>
              </w:rPr>
              <w:t>采取了有利于减少污染物排放的技术方法和工艺</w:t>
            </w:r>
            <w:r>
              <w:rPr>
                <w:rFonts w:hint="default" w:ascii="Times New Roman" w:hAnsi="Times New Roman" w:cs="Times New Roman"/>
                <w:color w:val="auto"/>
                <w:sz w:val="20"/>
                <w:szCs w:val="20"/>
                <w:lang w:val="en-US" w:eastAsia="zh-CN"/>
              </w:rPr>
              <w:t>，但</w:t>
            </w:r>
            <w:r>
              <w:rPr>
                <w:rFonts w:hint="default" w:ascii="宋体" w:hAnsi="Times New Roman" w:cs="宋体"/>
                <w:color w:val="auto"/>
                <w:sz w:val="20"/>
                <w:szCs w:val="21"/>
                <w:lang w:eastAsia="zh-CN"/>
              </w:rPr>
              <w:t>配套的净化装置不符合国家规定</w:t>
            </w:r>
          </w:p>
        </w:tc>
        <w:tc>
          <w:tcPr>
            <w:tcW w:w="2593" w:type="dxa"/>
            <w:vAlign w:val="top"/>
          </w:tcPr>
          <w:p>
            <w:pPr>
              <w:shd w:val="clear" w:color="auto" w:fill="auto"/>
              <w:wordWrap/>
              <w:adjustRightInd/>
              <w:spacing w:before="0" w:beforeAutospacing="0" w:after="0" w:afterAutospacing="0" w:line="300" w:lineRule="exact"/>
              <w:ind w:left="0" w:right="0"/>
              <w:jc w:val="center"/>
              <w:textAlignment w:val="auto"/>
              <w:rPr>
                <w:rFonts w:hint="default" w:ascii="宋体" w:hAnsi="Calibri" w:eastAsia="宋体" w:cs="宋体"/>
                <w:color w:val="auto"/>
                <w:kern w:val="2"/>
                <w:sz w:val="21"/>
                <w:szCs w:val="21"/>
                <w:lang w:val="en-US" w:eastAsia="zh-CN" w:bidi="ar-SA"/>
              </w:rPr>
            </w:pPr>
            <w:r>
              <w:rPr>
                <w:rFonts w:hint="default" w:ascii="宋体" w:hAnsi="Times New Roman" w:cs="宋体"/>
                <w:color w:val="auto"/>
                <w:sz w:val="20"/>
                <w:szCs w:val="21"/>
              </w:rPr>
              <w:t>1</w:t>
            </w:r>
          </w:p>
        </w:tc>
      </w:tr>
      <w:tr>
        <w:trPr>
          <w:trHeight w:val="369" w:hRule="atLeast"/>
          <w:jc w:val="center"/>
        </w:trPr>
        <w:tc>
          <w:tcPr>
            <w:tcW w:w="1697"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rPr>
            </w:pPr>
          </w:p>
        </w:tc>
        <w:tc>
          <w:tcPr>
            <w:tcW w:w="4770" w:type="dxa"/>
            <w:vAlign w:val="top"/>
          </w:tcPr>
          <w:p>
            <w:pPr>
              <w:shd w:val="clear" w:color="auto" w:fill="auto"/>
              <w:wordWrap/>
              <w:adjustRightInd/>
              <w:spacing w:before="0" w:beforeAutospacing="0" w:after="0" w:afterAutospacing="0" w:line="300" w:lineRule="exact"/>
              <w:ind w:left="0" w:right="0"/>
              <w:jc w:val="center"/>
              <w:textAlignment w:val="auto"/>
              <w:rPr>
                <w:rFonts w:hint="default" w:ascii="宋体" w:hAnsi="Times New Roman" w:cs="宋体"/>
                <w:color w:val="auto"/>
                <w:sz w:val="20"/>
                <w:szCs w:val="21"/>
                <w:lang w:eastAsia="zh-CN"/>
              </w:rPr>
            </w:pPr>
            <w:r>
              <w:rPr>
                <w:rFonts w:hint="default" w:ascii="Times New Roman" w:hAnsi="Times New Roman" w:cs="Times New Roman"/>
                <w:color w:val="auto"/>
                <w:sz w:val="20"/>
                <w:szCs w:val="20"/>
              </w:rPr>
              <w:t>采取了有利于减少污染物排放的技术方法和工艺或者配备了净化装置</w:t>
            </w:r>
            <w:r>
              <w:rPr>
                <w:rFonts w:hint="default" w:ascii="Times New Roman" w:hAnsi="Times New Roman" w:cs="Times New Roman"/>
                <w:color w:val="auto"/>
                <w:sz w:val="20"/>
                <w:szCs w:val="20"/>
                <w:lang w:eastAsia="zh-CN"/>
              </w:rPr>
              <w:t>，</w:t>
            </w:r>
            <w:r>
              <w:rPr>
                <w:rFonts w:hint="default" w:ascii="Times New Roman" w:hAnsi="Times New Roman" w:cs="Times New Roman"/>
                <w:color w:val="auto"/>
                <w:sz w:val="20"/>
                <w:szCs w:val="20"/>
              </w:rPr>
              <w:t>但未规范运行的</w:t>
            </w:r>
          </w:p>
        </w:tc>
        <w:tc>
          <w:tcPr>
            <w:tcW w:w="2593" w:type="dxa"/>
            <w:vAlign w:val="top"/>
          </w:tcPr>
          <w:p>
            <w:pPr>
              <w:shd w:val="clear" w:color="auto" w:fill="auto"/>
              <w:wordWrap/>
              <w:adjustRightInd/>
              <w:spacing w:before="0" w:beforeAutospacing="0" w:after="0" w:afterAutospacing="0" w:line="300" w:lineRule="exact"/>
              <w:ind w:left="0" w:right="0"/>
              <w:jc w:val="center"/>
              <w:textAlignment w:val="auto"/>
              <w:rPr>
                <w:rFonts w:hint="default" w:ascii="宋体" w:hAnsi="Times New Roman" w:cs="宋体"/>
                <w:color w:val="auto"/>
                <w:sz w:val="20"/>
                <w:szCs w:val="21"/>
                <w:lang w:val="en-US" w:eastAsia="zh-CN"/>
              </w:rPr>
            </w:pPr>
            <w:r>
              <w:rPr>
                <w:rFonts w:hint="default" w:ascii="宋体" w:hAnsi="Times New Roman" w:cs="宋体"/>
                <w:color w:val="auto"/>
                <w:sz w:val="20"/>
                <w:szCs w:val="21"/>
                <w:lang w:val="en-US" w:eastAsia="zh-CN"/>
              </w:rPr>
              <w:t>2</w:t>
            </w:r>
          </w:p>
        </w:tc>
      </w:tr>
      <w:tr>
        <w:trPr>
          <w:trHeight w:val="369" w:hRule="atLeast"/>
          <w:jc w:val="center"/>
        </w:trPr>
        <w:tc>
          <w:tcPr>
            <w:tcW w:w="1697"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rPr>
            </w:pPr>
          </w:p>
        </w:tc>
        <w:tc>
          <w:tcPr>
            <w:tcW w:w="4770" w:type="dxa"/>
            <w:vAlign w:val="top"/>
          </w:tcPr>
          <w:p>
            <w:pPr>
              <w:shd w:val="clear" w:color="auto" w:fill="auto"/>
              <w:wordWrap/>
              <w:adjustRightInd/>
              <w:spacing w:before="0" w:beforeAutospacing="0" w:after="0" w:afterAutospacing="0" w:line="300" w:lineRule="exact"/>
              <w:ind w:left="0" w:right="0"/>
              <w:jc w:val="center"/>
              <w:textAlignment w:val="auto"/>
              <w:rPr>
                <w:rFonts w:hint="default" w:ascii="宋体" w:hAnsi="Calibri" w:eastAsia="宋体" w:cs="宋体"/>
                <w:color w:val="auto"/>
                <w:kern w:val="2"/>
                <w:sz w:val="21"/>
                <w:szCs w:val="21"/>
                <w:lang w:val="en-US" w:eastAsia="zh-CN" w:bidi="ar-SA"/>
              </w:rPr>
            </w:pPr>
            <w:r>
              <w:rPr>
                <w:rFonts w:hint="default" w:ascii="Times New Roman" w:hAnsi="Times New Roman" w:cs="Times New Roman"/>
                <w:color w:val="auto"/>
                <w:sz w:val="20"/>
                <w:szCs w:val="20"/>
                <w:lang w:eastAsia="zh-CN"/>
              </w:rPr>
              <w:t>采</w:t>
            </w:r>
            <w:r>
              <w:rPr>
                <w:rFonts w:hint="default" w:ascii="Times New Roman" w:hAnsi="Times New Roman" w:cs="Times New Roman"/>
                <w:color w:val="auto"/>
                <w:sz w:val="20"/>
                <w:szCs w:val="20"/>
              </w:rPr>
              <w:t>取了有利于减少污染物排放的技术方法和工艺或者配备了净化装置</w:t>
            </w:r>
            <w:r>
              <w:rPr>
                <w:rFonts w:hint="default" w:ascii="宋体" w:hAnsi="Times New Roman" w:cs="宋体"/>
                <w:color w:val="auto"/>
                <w:sz w:val="20"/>
                <w:szCs w:val="21"/>
                <w:lang w:eastAsia="zh-CN"/>
              </w:rPr>
              <w:t>但未正常运行</w:t>
            </w:r>
          </w:p>
        </w:tc>
        <w:tc>
          <w:tcPr>
            <w:tcW w:w="2593" w:type="dxa"/>
            <w:vAlign w:val="top"/>
          </w:tcPr>
          <w:p>
            <w:pPr>
              <w:shd w:val="clear" w:color="auto" w:fill="auto"/>
              <w:wordWrap/>
              <w:adjustRightInd/>
              <w:spacing w:before="0" w:beforeAutospacing="0" w:after="0" w:afterAutospacing="0" w:line="300" w:lineRule="exact"/>
              <w:ind w:left="0" w:right="0"/>
              <w:jc w:val="center"/>
              <w:textAlignment w:val="auto"/>
              <w:rPr>
                <w:rFonts w:hint="default" w:ascii="宋体" w:hAnsi="Calibri" w:eastAsia="宋体" w:cs="宋体"/>
                <w:color w:val="auto"/>
                <w:kern w:val="2"/>
                <w:sz w:val="21"/>
                <w:szCs w:val="21"/>
                <w:lang w:val="en-US" w:eastAsia="zh-CN" w:bidi="ar-SA"/>
              </w:rPr>
            </w:pPr>
            <w:r>
              <w:rPr>
                <w:rFonts w:hint="default" w:ascii="宋体" w:hAnsi="Times New Roman" w:cs="宋体"/>
                <w:color w:val="auto"/>
                <w:sz w:val="20"/>
                <w:szCs w:val="21"/>
                <w:lang w:val="en-US" w:eastAsia="zh-CN"/>
              </w:rPr>
              <w:t>3</w:t>
            </w:r>
          </w:p>
        </w:tc>
      </w:tr>
      <w:tr>
        <w:trPr>
          <w:trHeight w:val="369" w:hRule="atLeast"/>
          <w:jc w:val="center"/>
        </w:trPr>
        <w:tc>
          <w:tcPr>
            <w:tcW w:w="1697"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rPr>
            </w:pPr>
          </w:p>
        </w:tc>
        <w:tc>
          <w:tcPr>
            <w:tcW w:w="4770" w:type="dxa"/>
            <w:vAlign w:val="top"/>
          </w:tcPr>
          <w:p>
            <w:pPr>
              <w:shd w:val="clear" w:color="auto" w:fill="auto"/>
              <w:wordWrap/>
              <w:adjustRightInd/>
              <w:spacing w:before="0" w:beforeAutospacing="0" w:after="0" w:afterAutospacing="0" w:line="300" w:lineRule="exact"/>
              <w:ind w:left="0" w:right="0"/>
              <w:jc w:val="center"/>
              <w:textAlignment w:val="auto"/>
              <w:rPr>
                <w:rFonts w:hint="default" w:ascii="宋体" w:hAnsi="Calibri" w:eastAsia="宋体" w:cs="宋体"/>
                <w:color w:val="auto"/>
                <w:kern w:val="2"/>
                <w:sz w:val="21"/>
                <w:szCs w:val="21"/>
                <w:lang w:val="en-US" w:eastAsia="zh-CN" w:bidi="ar-SA"/>
              </w:rPr>
            </w:pPr>
            <w:r>
              <w:rPr>
                <w:rFonts w:hint="default" w:ascii="Times New Roman" w:hAnsi="Times New Roman" w:cs="Times New Roman"/>
                <w:color w:val="auto"/>
                <w:sz w:val="20"/>
                <w:szCs w:val="20"/>
              </w:rPr>
              <w:t>没有采取有利于减少污染物排放的技术方法和工艺或者配备净化装置的</w:t>
            </w:r>
          </w:p>
        </w:tc>
        <w:tc>
          <w:tcPr>
            <w:tcW w:w="2593" w:type="dxa"/>
            <w:vAlign w:val="top"/>
          </w:tcPr>
          <w:p>
            <w:pPr>
              <w:shd w:val="clear" w:color="auto" w:fill="auto"/>
              <w:wordWrap/>
              <w:adjustRightInd/>
              <w:spacing w:before="0" w:beforeAutospacing="0" w:after="0" w:afterAutospacing="0" w:line="300" w:lineRule="exact"/>
              <w:ind w:left="0" w:right="0"/>
              <w:jc w:val="center"/>
              <w:textAlignment w:val="auto"/>
              <w:rPr>
                <w:rFonts w:hint="default" w:ascii="宋体" w:hAnsi="Calibri" w:eastAsia="宋体" w:cs="宋体"/>
                <w:color w:val="auto"/>
                <w:kern w:val="2"/>
                <w:sz w:val="21"/>
                <w:szCs w:val="21"/>
                <w:lang w:val="en-US" w:eastAsia="zh-CN" w:bidi="ar-SA"/>
              </w:rPr>
            </w:pPr>
            <w:r>
              <w:rPr>
                <w:rFonts w:hint="default" w:ascii="宋体" w:hAnsi="Times New Roman" w:cs="宋体"/>
                <w:color w:val="auto"/>
                <w:sz w:val="20"/>
                <w:szCs w:val="21"/>
              </w:rPr>
              <w:t>5</w:t>
            </w:r>
          </w:p>
        </w:tc>
      </w:tr>
      <w:tr>
        <w:trPr>
          <w:trHeight w:val="369" w:hRule="atLeast"/>
          <w:jc w:val="center"/>
        </w:trPr>
        <w:tc>
          <w:tcPr>
            <w:tcW w:w="1697"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项目建设</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地点</w:t>
            </w:r>
          </w:p>
        </w:tc>
        <w:tc>
          <w:tcPr>
            <w:tcW w:w="4770"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shd w:val="clear" w:color="auto" w:fill="auto"/>
              </w:rPr>
              <w:t>符合环境功能区划</w:t>
            </w:r>
          </w:p>
        </w:tc>
        <w:tc>
          <w:tcPr>
            <w:tcW w:w="2593"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宋体" w:hAnsi="Times New Roman" w:cs="宋体"/>
                <w:color w:val="auto"/>
                <w:sz w:val="20"/>
                <w:szCs w:val="21"/>
              </w:rPr>
            </w:pPr>
            <w:r>
              <w:rPr>
                <w:rFonts w:hint="eastAsia" w:ascii="Times New Roman" w:hAnsi="Times New Roman" w:cs="Times New Roman"/>
                <w:color w:val="auto"/>
                <w:sz w:val="20"/>
                <w:szCs w:val="20"/>
                <w:shd w:val="clear" w:color="auto" w:fill="auto"/>
                <w:lang w:val="en-US" w:eastAsia="zh-CN"/>
              </w:rPr>
              <w:t>1</w:t>
            </w:r>
          </w:p>
        </w:tc>
      </w:tr>
      <w:tr>
        <w:trPr>
          <w:trHeight w:val="369" w:hRule="atLeast"/>
          <w:jc w:val="center"/>
        </w:trPr>
        <w:tc>
          <w:tcPr>
            <w:tcW w:w="1697"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rPr>
            </w:pPr>
          </w:p>
        </w:tc>
        <w:tc>
          <w:tcPr>
            <w:tcW w:w="4770"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shd w:val="clear" w:color="auto" w:fill="auto"/>
              </w:rPr>
              <w:t>不符合环境功能区划，但位于居住区、商业交通居民混合区、文化区、工业区和农村地区</w:t>
            </w:r>
          </w:p>
        </w:tc>
        <w:tc>
          <w:tcPr>
            <w:tcW w:w="2593"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宋体" w:hAnsi="Times New Roman" w:cs="宋体"/>
                <w:color w:val="auto"/>
                <w:sz w:val="20"/>
                <w:szCs w:val="21"/>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697"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rPr>
            </w:pPr>
          </w:p>
        </w:tc>
        <w:tc>
          <w:tcPr>
            <w:tcW w:w="4770"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shd w:val="clear" w:color="auto" w:fill="auto"/>
              </w:rPr>
              <w:t>不符合环境功能区划，但位于自然保护区、风景名胜区和其他需要特殊保护的区域</w:t>
            </w:r>
          </w:p>
        </w:tc>
        <w:tc>
          <w:tcPr>
            <w:tcW w:w="2593"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69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企业规模</w:t>
            </w:r>
          </w:p>
        </w:tc>
        <w:tc>
          <w:tcPr>
            <w:tcW w:w="477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微型企业</w:t>
            </w:r>
          </w:p>
        </w:tc>
        <w:tc>
          <w:tcPr>
            <w:tcW w:w="25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1</w:t>
            </w:r>
          </w:p>
        </w:tc>
      </w:tr>
      <w:tr>
        <w:trPr>
          <w:trHeight w:val="397" w:hRule="atLeast"/>
          <w:jc w:val="center"/>
        </w:trPr>
        <w:tc>
          <w:tcPr>
            <w:tcW w:w="169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477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小型企业</w:t>
            </w:r>
          </w:p>
        </w:tc>
        <w:tc>
          <w:tcPr>
            <w:tcW w:w="25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2</w:t>
            </w:r>
          </w:p>
        </w:tc>
      </w:tr>
      <w:tr>
        <w:trPr>
          <w:trHeight w:val="397" w:hRule="atLeast"/>
          <w:jc w:val="center"/>
        </w:trPr>
        <w:tc>
          <w:tcPr>
            <w:tcW w:w="169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477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中型企业</w:t>
            </w:r>
          </w:p>
        </w:tc>
        <w:tc>
          <w:tcPr>
            <w:tcW w:w="25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3</w:t>
            </w:r>
          </w:p>
        </w:tc>
      </w:tr>
      <w:tr>
        <w:trPr>
          <w:trHeight w:val="397" w:hRule="atLeast"/>
          <w:jc w:val="center"/>
        </w:trPr>
        <w:tc>
          <w:tcPr>
            <w:tcW w:w="169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477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大型企业</w:t>
            </w:r>
          </w:p>
        </w:tc>
        <w:tc>
          <w:tcPr>
            <w:tcW w:w="25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sz w:val="20"/>
                <w:szCs w:val="20"/>
                <w:lang w:val="en-US" w:eastAsia="zh-CN"/>
              </w:rPr>
              <w:t>4</w:t>
            </w:r>
          </w:p>
        </w:tc>
      </w:tr>
      <w:tr>
        <w:trPr>
          <w:trHeight w:val="397" w:hRule="atLeast"/>
          <w:jc w:val="center"/>
        </w:trPr>
        <w:tc>
          <w:tcPr>
            <w:tcW w:w="169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lang w:val="en-US"/>
              </w:rPr>
            </w:pPr>
            <w:r>
              <w:rPr>
                <w:rFonts w:hint="default" w:ascii="Times New Roman" w:hAnsi="Times New Roman" w:cs="Times New Roman"/>
                <w:b/>
                <w:bCs/>
                <w:color w:val="auto"/>
                <w:sz w:val="20"/>
                <w:szCs w:val="20"/>
                <w:lang w:val="en-US"/>
              </w:rPr>
              <w:t>管理类别</w:t>
            </w:r>
          </w:p>
        </w:tc>
        <w:tc>
          <w:tcPr>
            <w:tcW w:w="477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5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69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77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5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69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77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5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697"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发生时期</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环境敏感度</w:t>
            </w:r>
          </w:p>
        </w:tc>
        <w:tc>
          <w:tcPr>
            <w:tcW w:w="477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一般期间</w:t>
            </w:r>
          </w:p>
        </w:tc>
        <w:tc>
          <w:tcPr>
            <w:tcW w:w="259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jc w:val="center"/>
        </w:trPr>
        <w:tc>
          <w:tcPr>
            <w:tcW w:w="169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477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重污染天气黄色预警期间</w:t>
            </w:r>
          </w:p>
        </w:tc>
        <w:tc>
          <w:tcPr>
            <w:tcW w:w="259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jc w:val="center"/>
        </w:trPr>
        <w:tc>
          <w:tcPr>
            <w:tcW w:w="169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477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重污染天气橙色预警期间</w:t>
            </w:r>
          </w:p>
        </w:tc>
        <w:tc>
          <w:tcPr>
            <w:tcW w:w="259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jc w:val="center"/>
        </w:trPr>
        <w:tc>
          <w:tcPr>
            <w:tcW w:w="169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477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重污染天气红色预警期间</w:t>
            </w:r>
          </w:p>
        </w:tc>
        <w:tc>
          <w:tcPr>
            <w:tcW w:w="259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jc w:val="center"/>
        </w:trPr>
        <w:tc>
          <w:tcPr>
            <w:tcW w:w="169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477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特殊或重大活动期间</w:t>
            </w:r>
          </w:p>
        </w:tc>
        <w:tc>
          <w:tcPr>
            <w:tcW w:w="259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697"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改正时间</w:t>
            </w:r>
          </w:p>
        </w:tc>
        <w:tc>
          <w:tcPr>
            <w:tcW w:w="477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kern w:val="2"/>
                <w:sz w:val="21"/>
                <w:szCs w:val="21"/>
                <w:shd w:val="clear" w:color="auto" w:fill="auto"/>
                <w:lang w:eastAsia="zh-CN"/>
              </w:rPr>
              <w:t>限期改正</w:t>
            </w:r>
          </w:p>
        </w:tc>
        <w:tc>
          <w:tcPr>
            <w:tcW w:w="25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69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477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5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69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477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5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69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477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7天以上</w:t>
            </w:r>
          </w:p>
        </w:tc>
        <w:tc>
          <w:tcPr>
            <w:tcW w:w="25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697" w:type="dxa"/>
            <w:vMerge w:val="restart"/>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受处罚次数</w:t>
            </w:r>
          </w:p>
        </w:tc>
        <w:tc>
          <w:tcPr>
            <w:tcW w:w="477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两年内未受到过同类处罚</w:t>
            </w:r>
          </w:p>
        </w:tc>
        <w:tc>
          <w:tcPr>
            <w:tcW w:w="259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jc w:val="center"/>
        </w:trPr>
        <w:tc>
          <w:tcPr>
            <w:tcW w:w="169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477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两年内受到同类处罚1次</w:t>
            </w:r>
          </w:p>
        </w:tc>
        <w:tc>
          <w:tcPr>
            <w:tcW w:w="259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jc w:val="center"/>
        </w:trPr>
        <w:tc>
          <w:tcPr>
            <w:tcW w:w="169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477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两年内受到同类处罚2次以上</w:t>
            </w:r>
          </w:p>
        </w:tc>
        <w:tc>
          <w:tcPr>
            <w:tcW w:w="259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69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477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5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69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77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69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77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5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69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77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5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69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363"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5211"/>
        <w:gridCol w:w="2452"/>
      </w:tblGrid>
      <w:tr>
        <w:trPr>
          <w:trHeight w:val="425" w:hRule="atLeast"/>
          <w:jc w:val="center"/>
        </w:trPr>
        <w:tc>
          <w:tcPr>
            <w:tcW w:w="9009" w:type="dxa"/>
            <w:gridSpan w:val="3"/>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425" w:hRule="atLeast"/>
          <w:jc w:val="center"/>
        </w:trPr>
        <w:tc>
          <w:tcPr>
            <w:tcW w:w="13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63" w:type="dxa"/>
            <w:gridSpan w:val="2"/>
            <w:vAlign w:val="center"/>
          </w:tcPr>
          <w:p>
            <w:pPr>
              <w:shd w:val="clear" w:color="auto" w:fill="auto"/>
              <w:wordWrap/>
              <w:adjustRightInd/>
              <w:snapToGrid w:val="0"/>
              <w:spacing w:before="0" w:beforeAutospacing="0" w:after="0" w:afterAutospacing="0" w:line="300" w:lineRule="exact"/>
              <w:ind w:left="0" w:right="0"/>
              <w:jc w:val="center"/>
              <w:textAlignment w:val="auto"/>
              <w:outlineLvl w:val="9"/>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33</w:t>
            </w:r>
          </w:p>
        </w:tc>
      </w:tr>
      <w:tr>
        <w:trPr>
          <w:trHeight w:val="425" w:hRule="atLeast"/>
          <w:jc w:val="center"/>
        </w:trPr>
        <w:tc>
          <w:tcPr>
            <w:tcW w:w="13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63" w:type="dxa"/>
            <w:gridSpan w:val="2"/>
            <w:vAlign w:val="center"/>
          </w:tcPr>
          <w:p>
            <w:pPr>
              <w:pStyle w:val="18"/>
              <w:shd w:val="clear" w:color="auto" w:fill="auto"/>
              <w:wordWrap/>
              <w:adjustRightInd/>
              <w:snapToGrid w:val="0"/>
              <w:spacing w:before="0" w:beforeAutospacing="0" w:after="0" w:afterAutospacing="0" w:line="300" w:lineRule="exact"/>
              <w:ind w:left="0" w:right="0"/>
              <w:jc w:val="center"/>
              <w:textAlignment w:val="auto"/>
              <w:outlineLvl w:val="9"/>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未采取措施防止排放恶臭气体的</w:t>
            </w:r>
          </w:p>
        </w:tc>
      </w:tr>
      <w:tr>
        <w:trPr>
          <w:trHeight w:val="425" w:hRule="atLeast"/>
          <w:jc w:val="center"/>
        </w:trPr>
        <w:tc>
          <w:tcPr>
            <w:tcW w:w="13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63" w:type="dxa"/>
            <w:gridSpan w:val="2"/>
            <w:vAlign w:val="top"/>
          </w:tcPr>
          <w:p>
            <w:pPr>
              <w:pStyle w:val="19"/>
              <w:shd w:val="clear" w:color="auto" w:fill="auto"/>
              <w:wordWrap/>
              <w:adjustRightInd/>
              <w:snapToGrid w:val="0"/>
              <w:spacing w:before="0" w:beforeAutospacing="0" w:after="0" w:afterAutospacing="0" w:line="300" w:lineRule="exact"/>
              <w:ind w:left="0" w:right="0" w:firstLine="357"/>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color w:val="auto"/>
                <w:kern w:val="2"/>
                <w:sz w:val="21"/>
                <w:szCs w:val="21"/>
                <w:shd w:val="clear" w:color="auto" w:fill="auto"/>
              </w:rPr>
              <w:t>1．</w:t>
            </w:r>
            <w:r>
              <w:rPr>
                <w:rFonts w:hint="default" w:ascii="Times New Roman" w:hAnsi="Times New Roman" w:cs="Times New Roman"/>
                <w:b/>
                <w:bCs/>
                <w:color w:val="auto"/>
                <w:kern w:val="2"/>
                <w:sz w:val="21"/>
                <w:szCs w:val="21"/>
                <w:shd w:val="clear" w:color="auto" w:fill="auto"/>
              </w:rPr>
              <w:t>《中华人民共和国大气污染防治法》</w:t>
            </w:r>
            <w:r>
              <w:rPr>
                <w:rFonts w:hint="default" w:ascii="Times New Roman" w:hAnsi="Times New Roman" w:cs="Times New Roman"/>
                <w:b/>
                <w:color w:val="auto"/>
                <w:sz w:val="21"/>
                <w:szCs w:val="21"/>
                <w:shd w:val="clear" w:color="auto" w:fill="auto"/>
              </w:rPr>
              <w:t>第七十五条</w:t>
            </w:r>
            <w:r>
              <w:rPr>
                <w:rFonts w:hint="default" w:ascii="Times New Roman" w:hAnsi="Times New Roman" w:cs="Times New Roman"/>
                <w:color w:val="auto"/>
                <w:sz w:val="21"/>
                <w:szCs w:val="21"/>
                <w:shd w:val="clear" w:color="auto" w:fill="auto"/>
              </w:rPr>
              <w:t xml:space="preserve"> 畜禽养殖场、养殖小区应当及时对污水、畜禽粪便和尸体等进行收集、贮存、清运和无害化处理，防止排放恶臭气体。</w:t>
            </w:r>
          </w:p>
          <w:p>
            <w:pPr>
              <w:pStyle w:val="19"/>
              <w:shd w:val="clear" w:color="auto" w:fill="auto"/>
              <w:wordWrap/>
              <w:adjustRightInd/>
              <w:snapToGrid w:val="0"/>
              <w:spacing w:before="0" w:beforeAutospacing="0" w:after="0" w:afterAutospacing="0" w:line="300" w:lineRule="exact"/>
              <w:ind w:left="0" w:right="0" w:firstLine="357"/>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2.《中华人民共和国大气污染防治法》第八十条</w:t>
            </w:r>
            <w:r>
              <w:rPr>
                <w:rFonts w:hint="default" w:ascii="Times New Roman" w:hAnsi="Times New Roman" w:cs="Times New Roman"/>
                <w:color w:val="auto"/>
                <w:kern w:val="2"/>
                <w:sz w:val="21"/>
                <w:szCs w:val="21"/>
                <w:shd w:val="clear" w:color="auto" w:fill="auto"/>
              </w:rPr>
              <w:t xml:space="preserve"> 企业事业单位和其他生产经营者在生产经营活动中产生恶臭气体的，应当科学选址，设置合理的防护距离，并安装净化装置或者采取其他措施，防止排放恶臭气体。</w:t>
            </w:r>
          </w:p>
          <w:p>
            <w:pPr>
              <w:pStyle w:val="19"/>
              <w:shd w:val="clear" w:color="auto" w:fill="auto"/>
              <w:wordWrap/>
              <w:adjustRightInd/>
              <w:snapToGrid w:val="0"/>
              <w:spacing w:before="0" w:beforeAutospacing="0" w:after="0" w:afterAutospacing="0" w:line="300" w:lineRule="exact"/>
              <w:ind w:left="0" w:right="0" w:firstLine="357"/>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 xml:space="preserve">3.《河南省大气污染防治条例》第三十八条第一款 </w:t>
            </w:r>
            <w:r>
              <w:rPr>
                <w:rFonts w:hint="default" w:ascii="Times New Roman" w:hAnsi="Times New Roman" w:cs="Times New Roman"/>
                <w:color w:val="auto"/>
                <w:kern w:val="2"/>
                <w:sz w:val="21"/>
                <w:szCs w:val="21"/>
                <w:shd w:val="clear" w:color="auto" w:fill="auto"/>
              </w:rPr>
              <w:t>向大气排放恶臭气体的排污单位以及垃圾处置场、污水处理厂，应当按照规定设置合理的防护距离，安装净化装置或者采取其他措施，有效防止恶臭气体排放。</w:t>
            </w:r>
          </w:p>
        </w:tc>
      </w:tr>
      <w:tr>
        <w:trPr>
          <w:trHeight w:val="425" w:hRule="atLeast"/>
          <w:jc w:val="center"/>
        </w:trPr>
        <w:tc>
          <w:tcPr>
            <w:tcW w:w="13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63" w:type="dxa"/>
            <w:gridSpan w:val="2"/>
            <w:vAlign w:val="top"/>
          </w:tcPr>
          <w:p>
            <w:pPr>
              <w:pStyle w:val="18"/>
              <w:shd w:val="clear" w:color="auto" w:fill="auto"/>
              <w:wordWrap/>
              <w:adjustRightInd/>
              <w:snapToGrid w:val="0"/>
              <w:spacing w:before="0" w:beforeAutospacing="0" w:after="0" w:afterAutospacing="0" w:line="300" w:lineRule="exact"/>
              <w:ind w:left="0" w:right="0" w:firstLine="357"/>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1.《中华人民共和国大气污染防治法》第一百一十七条第（八）项</w:t>
            </w:r>
            <w:r>
              <w:rPr>
                <w:rFonts w:hint="default" w:ascii="Times New Roman" w:hAnsi="Times New Roman" w:cs="Times New Roman"/>
                <w:color w:val="auto"/>
                <w:kern w:val="2"/>
                <w:sz w:val="21"/>
                <w:szCs w:val="21"/>
                <w:shd w:val="clear" w:color="auto" w:fill="auto"/>
              </w:rPr>
              <w:t xml:space="preserve"> 违反本法规定，有下列行为之一的，由县级以上人民政府生态环境等主管部门按照职责责令改正，处一万元以上十万元以下的罚款；拒不改正的，责令停工整治或者停业整治：</w:t>
            </w:r>
          </w:p>
          <w:p>
            <w:pPr>
              <w:pStyle w:val="18"/>
              <w:shd w:val="clear" w:color="auto" w:fill="auto"/>
              <w:wordWrap/>
              <w:adjustRightInd/>
              <w:snapToGrid w:val="0"/>
              <w:spacing w:before="0" w:beforeAutospacing="0" w:after="0" w:afterAutospacing="0" w:line="300" w:lineRule="exact"/>
              <w:ind w:left="0" w:right="0" w:firstLine="36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rPr>
              <w:t>（八）未采取措施防止排放恶臭气体的。</w:t>
            </w:r>
          </w:p>
          <w:p>
            <w:pPr>
              <w:pStyle w:val="18"/>
              <w:shd w:val="clear" w:color="auto" w:fill="auto"/>
              <w:wordWrap/>
              <w:adjustRightInd/>
              <w:snapToGrid w:val="0"/>
              <w:spacing w:before="0" w:beforeAutospacing="0" w:after="0" w:afterAutospacing="0" w:line="300" w:lineRule="exact"/>
              <w:ind w:left="0" w:right="0" w:firstLine="360"/>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 xml:space="preserve">2.《河南省大气污染防治条例》第七十三条第（一）项 </w:t>
            </w:r>
            <w:r>
              <w:rPr>
                <w:rFonts w:hint="default" w:ascii="Times New Roman" w:hAnsi="Times New Roman" w:cs="Times New Roman"/>
                <w:color w:val="auto"/>
                <w:kern w:val="2"/>
                <w:sz w:val="21"/>
                <w:szCs w:val="21"/>
                <w:shd w:val="clear" w:color="auto" w:fill="auto"/>
              </w:rPr>
              <w:t>有下列行为之一的，由县级以上人民政府环境保护主管部门或者其他负有监督管理职责的部门责令改正，处二万元以上十万元以下罚款；拒不改正的，责令停工整治或者停业整治：</w:t>
            </w:r>
          </w:p>
          <w:p>
            <w:pPr>
              <w:pStyle w:val="18"/>
              <w:shd w:val="clear" w:color="auto" w:fill="auto"/>
              <w:wordWrap/>
              <w:adjustRightInd/>
              <w:snapToGrid w:val="0"/>
              <w:spacing w:before="0" w:beforeAutospacing="0" w:after="0" w:afterAutospacing="0" w:line="300" w:lineRule="exact"/>
              <w:ind w:left="0" w:right="0" w:firstLine="360"/>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（一）违反本条例第三十八条第一款规定，向大气排放恶臭气体的排污单位以及垃圾处置场、污水处理厂，未按照规定设置合理防护距离，未安装净化装置或者采取其他措施有效防止恶臭气体排放的。</w:t>
            </w:r>
          </w:p>
        </w:tc>
      </w:tr>
      <w:tr>
        <w:trPr>
          <w:trHeight w:val="425" w:hRule="atLeast"/>
          <w:jc w:val="center"/>
        </w:trPr>
        <w:tc>
          <w:tcPr>
            <w:tcW w:w="13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211"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452"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jc w:val="center"/>
        </w:trPr>
        <w:tc>
          <w:tcPr>
            <w:tcW w:w="1346"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211"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rPr>
              <w:t>未规范</w:t>
            </w:r>
            <w:r>
              <w:rPr>
                <w:rFonts w:hint="default" w:ascii="Times New Roman" w:hAnsi="Times New Roman" w:cs="Times New Roman"/>
                <w:color w:val="auto"/>
                <w:sz w:val="20"/>
                <w:szCs w:val="20"/>
                <w:shd w:val="clear" w:color="auto" w:fill="auto"/>
                <w:lang w:eastAsia="zh-CN"/>
              </w:rPr>
              <w:t>采取部分</w:t>
            </w:r>
            <w:r>
              <w:rPr>
                <w:rFonts w:hint="default" w:ascii="Times New Roman" w:hAnsi="Times New Roman" w:cs="Times New Roman"/>
                <w:color w:val="auto"/>
                <w:sz w:val="20"/>
                <w:szCs w:val="20"/>
                <w:shd w:val="clear" w:color="auto" w:fill="auto"/>
              </w:rPr>
              <w:t>臭气污染防治措施</w:t>
            </w:r>
          </w:p>
        </w:tc>
        <w:tc>
          <w:tcPr>
            <w:tcW w:w="2452"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425" w:hRule="atLeast"/>
          <w:jc w:val="center"/>
        </w:trPr>
        <w:tc>
          <w:tcPr>
            <w:tcW w:w="134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211"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未采取臭气污染防治措施的</w:t>
            </w:r>
          </w:p>
        </w:tc>
        <w:tc>
          <w:tcPr>
            <w:tcW w:w="2452"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46"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地点</w:t>
            </w:r>
          </w:p>
        </w:tc>
        <w:tc>
          <w:tcPr>
            <w:tcW w:w="5211"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符合环境功能区划</w:t>
            </w:r>
          </w:p>
        </w:tc>
        <w:tc>
          <w:tcPr>
            <w:tcW w:w="2452"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425" w:hRule="atLeast"/>
          <w:jc w:val="center"/>
        </w:trPr>
        <w:tc>
          <w:tcPr>
            <w:tcW w:w="134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211"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不符合环境功能区划，但位于居住区、商业交通居民混合区、文化区、工业区和农村地区</w:t>
            </w:r>
          </w:p>
        </w:tc>
        <w:tc>
          <w:tcPr>
            <w:tcW w:w="2452"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jc w:val="center"/>
        </w:trPr>
        <w:tc>
          <w:tcPr>
            <w:tcW w:w="134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211"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不符合环境功能区划，但位于自然保护区、风景名胜区和其他需要特殊保护的区域</w:t>
            </w:r>
          </w:p>
        </w:tc>
        <w:tc>
          <w:tcPr>
            <w:tcW w:w="2452"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425" w:hRule="atLeast"/>
          <w:jc w:val="center"/>
        </w:trPr>
        <w:tc>
          <w:tcPr>
            <w:tcW w:w="1346"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211"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452"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4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211"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452"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jc w:val="center"/>
        </w:trPr>
        <w:tc>
          <w:tcPr>
            <w:tcW w:w="134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211"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452"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4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211"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452"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jc w:val="center"/>
        </w:trPr>
        <w:tc>
          <w:tcPr>
            <w:tcW w:w="1346"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211"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452"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425" w:hRule="atLeast"/>
          <w:jc w:val="center"/>
        </w:trPr>
        <w:tc>
          <w:tcPr>
            <w:tcW w:w="134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211"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452"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425" w:hRule="atLeast"/>
          <w:jc w:val="center"/>
        </w:trPr>
        <w:tc>
          <w:tcPr>
            <w:tcW w:w="134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211"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452"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346"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2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45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jc w:val="center"/>
        </w:trPr>
        <w:tc>
          <w:tcPr>
            <w:tcW w:w="134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45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jc w:val="center"/>
        </w:trPr>
        <w:tc>
          <w:tcPr>
            <w:tcW w:w="134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45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jc w:val="center"/>
        </w:trPr>
        <w:tc>
          <w:tcPr>
            <w:tcW w:w="134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45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jc w:val="center"/>
        </w:trPr>
        <w:tc>
          <w:tcPr>
            <w:tcW w:w="134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45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69" w:hRule="atLeast"/>
          <w:jc w:val="center"/>
        </w:trPr>
        <w:tc>
          <w:tcPr>
            <w:tcW w:w="1346"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val="en-US"/>
              </w:rPr>
              <w:t>改正时间</w:t>
            </w:r>
          </w:p>
        </w:tc>
        <w:tc>
          <w:tcPr>
            <w:tcW w:w="5211"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kern w:val="2"/>
                <w:sz w:val="21"/>
                <w:szCs w:val="21"/>
                <w:shd w:val="clear" w:color="auto" w:fill="auto"/>
                <w:lang w:eastAsia="zh-CN"/>
              </w:rPr>
              <w:t>限期改正</w:t>
            </w:r>
          </w:p>
        </w:tc>
        <w:tc>
          <w:tcPr>
            <w:tcW w:w="245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69" w:hRule="atLeast"/>
          <w:jc w:val="center"/>
        </w:trPr>
        <w:tc>
          <w:tcPr>
            <w:tcW w:w="134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2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45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34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2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45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69" w:hRule="atLeast"/>
          <w:jc w:val="center"/>
        </w:trPr>
        <w:tc>
          <w:tcPr>
            <w:tcW w:w="134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2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7天以上</w:t>
            </w:r>
          </w:p>
        </w:tc>
        <w:tc>
          <w:tcPr>
            <w:tcW w:w="245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69" w:hRule="atLeast"/>
          <w:jc w:val="center"/>
        </w:trPr>
        <w:tc>
          <w:tcPr>
            <w:tcW w:w="134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w:t>
            </w:r>
            <w:r>
              <w:rPr>
                <w:rFonts w:hint="default" w:ascii="Times New Roman" w:hAnsi="Times New Roman" w:cs="Times New Roman"/>
                <w:b/>
                <w:bCs/>
                <w:color w:val="auto"/>
                <w:sz w:val="20"/>
                <w:szCs w:val="20"/>
                <w:shd w:val="clear" w:color="auto" w:fill="auto"/>
              </w:rPr>
              <w:t>次数</w:t>
            </w:r>
          </w:p>
        </w:tc>
        <w:tc>
          <w:tcPr>
            <w:tcW w:w="52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45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4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245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4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245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4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2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45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4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45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34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45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34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45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63"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4366"/>
        <w:gridCol w:w="3243"/>
      </w:tblGrid>
      <w:tr>
        <w:trPr>
          <w:trHeight w:val="351" w:hRule="atLeast"/>
          <w:jc w:val="center"/>
        </w:trPr>
        <w:tc>
          <w:tcPr>
            <w:tcW w:w="9057"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51" w:hRule="atLeast"/>
          <w:jc w:val="center"/>
        </w:trPr>
        <w:tc>
          <w:tcPr>
            <w:tcW w:w="14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09"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34</w:t>
            </w:r>
          </w:p>
        </w:tc>
      </w:tr>
      <w:tr>
        <w:trPr>
          <w:trHeight w:val="351" w:hRule="atLeast"/>
          <w:jc w:val="center"/>
        </w:trPr>
        <w:tc>
          <w:tcPr>
            <w:tcW w:w="14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09"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造成大气污染事故的</w:t>
            </w:r>
          </w:p>
        </w:tc>
      </w:tr>
      <w:tr>
        <w:trPr>
          <w:trHeight w:val="351" w:hRule="atLeast"/>
          <w:jc w:val="center"/>
        </w:trPr>
        <w:tc>
          <w:tcPr>
            <w:tcW w:w="14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09" w:type="dxa"/>
            <w:gridSpan w:val="2"/>
            <w:vAlign w:val="top"/>
          </w:tcPr>
          <w:p>
            <w:pPr>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《中华人民共和国大气污染防治法》第一百二十二条 </w:t>
            </w:r>
            <w:r>
              <w:rPr>
                <w:rFonts w:hint="default" w:ascii="Times New Roman" w:hAnsi="Times New Roman" w:cs="Times New Roman"/>
                <w:color w:val="auto"/>
                <w:sz w:val="20"/>
                <w:szCs w:val="20"/>
                <w:shd w:val="clear" w:color="auto" w:fill="auto"/>
              </w:rPr>
              <w:t>违反本法规定，造成大气污染事故的，由县级以上人民政府生态环境主管部门依照本条第二款的规定处以罚款；对直接负责的主管人员和其他直接责任人员可以处上一年度从本企业事业单位取得收入百分之五十以下的罚款。</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对造成一般或者较大大气污染事故的，按照污染事故造成直接损失的一倍以上三倍以下计算罚款；对造成重大或者特大大气污染事故的，按照污染事故造成的直接损失的三倍以上五倍以下计算罚款。</w:t>
            </w:r>
          </w:p>
        </w:tc>
      </w:tr>
      <w:tr>
        <w:trPr>
          <w:trHeight w:val="351" w:hRule="atLeast"/>
          <w:jc w:val="center"/>
        </w:trPr>
        <w:tc>
          <w:tcPr>
            <w:tcW w:w="14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436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32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40" w:hRule="atLeast"/>
          <w:jc w:val="center"/>
        </w:trPr>
        <w:tc>
          <w:tcPr>
            <w:tcW w:w="14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★污染事故</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等级</w:t>
            </w:r>
          </w:p>
        </w:tc>
        <w:tc>
          <w:tcPr>
            <w:tcW w:w="436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一般突发环境事件(IV)及以下事件</w:t>
            </w:r>
          </w:p>
        </w:tc>
        <w:tc>
          <w:tcPr>
            <w:tcW w:w="32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40" w:hRule="atLeast"/>
          <w:jc w:val="center"/>
        </w:trPr>
        <w:tc>
          <w:tcPr>
            <w:tcW w:w="144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436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较大突发环境事件(III)</w:t>
            </w:r>
          </w:p>
        </w:tc>
        <w:tc>
          <w:tcPr>
            <w:tcW w:w="32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44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436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重大突发环境事件(II)</w:t>
            </w:r>
          </w:p>
        </w:tc>
        <w:tc>
          <w:tcPr>
            <w:tcW w:w="32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40" w:hRule="atLeast"/>
          <w:jc w:val="center"/>
        </w:trPr>
        <w:tc>
          <w:tcPr>
            <w:tcW w:w="144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436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特别重大突发环境事件(I)</w:t>
            </w:r>
          </w:p>
        </w:tc>
        <w:tc>
          <w:tcPr>
            <w:tcW w:w="32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4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对环境的</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影响程度</w:t>
            </w:r>
          </w:p>
        </w:tc>
        <w:tc>
          <w:tcPr>
            <w:tcW w:w="436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已造成环境污染，尚未扩散</w:t>
            </w:r>
          </w:p>
        </w:tc>
        <w:tc>
          <w:tcPr>
            <w:tcW w:w="32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4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36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已造成环境污染，并部分扩散</w:t>
            </w:r>
          </w:p>
        </w:tc>
        <w:tc>
          <w:tcPr>
            <w:tcW w:w="32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40" w:hRule="atLeast"/>
          <w:jc w:val="center"/>
        </w:trPr>
        <w:tc>
          <w:tcPr>
            <w:tcW w:w="14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36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已造成环境污染，并大面积扩散</w:t>
            </w:r>
          </w:p>
        </w:tc>
        <w:tc>
          <w:tcPr>
            <w:tcW w:w="32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4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436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32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4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36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32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40" w:hRule="atLeast"/>
          <w:jc w:val="center"/>
        </w:trPr>
        <w:tc>
          <w:tcPr>
            <w:tcW w:w="14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36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32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40" w:hRule="atLeast"/>
          <w:jc w:val="center"/>
        </w:trPr>
        <w:tc>
          <w:tcPr>
            <w:tcW w:w="14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366"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32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40" w:hRule="atLeast"/>
          <w:jc w:val="center"/>
        </w:trPr>
        <w:tc>
          <w:tcPr>
            <w:tcW w:w="14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管理类别</w:t>
            </w:r>
          </w:p>
        </w:tc>
        <w:tc>
          <w:tcPr>
            <w:tcW w:w="4366" w:type="dxa"/>
            <w:vAlign w:val="center"/>
          </w:tcPr>
          <w:p>
            <w:pPr>
              <w:shd w:val="clear" w:color="auto" w:fill="auto"/>
              <w:snapToGrid w:val="0"/>
              <w:spacing w:before="0" w:beforeAutospacing="0" w:after="0" w:afterAutospacing="0" w:line="300" w:lineRule="exact"/>
              <w:ind w:left="0" w:right="0" w:firstLine="0" w:firstLineChars="0"/>
              <w:jc w:val="center"/>
              <w:rPr>
                <w:rStyle w:val="14"/>
                <w:rFonts w:hint="default" w:ascii="Times New Roman" w:hAnsi="Times New Roman" w:eastAsia="宋体" w:cs="Times New Roman"/>
                <w:b w:val="0"/>
                <w:bCs w:val="0"/>
                <w:i w:val="0"/>
                <w:iCs w:val="0"/>
                <w:caps w:val="0"/>
                <w:color w:val="auto"/>
                <w:spacing w:val="0"/>
                <w:sz w:val="21"/>
                <w:szCs w:val="21"/>
                <w:shd w:val="clear" w:color="auto" w:fill="auto"/>
                <w:lang w:eastAsia="zh-CN"/>
              </w:rPr>
            </w:pPr>
            <w:r>
              <w:rPr>
                <w:rFonts w:hint="default" w:ascii="Times New Roman" w:hAnsi="Times New Roman" w:cs="Times New Roman"/>
                <w:color w:val="auto"/>
                <w:sz w:val="20"/>
                <w:szCs w:val="20"/>
                <w:shd w:val="clear" w:color="auto" w:fill="auto"/>
                <w:lang w:eastAsia="zh-CN"/>
              </w:rPr>
              <w:t>登记管理</w:t>
            </w:r>
          </w:p>
        </w:tc>
        <w:tc>
          <w:tcPr>
            <w:tcW w:w="32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40" w:hRule="atLeast"/>
          <w:jc w:val="center"/>
        </w:trPr>
        <w:tc>
          <w:tcPr>
            <w:tcW w:w="14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366" w:type="dxa"/>
            <w:vAlign w:val="center"/>
          </w:tcPr>
          <w:p>
            <w:pPr>
              <w:shd w:val="clear" w:color="auto" w:fill="auto"/>
              <w:snapToGrid w:val="0"/>
              <w:spacing w:before="0" w:beforeAutospacing="0" w:after="0" w:afterAutospacing="0" w:line="300" w:lineRule="exact"/>
              <w:ind w:left="0" w:right="0"/>
              <w:jc w:val="center"/>
              <w:rPr>
                <w:rStyle w:val="14"/>
                <w:rFonts w:hint="default" w:ascii="Times New Roman" w:hAnsi="Times New Roman" w:cs="Times New Roman"/>
                <w:b w:val="0"/>
                <w:bCs w:val="0"/>
                <w:i w:val="0"/>
                <w:iCs w:val="0"/>
                <w:caps w:val="0"/>
                <w:color w:val="auto"/>
                <w:spacing w:val="0"/>
                <w:sz w:val="21"/>
                <w:szCs w:val="21"/>
                <w:shd w:val="clear" w:color="auto" w:fill="auto"/>
                <w:lang w:eastAsia="zh-CN"/>
              </w:rPr>
            </w:pPr>
            <w:r>
              <w:rPr>
                <w:rFonts w:hint="default" w:ascii="Times New Roman" w:hAnsi="Times New Roman" w:cs="Times New Roman"/>
                <w:color w:val="auto"/>
                <w:sz w:val="20"/>
                <w:szCs w:val="20"/>
                <w:shd w:val="clear" w:color="auto" w:fill="auto"/>
                <w:lang w:eastAsia="zh-CN"/>
              </w:rPr>
              <w:t>简化管理</w:t>
            </w:r>
          </w:p>
        </w:tc>
        <w:tc>
          <w:tcPr>
            <w:tcW w:w="32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340" w:hRule="atLeast"/>
          <w:jc w:val="center"/>
        </w:trPr>
        <w:tc>
          <w:tcPr>
            <w:tcW w:w="14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366" w:type="dxa"/>
            <w:vAlign w:val="center"/>
          </w:tcPr>
          <w:p>
            <w:pPr>
              <w:shd w:val="clear" w:color="auto" w:fill="auto"/>
              <w:snapToGrid w:val="0"/>
              <w:spacing w:before="0" w:beforeAutospacing="0" w:after="0" w:afterAutospacing="0" w:line="300" w:lineRule="exact"/>
              <w:ind w:left="0" w:right="0" w:firstLine="0" w:firstLineChars="0"/>
              <w:jc w:val="center"/>
              <w:rPr>
                <w:rStyle w:val="14"/>
                <w:rFonts w:hint="default" w:ascii="Times New Roman" w:hAnsi="Times New Roman" w:eastAsia="宋体" w:cs="Times New Roman"/>
                <w:b w:val="0"/>
                <w:bCs w:val="0"/>
                <w:i w:val="0"/>
                <w:iCs w:val="0"/>
                <w:caps w:val="0"/>
                <w:color w:val="auto"/>
                <w:spacing w:val="0"/>
                <w:sz w:val="21"/>
                <w:szCs w:val="21"/>
                <w:shd w:val="clear" w:color="auto" w:fill="auto"/>
                <w:lang w:eastAsia="zh-CN"/>
              </w:rPr>
            </w:pPr>
            <w:r>
              <w:rPr>
                <w:rFonts w:hint="default" w:ascii="Times New Roman" w:hAnsi="Times New Roman" w:cs="Times New Roman"/>
                <w:color w:val="auto"/>
                <w:sz w:val="20"/>
                <w:szCs w:val="20"/>
                <w:shd w:val="clear" w:color="auto" w:fill="auto"/>
                <w:lang w:eastAsia="zh-CN"/>
              </w:rPr>
              <w:t>重点管理</w:t>
            </w:r>
          </w:p>
        </w:tc>
        <w:tc>
          <w:tcPr>
            <w:tcW w:w="32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40" w:hRule="atLeast"/>
          <w:jc w:val="center"/>
        </w:trPr>
        <w:tc>
          <w:tcPr>
            <w:tcW w:w="14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污染事故</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发生地点</w:t>
            </w:r>
          </w:p>
        </w:tc>
        <w:tc>
          <w:tcPr>
            <w:tcW w:w="436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位于居住区、商业交通居民混合区、文化区、工业区和农村地区</w:t>
            </w:r>
          </w:p>
        </w:tc>
        <w:tc>
          <w:tcPr>
            <w:tcW w:w="32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44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436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位于自然保护区、风景名胜区和其他需要特殊保护的区域</w:t>
            </w:r>
          </w:p>
        </w:tc>
        <w:tc>
          <w:tcPr>
            <w:tcW w:w="32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4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补救措施</w:t>
            </w:r>
          </w:p>
        </w:tc>
        <w:tc>
          <w:tcPr>
            <w:tcW w:w="436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积极采取补救措施；恢复原状，消除环境影响</w:t>
            </w:r>
          </w:p>
        </w:tc>
        <w:tc>
          <w:tcPr>
            <w:tcW w:w="32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44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436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采取补救措施，环境影响无法完全消除</w:t>
            </w:r>
          </w:p>
        </w:tc>
        <w:tc>
          <w:tcPr>
            <w:tcW w:w="32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44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436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未采取补救措施，环境影响持续恶化</w:t>
            </w:r>
          </w:p>
        </w:tc>
        <w:tc>
          <w:tcPr>
            <w:tcW w:w="32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4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区域影响</w:t>
            </w:r>
          </w:p>
        </w:tc>
        <w:tc>
          <w:tcPr>
            <w:tcW w:w="436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县级行政区域内</w:t>
            </w:r>
          </w:p>
        </w:tc>
        <w:tc>
          <w:tcPr>
            <w:tcW w:w="32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44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436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跨县级行政区域</w:t>
            </w:r>
          </w:p>
        </w:tc>
        <w:tc>
          <w:tcPr>
            <w:tcW w:w="32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44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436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跨市级行政区域</w:t>
            </w:r>
          </w:p>
        </w:tc>
        <w:tc>
          <w:tcPr>
            <w:tcW w:w="32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40" w:hRule="atLeast"/>
          <w:jc w:val="center"/>
        </w:trPr>
        <w:tc>
          <w:tcPr>
            <w:tcW w:w="144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436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跨省级行政区域</w:t>
            </w:r>
          </w:p>
        </w:tc>
        <w:tc>
          <w:tcPr>
            <w:tcW w:w="32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4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受处罚</w:t>
            </w:r>
            <w:r>
              <w:rPr>
                <w:rFonts w:hint="default" w:ascii="Times New Roman" w:hAnsi="Times New Roman" w:cs="Times New Roman"/>
                <w:b/>
                <w:bCs/>
                <w:color w:val="auto"/>
                <w:sz w:val="20"/>
                <w:szCs w:val="20"/>
                <w:shd w:val="clear" w:color="auto" w:fill="auto"/>
              </w:rPr>
              <w:t>次数</w:t>
            </w:r>
          </w:p>
        </w:tc>
        <w:tc>
          <w:tcPr>
            <w:tcW w:w="4366"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32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44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4366"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32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44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4366"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32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283" w:hRule="atLeast"/>
          <w:jc w:val="center"/>
        </w:trPr>
        <w:tc>
          <w:tcPr>
            <w:tcW w:w="14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436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32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283" w:hRule="atLeast"/>
          <w:jc w:val="center"/>
        </w:trPr>
        <w:tc>
          <w:tcPr>
            <w:tcW w:w="14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36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32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283" w:hRule="atLeast"/>
          <w:jc w:val="center"/>
        </w:trPr>
        <w:tc>
          <w:tcPr>
            <w:tcW w:w="14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36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32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283" w:hRule="atLeast"/>
          <w:jc w:val="center"/>
        </w:trPr>
        <w:tc>
          <w:tcPr>
            <w:tcW w:w="14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36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32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83" w:hRule="atLeast"/>
          <w:jc w:val="center"/>
        </w:trPr>
        <w:tc>
          <w:tcPr>
            <w:tcW w:w="14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09" w:type="dxa"/>
            <w:gridSpan w:val="2"/>
            <w:vAlign w:val="center"/>
          </w:tcPr>
          <w:p>
            <w:pPr>
              <w:shd w:val="clear" w:color="auto" w:fill="auto"/>
              <w:snapToGrid w:val="0"/>
              <w:spacing w:before="0" w:beforeAutospacing="0" w:after="0" w:afterAutospacing="0" w:line="320" w:lineRule="exact"/>
              <w:ind w:left="0" w:right="0" w:firstLine="420"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bCs/>
                <w:color w:val="auto"/>
                <w:sz w:val="20"/>
                <w:szCs w:val="20"/>
                <w:shd w:val="clear" w:color="auto" w:fill="auto"/>
              </w:rPr>
              <w:t>1.</w:t>
            </w:r>
            <w:r>
              <w:rPr>
                <w:rFonts w:hint="default" w:ascii="Times New Roman" w:hAnsi="Times New Roman" w:cs="Times New Roman"/>
                <w:color w:val="auto"/>
                <w:sz w:val="20"/>
                <w:szCs w:val="20"/>
                <w:shd w:val="clear" w:color="auto" w:fill="auto"/>
              </w:rPr>
              <w:t>适用裁量计算公式裁定对直接负责的主管人员和其他直接责任人员罚款金额时，M值（法定处罚金额上限）取上一年度从企业事业单位取得收入百分之五十的罚款，N值（法定处罚金额下限）等于0。</w:t>
            </w:r>
          </w:p>
          <w:p>
            <w:pPr>
              <w:shd w:val="clear" w:color="auto" w:fill="auto"/>
              <w:snapToGrid w:val="0"/>
              <w:spacing w:before="0" w:beforeAutospacing="0" w:after="0" w:afterAutospacing="0" w:line="320" w:lineRule="exact"/>
              <w:ind w:left="0" w:right="0" w:firstLine="420"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2.适用裁量计算公式裁定一般或者较大大气污染事故罚款金额时，M值（法定处罚金额上限）取污染事故造成的直接损失三倍计算罚款，N值（法定处罚金额下限）取污染事故造成的直接损失一倍计算罚款。</w:t>
            </w:r>
          </w:p>
          <w:p>
            <w:pPr>
              <w:shd w:val="clear" w:color="auto" w:fill="auto"/>
              <w:snapToGrid w:val="0"/>
              <w:spacing w:before="0" w:beforeAutospacing="0" w:after="0" w:afterAutospacing="0" w:line="320" w:lineRule="exact"/>
              <w:ind w:left="0" w:right="0" w:firstLine="420"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3.适用裁量计算公式裁定重大或者特大大气污染事故罚款金额时，M值（法定处罚金额上限）取污染事故造成的直接损失五倍计算罚款，N值（法定处罚金额下限）取污染事故造成的直接损失三倍计算罚款。</w:t>
            </w:r>
          </w:p>
        </w:tc>
      </w:tr>
    </w:tbl>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5137"/>
        <w:gridCol w:w="2504"/>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97" w:hRule="atLeast"/>
          <w:jc w:val="center"/>
        </w:trPr>
        <w:tc>
          <w:tcPr>
            <w:tcW w:w="14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41"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35</w:t>
            </w:r>
          </w:p>
        </w:tc>
      </w:tr>
      <w:tr>
        <w:trPr>
          <w:trHeight w:val="397" w:hRule="atLeast"/>
          <w:jc w:val="center"/>
        </w:trPr>
        <w:tc>
          <w:tcPr>
            <w:tcW w:w="14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641"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0" w:firstLineChars="200"/>
              <w:outlineLvl w:val="9"/>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在省辖市城市建成区内，新建每小时二十蒸吨以下的燃烧煤炭、重油、渣油以及直接燃用生物质的锅炉，其他地区新建每小时十蒸吨以下的燃烧煤炭、重油、渣油以及直接燃用生物质的锅炉的</w:t>
            </w:r>
          </w:p>
        </w:tc>
      </w:tr>
      <w:tr>
        <w:trPr>
          <w:trHeight w:val="397" w:hRule="atLeast"/>
          <w:jc w:val="center"/>
        </w:trPr>
        <w:tc>
          <w:tcPr>
            <w:tcW w:w="14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41"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《河南省大气污染防治条例》第三十条第二款</w:t>
            </w:r>
            <w:r>
              <w:rPr>
                <w:rFonts w:hint="default" w:ascii="Times New Roman" w:hAnsi="Times New Roman" w:cs="Times New Roman"/>
                <w:color w:val="auto"/>
                <w:kern w:val="0"/>
                <w:sz w:val="20"/>
                <w:szCs w:val="20"/>
                <w:shd w:val="clear" w:color="auto" w:fill="auto"/>
              </w:rPr>
              <w:t xml:space="preserve"> 在省辖市城市建成区内，禁止新建每小时二十蒸吨以下的燃烧煤炭、重油、渣油以及直接燃用生物质的锅炉，其他地区禁止新建每小时十蒸吨以下的燃烧煤炭、重油、渣油以及直接燃用生物质的锅炉。</w:t>
            </w:r>
          </w:p>
        </w:tc>
      </w:tr>
      <w:tr>
        <w:trPr>
          <w:trHeight w:val="90" w:hRule="atLeast"/>
          <w:jc w:val="center"/>
        </w:trPr>
        <w:tc>
          <w:tcPr>
            <w:tcW w:w="14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41" w:type="dxa"/>
            <w:gridSpan w:val="2"/>
            <w:vAlign w:val="center"/>
          </w:tcPr>
          <w:p>
            <w:pPr>
              <w:widowControl/>
              <w:shd w:val="clear" w:color="auto" w:fill="auto"/>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《河南省大气污染防治条例》第七十一条</w:t>
            </w:r>
            <w:r>
              <w:rPr>
                <w:rFonts w:hint="default" w:ascii="Times New Roman" w:hAnsi="Times New Roman" w:cs="Times New Roman"/>
                <w:color w:val="auto"/>
                <w:kern w:val="0"/>
                <w:sz w:val="20"/>
                <w:szCs w:val="20"/>
                <w:shd w:val="clear" w:color="auto" w:fill="auto"/>
              </w:rPr>
              <w:t xml:space="preserve"> 违反本条例第三十条第二款规定，在省辖市城市建成区内新建每小时二十蒸吨以下的燃烧煤炭、重油、渣油以及直接燃用生物质的锅炉，在其他地区新建每小时十蒸吨以下的燃烧煤炭、重油、渣油以及直接燃用生物质的锅炉的，由县级以上人民政府环境保护主管部门报同级人民政府责令限期拆除，处二万元以上十万元以下罚款；情节严重的，处十万元以上二十万元以下罚款。</w:t>
            </w:r>
          </w:p>
        </w:tc>
      </w:tr>
      <w:tr>
        <w:trPr>
          <w:trHeight w:val="397" w:hRule="atLeast"/>
          <w:jc w:val="center"/>
        </w:trPr>
        <w:tc>
          <w:tcPr>
            <w:tcW w:w="14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0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jc w:val="center"/>
        </w:trPr>
        <w:tc>
          <w:tcPr>
            <w:tcW w:w="141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已开工建设但未建成的</w:t>
            </w:r>
          </w:p>
        </w:tc>
        <w:tc>
          <w:tcPr>
            <w:tcW w:w="250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41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已建成但未投入使用的</w:t>
            </w:r>
          </w:p>
        </w:tc>
        <w:tc>
          <w:tcPr>
            <w:tcW w:w="250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41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已投入使用的</w:t>
            </w:r>
          </w:p>
        </w:tc>
        <w:tc>
          <w:tcPr>
            <w:tcW w:w="250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5</w:t>
            </w:r>
          </w:p>
        </w:tc>
      </w:tr>
      <w:tr>
        <w:trPr>
          <w:trHeight w:val="369" w:hRule="atLeast"/>
          <w:jc w:val="center"/>
        </w:trPr>
        <w:tc>
          <w:tcPr>
            <w:tcW w:w="141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污染防治设施建设使用情况</w:t>
            </w:r>
          </w:p>
        </w:tc>
        <w:tc>
          <w:tcPr>
            <w:tcW w:w="51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配套污染防治设施已建成的</w:t>
            </w:r>
          </w:p>
        </w:tc>
        <w:tc>
          <w:tcPr>
            <w:tcW w:w="250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41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配套污染防治设施正在建设的</w:t>
            </w:r>
          </w:p>
        </w:tc>
        <w:tc>
          <w:tcPr>
            <w:tcW w:w="250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41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配套污染防治设施尚未建设的</w:t>
            </w:r>
          </w:p>
        </w:tc>
        <w:tc>
          <w:tcPr>
            <w:tcW w:w="250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41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锅炉规模</w:t>
            </w:r>
          </w:p>
        </w:tc>
        <w:tc>
          <w:tcPr>
            <w:tcW w:w="51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省辖市城市建成区内或其他地区新建2蒸吨以下锅炉</w:t>
            </w:r>
          </w:p>
        </w:tc>
        <w:tc>
          <w:tcPr>
            <w:tcW w:w="250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41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省辖市城市建成区内或其他地区新建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2蒸吨以上4蒸吨以下锅炉</w:t>
            </w:r>
          </w:p>
        </w:tc>
        <w:tc>
          <w:tcPr>
            <w:tcW w:w="250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41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省辖市城市建成区内或其他地区新建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4蒸吨以上8蒸吨以下锅炉</w:t>
            </w:r>
          </w:p>
        </w:tc>
        <w:tc>
          <w:tcPr>
            <w:tcW w:w="250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41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省辖市城市建成区内或其他地区新建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8蒸吨以上16蒸吨以下锅炉</w:t>
            </w:r>
          </w:p>
        </w:tc>
        <w:tc>
          <w:tcPr>
            <w:tcW w:w="250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41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省辖市城市建成区内或其他地区新建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16蒸吨以上20蒸吨以下锅炉</w:t>
            </w:r>
          </w:p>
        </w:tc>
        <w:tc>
          <w:tcPr>
            <w:tcW w:w="250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41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1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0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41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0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41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0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41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snapToGrid w:val="0"/>
              <w:spacing w:before="0" w:beforeAutospacing="0" w:after="0" w:afterAutospacing="0" w:line="320" w:lineRule="exact"/>
              <w:ind w:left="0" w:right="0" w:firstLine="2090" w:firstLineChars="1100"/>
              <w:jc w:val="both"/>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250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419" w:type="dxa"/>
            <w:vMerge w:val="restart"/>
            <w:vAlign w:val="center"/>
          </w:tcPr>
          <w:p>
            <w:pPr>
              <w:shd w:val="clear" w:color="auto" w:fill="auto"/>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b/>
                <w:bCs/>
                <w:color w:val="auto"/>
                <w:sz w:val="20"/>
                <w:szCs w:val="20"/>
                <w:shd w:val="clear" w:color="auto" w:fill="auto"/>
                <w:lang w:val="en-US" w:eastAsia="zh-CN"/>
              </w:rPr>
              <w:t>管理类别</w:t>
            </w:r>
          </w:p>
        </w:tc>
        <w:tc>
          <w:tcPr>
            <w:tcW w:w="51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登记管理</w:t>
            </w:r>
          </w:p>
        </w:tc>
        <w:tc>
          <w:tcPr>
            <w:tcW w:w="2504" w:type="dxa"/>
            <w:vAlign w:val="center"/>
          </w:tcPr>
          <w:p>
            <w:pPr>
              <w:shd w:val="clear" w:color="auto" w:fill="auto"/>
              <w:snapToGrid w:val="0"/>
              <w:spacing w:before="0" w:beforeAutospacing="0" w:after="0" w:afterAutospacing="0" w:line="300" w:lineRule="exact"/>
              <w:ind w:left="0" w:right="0" w:firstLine="0" w:firstLineChars="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69" w:hRule="atLeast"/>
          <w:jc w:val="center"/>
        </w:trPr>
        <w:tc>
          <w:tcPr>
            <w:tcW w:w="1419" w:type="dxa"/>
            <w:vMerge w:val="continue"/>
            <w:vAlign w:val="center"/>
          </w:tcPr>
          <w:p>
            <w:pPr>
              <w:shd w:val="clear" w:color="auto" w:fill="auto"/>
              <w:spacing w:before="0" w:beforeAutospacing="0" w:after="0" w:afterAutospacing="0" w:line="320" w:lineRule="exact"/>
              <w:ind w:left="0" w:right="0"/>
              <w:rPr>
                <w:rFonts w:hint="default" w:ascii="Times New Roman" w:hAnsi="Times New Roman" w:cs="Times New Roman"/>
                <w:color w:val="auto"/>
                <w:sz w:val="20"/>
                <w:szCs w:val="20"/>
                <w:shd w:val="clear" w:color="auto" w:fill="auto"/>
              </w:rPr>
            </w:pPr>
          </w:p>
        </w:tc>
        <w:tc>
          <w:tcPr>
            <w:tcW w:w="51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eastAsia="zh-CN"/>
              </w:rPr>
              <w:t>简化管理</w:t>
            </w:r>
          </w:p>
        </w:tc>
        <w:tc>
          <w:tcPr>
            <w:tcW w:w="250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419" w:type="dxa"/>
            <w:vMerge w:val="continue"/>
            <w:vAlign w:val="center"/>
          </w:tcPr>
          <w:p>
            <w:pPr>
              <w:shd w:val="clear" w:color="auto" w:fill="auto"/>
              <w:spacing w:before="0" w:beforeAutospacing="0" w:after="0" w:afterAutospacing="0" w:line="320" w:lineRule="exact"/>
              <w:ind w:left="0" w:right="0"/>
              <w:rPr>
                <w:rFonts w:hint="default" w:ascii="Times New Roman" w:hAnsi="Times New Roman" w:cs="Times New Roman"/>
                <w:color w:val="auto"/>
                <w:sz w:val="20"/>
                <w:szCs w:val="20"/>
                <w:shd w:val="clear" w:color="auto" w:fill="auto"/>
              </w:rPr>
            </w:pPr>
          </w:p>
        </w:tc>
        <w:tc>
          <w:tcPr>
            <w:tcW w:w="51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eastAsia="zh-CN"/>
              </w:rPr>
              <w:t>重点管理</w:t>
            </w:r>
          </w:p>
        </w:tc>
        <w:tc>
          <w:tcPr>
            <w:tcW w:w="250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419"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50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jc w:val="center"/>
        </w:trPr>
        <w:tc>
          <w:tcPr>
            <w:tcW w:w="141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1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50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jc w:val="center"/>
        </w:trPr>
        <w:tc>
          <w:tcPr>
            <w:tcW w:w="141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1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50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jc w:val="center"/>
        </w:trPr>
        <w:tc>
          <w:tcPr>
            <w:tcW w:w="141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1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50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jc w:val="center"/>
        </w:trPr>
        <w:tc>
          <w:tcPr>
            <w:tcW w:w="141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1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50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41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w:t>
            </w:r>
            <w:r>
              <w:rPr>
                <w:rFonts w:hint="default" w:ascii="Times New Roman" w:hAnsi="Times New Roman" w:cs="Times New Roman"/>
                <w:b/>
                <w:bCs/>
                <w:color w:val="auto"/>
                <w:sz w:val="20"/>
                <w:szCs w:val="20"/>
                <w:shd w:val="clear" w:color="auto" w:fill="auto"/>
              </w:rPr>
              <w:t>次数</w:t>
            </w:r>
          </w:p>
        </w:tc>
        <w:tc>
          <w:tcPr>
            <w:tcW w:w="5137"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50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41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50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41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50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41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rPr>
              <w:t>执法检查</w:t>
            </w:r>
          </w:p>
        </w:tc>
        <w:tc>
          <w:tcPr>
            <w:tcW w:w="51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50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41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0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41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50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41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50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4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41" w:type="dxa"/>
            <w:gridSpan w:val="2"/>
            <w:vAlign w:val="center"/>
          </w:tcPr>
          <w:p>
            <w:pPr>
              <w:shd w:val="clear" w:color="auto" w:fill="auto"/>
              <w:snapToGrid w:val="0"/>
              <w:spacing w:before="0" w:beforeAutospacing="0" w:after="0" w:afterAutospacing="0" w:line="320" w:lineRule="exact"/>
              <w:ind w:left="0" w:right="0" w:firstLine="420"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情节一般的，M值取10万元，N值取2万元；情节严重的，M值取20万元，N值取10万元。</w:t>
            </w:r>
          </w:p>
        </w:tc>
      </w:tr>
    </w:tbl>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5137"/>
        <w:gridCol w:w="2490"/>
      </w:tblGrid>
      <w:tr>
        <w:trPr>
          <w:trHeight w:val="397" w:hRule="atLeast"/>
          <w:jc w:val="center"/>
        </w:trPr>
        <w:tc>
          <w:tcPr>
            <w:tcW w:w="9046" w:type="dxa"/>
            <w:gridSpan w:val="3"/>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97" w:hRule="atLeast"/>
          <w:jc w:val="center"/>
        </w:trPr>
        <w:tc>
          <w:tcPr>
            <w:tcW w:w="1419"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27" w:type="dxa"/>
            <w:gridSpan w:val="2"/>
            <w:vAlign w:val="center"/>
          </w:tcPr>
          <w:p>
            <w:pPr>
              <w:shd w:val="clear" w:color="auto" w:fill="auto"/>
              <w:wordWrap/>
              <w:adjustRightInd/>
              <w:snapToGrid w:val="0"/>
              <w:spacing w:before="0" w:beforeAutospacing="0" w:after="0" w:afterAutospacing="0" w:line="340" w:lineRule="exact"/>
              <w:ind w:left="0" w:right="0"/>
              <w:jc w:val="center"/>
              <w:textAlignment w:val="auto"/>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36</w:t>
            </w:r>
          </w:p>
        </w:tc>
      </w:tr>
      <w:tr>
        <w:trPr>
          <w:trHeight w:val="397" w:hRule="atLeast"/>
          <w:jc w:val="center"/>
        </w:trPr>
        <w:tc>
          <w:tcPr>
            <w:tcW w:w="1419"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627"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40" w:lineRule="exact"/>
              <w:ind w:left="0" w:right="0" w:firstLine="420" w:firstLineChars="200"/>
              <w:jc w:val="left"/>
              <w:textAlignment w:val="auto"/>
              <w:outlineLvl w:val="9"/>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排污单位未按照规定对不经过大气污染物排放口集中排放的大气污染物采取必要的污染防治措施的</w:t>
            </w:r>
          </w:p>
        </w:tc>
      </w:tr>
      <w:tr>
        <w:trPr>
          <w:trHeight w:val="397" w:hRule="atLeast"/>
          <w:jc w:val="center"/>
        </w:trPr>
        <w:tc>
          <w:tcPr>
            <w:tcW w:w="1419"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27"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40" w:lineRule="exact"/>
              <w:ind w:left="0" w:right="0" w:firstLine="422" w:firstLineChars="200"/>
              <w:jc w:val="left"/>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《河南省大气污染防治条例》第三十六条</w:t>
            </w:r>
            <w:r>
              <w:rPr>
                <w:rFonts w:hint="default" w:ascii="Times New Roman" w:hAnsi="Times New Roman" w:cs="Times New Roman"/>
                <w:color w:val="auto"/>
                <w:kern w:val="0"/>
                <w:sz w:val="20"/>
                <w:szCs w:val="20"/>
                <w:shd w:val="clear" w:color="auto" w:fill="auto"/>
              </w:rPr>
              <w:t xml:space="preserve"> 排污单位应当加强大气污染物排放精细化管理，对不经过大气污染物排放口集中排放的大气污染物，应当采取密闭、封闭、集中收集、覆盖、吸附、分解等处理措施，严格控制生产过程以及内部物料堆存、传输、装卸等环节产生的粉尘和气态污染物的排放。</w:t>
            </w:r>
          </w:p>
        </w:tc>
      </w:tr>
      <w:tr>
        <w:trPr>
          <w:trHeight w:val="397" w:hRule="atLeast"/>
          <w:jc w:val="center"/>
        </w:trPr>
        <w:tc>
          <w:tcPr>
            <w:tcW w:w="1419"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27" w:type="dxa"/>
            <w:gridSpan w:val="2"/>
            <w:vAlign w:val="center"/>
          </w:tcPr>
          <w:p>
            <w:pPr>
              <w:widowControl/>
              <w:shd w:val="clear" w:color="auto" w:fill="auto"/>
              <w:wordWrap/>
              <w:adjustRightInd/>
              <w:snapToGrid w:val="0"/>
              <w:spacing w:before="0" w:beforeAutospacing="0" w:after="0" w:afterAutospacing="0" w:line="340" w:lineRule="exact"/>
              <w:ind w:left="0" w:right="0" w:firstLine="422" w:firstLineChars="200"/>
              <w:jc w:val="left"/>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《河南省大气污染防治条例》第七十二条第（一）项 </w:t>
            </w:r>
            <w:r>
              <w:rPr>
                <w:rFonts w:hint="default" w:ascii="Times New Roman" w:hAnsi="Times New Roman" w:cs="Times New Roman"/>
                <w:color w:val="auto"/>
                <w:kern w:val="0"/>
                <w:sz w:val="20"/>
                <w:szCs w:val="20"/>
                <w:shd w:val="clear" w:color="auto" w:fill="auto"/>
              </w:rPr>
              <w:t>有下列行为之一的，由县级以上人民政府环境保护主管部门责令改正，处二万元以上二十万元以下罚款；拒不改正的，责令停产整治：</w:t>
            </w:r>
          </w:p>
          <w:p>
            <w:pPr>
              <w:widowControl/>
              <w:shd w:val="clear" w:color="auto" w:fill="auto"/>
              <w:wordWrap/>
              <w:adjustRightInd/>
              <w:snapToGrid w:val="0"/>
              <w:spacing w:before="0" w:beforeAutospacing="0" w:after="0" w:afterAutospacing="0" w:line="340" w:lineRule="exact"/>
              <w:ind w:left="0" w:right="0" w:firstLine="420" w:firstLineChars="200"/>
              <w:jc w:val="left"/>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（一）违反本条例第三十六条规定，排污单位未按照规定对不经过大气污染物排放口集中排放的大气污染物采取必要的污染防治措施的；</w:t>
            </w:r>
          </w:p>
        </w:tc>
      </w:tr>
      <w:tr>
        <w:trPr>
          <w:trHeight w:val="386" w:hRule="atLeast"/>
          <w:jc w:val="center"/>
        </w:trPr>
        <w:tc>
          <w:tcPr>
            <w:tcW w:w="1419"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490"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40" w:hRule="atLeast"/>
          <w:jc w:val="center"/>
        </w:trPr>
        <w:tc>
          <w:tcPr>
            <w:tcW w:w="1419" w:type="dxa"/>
            <w:vMerge w:val="restart"/>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已落实污染防治措施，但未按规定使用或管理，造成少量</w:t>
            </w:r>
            <w:r>
              <w:rPr>
                <w:rFonts w:hint="default" w:ascii="Times New Roman" w:hAnsi="Times New Roman" w:cs="Times New Roman"/>
                <w:color w:val="auto"/>
                <w:sz w:val="20"/>
                <w:szCs w:val="20"/>
                <w:shd w:val="clear" w:color="auto" w:fill="auto"/>
                <w:lang w:val="en-US"/>
              </w:rPr>
              <w:t>大气</w:t>
            </w:r>
            <w:r>
              <w:rPr>
                <w:rFonts w:hint="default" w:ascii="Times New Roman" w:hAnsi="Times New Roman" w:cs="Times New Roman"/>
                <w:color w:val="auto"/>
                <w:sz w:val="20"/>
                <w:szCs w:val="20"/>
                <w:shd w:val="clear" w:color="auto" w:fill="auto"/>
                <w:lang w:eastAsia="zh-CN"/>
              </w:rPr>
              <w:t>污染物排放</w:t>
            </w:r>
          </w:p>
        </w:tc>
        <w:tc>
          <w:tcPr>
            <w:tcW w:w="2490"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1</w:t>
            </w:r>
          </w:p>
        </w:tc>
      </w:tr>
      <w:tr>
        <w:trPr>
          <w:trHeight w:val="340" w:hRule="atLeast"/>
          <w:jc w:val="center"/>
        </w:trPr>
        <w:tc>
          <w:tcPr>
            <w:tcW w:w="1419"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采取部分</w:t>
            </w:r>
            <w:r>
              <w:rPr>
                <w:rFonts w:hint="default" w:ascii="Times New Roman" w:hAnsi="Times New Roman" w:cs="Times New Roman"/>
                <w:color w:val="auto"/>
                <w:sz w:val="20"/>
                <w:szCs w:val="20"/>
                <w:shd w:val="clear" w:color="auto" w:fill="auto"/>
              </w:rPr>
              <w:t>污染防治措施</w:t>
            </w:r>
            <w:r>
              <w:rPr>
                <w:rFonts w:hint="default" w:ascii="Times New Roman" w:hAnsi="Times New Roman" w:cs="Times New Roman"/>
                <w:color w:val="auto"/>
                <w:sz w:val="20"/>
                <w:szCs w:val="20"/>
                <w:shd w:val="clear" w:color="auto" w:fill="auto"/>
                <w:lang w:eastAsia="zh-CN"/>
              </w:rPr>
              <w:t>导致</w:t>
            </w:r>
            <w:r>
              <w:rPr>
                <w:rFonts w:hint="default" w:ascii="Times New Roman" w:hAnsi="Times New Roman" w:cs="Times New Roman"/>
                <w:color w:val="auto"/>
                <w:sz w:val="20"/>
                <w:szCs w:val="20"/>
                <w:shd w:val="clear" w:color="auto" w:fill="auto"/>
                <w:lang w:val="en-US"/>
              </w:rPr>
              <w:t>大气</w:t>
            </w:r>
            <w:r>
              <w:rPr>
                <w:rFonts w:hint="default" w:ascii="Times New Roman" w:hAnsi="Times New Roman" w:cs="Times New Roman"/>
                <w:color w:val="auto"/>
                <w:sz w:val="20"/>
                <w:szCs w:val="20"/>
                <w:shd w:val="clear" w:color="auto" w:fill="auto"/>
                <w:lang w:eastAsia="zh-CN"/>
              </w:rPr>
              <w:t>污染物排放</w:t>
            </w:r>
          </w:p>
        </w:tc>
        <w:tc>
          <w:tcPr>
            <w:tcW w:w="2490"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eastAsia="zh-CN"/>
              </w:rPr>
              <w:t>2</w:t>
            </w:r>
          </w:p>
        </w:tc>
      </w:tr>
      <w:tr>
        <w:trPr>
          <w:trHeight w:val="340" w:hRule="atLeast"/>
          <w:jc w:val="center"/>
        </w:trPr>
        <w:tc>
          <w:tcPr>
            <w:tcW w:w="1419"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未采取污染防治措施</w:t>
            </w:r>
            <w:r>
              <w:rPr>
                <w:rFonts w:hint="default" w:ascii="Times New Roman" w:hAnsi="Times New Roman" w:cs="Times New Roman"/>
                <w:color w:val="auto"/>
                <w:sz w:val="20"/>
                <w:szCs w:val="20"/>
                <w:shd w:val="clear" w:color="auto" w:fill="auto"/>
                <w:lang w:eastAsia="zh-CN"/>
              </w:rPr>
              <w:t>导致</w:t>
            </w:r>
            <w:r>
              <w:rPr>
                <w:rFonts w:hint="default" w:ascii="Times New Roman" w:hAnsi="Times New Roman" w:cs="Times New Roman"/>
                <w:color w:val="auto"/>
                <w:sz w:val="20"/>
                <w:szCs w:val="20"/>
                <w:shd w:val="clear" w:color="auto" w:fill="auto"/>
                <w:lang w:val="en-US"/>
              </w:rPr>
              <w:t>大气</w:t>
            </w:r>
            <w:r>
              <w:rPr>
                <w:rFonts w:hint="default" w:ascii="Times New Roman" w:hAnsi="Times New Roman" w:cs="Times New Roman"/>
                <w:color w:val="auto"/>
                <w:sz w:val="20"/>
                <w:szCs w:val="20"/>
                <w:shd w:val="clear" w:color="auto" w:fill="auto"/>
                <w:lang w:eastAsia="zh-CN"/>
              </w:rPr>
              <w:t>污染物排放</w:t>
            </w:r>
          </w:p>
        </w:tc>
        <w:tc>
          <w:tcPr>
            <w:tcW w:w="2490"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40" w:hRule="atLeast"/>
          <w:jc w:val="center"/>
        </w:trPr>
        <w:tc>
          <w:tcPr>
            <w:tcW w:w="1419" w:type="dxa"/>
            <w:vMerge w:val="restart"/>
            <w:vAlign w:val="center"/>
          </w:tcPr>
          <w:p>
            <w:pPr>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color w:val="auto"/>
                <w:sz w:val="21"/>
                <w:szCs w:val="21"/>
                <w:shd w:val="clear" w:color="auto" w:fill="auto"/>
              </w:rPr>
              <w:t>废气类别</w:t>
            </w:r>
          </w:p>
        </w:tc>
        <w:tc>
          <w:tcPr>
            <w:tcW w:w="5137" w:type="dxa"/>
            <w:vAlign w:val="center"/>
          </w:tcPr>
          <w:p>
            <w:pPr>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机械、汽车修理废气/畜禽养殖废气</w:t>
            </w:r>
          </w:p>
        </w:tc>
        <w:tc>
          <w:tcPr>
            <w:tcW w:w="2490" w:type="dxa"/>
            <w:vAlign w:val="center"/>
          </w:tcPr>
          <w:p>
            <w:pPr>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1</w:t>
            </w:r>
          </w:p>
        </w:tc>
      </w:tr>
      <w:tr>
        <w:trPr>
          <w:trHeight w:val="340" w:hRule="atLeast"/>
          <w:jc w:val="center"/>
        </w:trPr>
        <w:tc>
          <w:tcPr>
            <w:tcW w:w="1419" w:type="dxa"/>
            <w:vMerge w:val="continue"/>
            <w:vAlign w:val="center"/>
          </w:tcPr>
          <w:p>
            <w:pPr>
              <w:shd w:val="clear" w:color="auto" w:fill="auto"/>
              <w:wordWrap/>
              <w:adjustRightInd/>
              <w:snapToGrid w:val="0"/>
              <w:spacing w:before="0" w:beforeAutospacing="0" w:after="0" w:afterAutospacing="0" w:line="340" w:lineRule="exact"/>
              <w:ind w:left="0" w:leftChars="0" w:right="0" w:firstLine="420" w:firstLineChars="0"/>
              <w:jc w:val="center"/>
              <w:textAlignment w:val="auto"/>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农业生产、工业扬尘废气/燃煤锅炉废气（30蒸吨以下）</w:t>
            </w:r>
          </w:p>
        </w:tc>
        <w:tc>
          <w:tcPr>
            <w:tcW w:w="2490" w:type="dxa"/>
            <w:vAlign w:val="center"/>
          </w:tcPr>
          <w:p>
            <w:pPr>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2</w:t>
            </w:r>
          </w:p>
        </w:tc>
      </w:tr>
      <w:tr>
        <w:trPr>
          <w:trHeight w:val="340" w:hRule="atLeast"/>
          <w:jc w:val="center"/>
        </w:trPr>
        <w:tc>
          <w:tcPr>
            <w:tcW w:w="1419" w:type="dxa"/>
            <w:vMerge w:val="continue"/>
            <w:vAlign w:val="center"/>
          </w:tcPr>
          <w:p>
            <w:pPr>
              <w:shd w:val="clear" w:color="auto" w:fill="auto"/>
              <w:wordWrap/>
              <w:adjustRightInd/>
              <w:snapToGrid w:val="0"/>
              <w:spacing w:before="0" w:beforeAutospacing="0" w:after="0" w:afterAutospacing="0" w:line="340" w:lineRule="exact"/>
              <w:ind w:left="0" w:leftChars="0" w:right="0" w:firstLine="420" w:firstLineChars="0"/>
              <w:jc w:val="center"/>
              <w:textAlignment w:val="auto"/>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一般工业废气/含恶臭污染物的废气/医疗废气/实验室废气</w:t>
            </w:r>
          </w:p>
        </w:tc>
        <w:tc>
          <w:tcPr>
            <w:tcW w:w="2490" w:type="dxa"/>
            <w:vAlign w:val="center"/>
          </w:tcPr>
          <w:p>
            <w:pPr>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3</w:t>
            </w:r>
          </w:p>
        </w:tc>
      </w:tr>
      <w:tr>
        <w:trPr>
          <w:trHeight w:val="340" w:hRule="atLeast"/>
          <w:jc w:val="center"/>
        </w:trPr>
        <w:tc>
          <w:tcPr>
            <w:tcW w:w="1419" w:type="dxa"/>
            <w:vMerge w:val="continue"/>
            <w:vAlign w:val="center"/>
          </w:tcPr>
          <w:p>
            <w:pPr>
              <w:shd w:val="clear" w:color="auto" w:fill="auto"/>
              <w:wordWrap/>
              <w:adjustRightInd/>
              <w:snapToGrid w:val="0"/>
              <w:spacing w:before="0" w:beforeAutospacing="0" w:after="0" w:afterAutospacing="0" w:line="340" w:lineRule="exact"/>
              <w:ind w:left="0" w:leftChars="0" w:right="0" w:firstLine="420" w:firstLineChars="0"/>
              <w:jc w:val="center"/>
              <w:textAlignment w:val="auto"/>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火电、钢铁、石化、水泥、炼焦、有色、化工废气、烟尘/燃煤锅炉废气（30蒸吨以上）</w:t>
            </w:r>
          </w:p>
        </w:tc>
        <w:tc>
          <w:tcPr>
            <w:tcW w:w="2490" w:type="dxa"/>
            <w:vAlign w:val="center"/>
          </w:tcPr>
          <w:p>
            <w:pPr>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4</w:t>
            </w:r>
          </w:p>
        </w:tc>
      </w:tr>
      <w:tr>
        <w:trPr>
          <w:trHeight w:val="340" w:hRule="atLeast"/>
          <w:jc w:val="center"/>
        </w:trPr>
        <w:tc>
          <w:tcPr>
            <w:tcW w:w="1419" w:type="dxa"/>
            <w:vMerge w:val="continue"/>
            <w:vAlign w:val="center"/>
          </w:tcPr>
          <w:p>
            <w:pPr>
              <w:shd w:val="clear" w:color="auto" w:fill="auto"/>
              <w:wordWrap/>
              <w:adjustRightInd/>
              <w:snapToGrid w:val="0"/>
              <w:spacing w:before="0" w:beforeAutospacing="0" w:after="0" w:afterAutospacing="0" w:line="340" w:lineRule="exact"/>
              <w:ind w:left="0" w:leftChars="0" w:right="0" w:firstLine="420" w:firstLineChars="0"/>
              <w:jc w:val="center"/>
              <w:textAlignment w:val="auto"/>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含有毒有害物质的废气</w:t>
            </w:r>
          </w:p>
        </w:tc>
        <w:tc>
          <w:tcPr>
            <w:tcW w:w="2490" w:type="dxa"/>
            <w:vAlign w:val="center"/>
          </w:tcPr>
          <w:p>
            <w:pPr>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5</w:t>
            </w:r>
          </w:p>
        </w:tc>
      </w:tr>
      <w:tr>
        <w:trPr>
          <w:trHeight w:val="340" w:hRule="atLeast"/>
          <w:jc w:val="center"/>
        </w:trPr>
        <w:tc>
          <w:tcPr>
            <w:tcW w:w="1419" w:type="dxa"/>
            <w:vMerge w:val="restart"/>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1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490"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419"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490"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40" w:hRule="atLeast"/>
          <w:jc w:val="center"/>
        </w:trPr>
        <w:tc>
          <w:tcPr>
            <w:tcW w:w="1419"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490"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40" w:hRule="atLeast"/>
          <w:jc w:val="center"/>
        </w:trPr>
        <w:tc>
          <w:tcPr>
            <w:tcW w:w="1419"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wordWrap/>
              <w:adjustRightInd/>
              <w:snapToGrid w:val="0"/>
              <w:spacing w:before="0" w:beforeAutospacing="0" w:after="0" w:afterAutospacing="0" w:line="340" w:lineRule="exact"/>
              <w:ind w:left="0" w:right="0" w:firstLine="0" w:firstLineChars="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490"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 xml:space="preserve">4                           </w:t>
            </w:r>
          </w:p>
        </w:tc>
      </w:tr>
      <w:tr>
        <w:trPr>
          <w:trHeight w:val="340" w:hRule="atLeast"/>
          <w:jc w:val="center"/>
        </w:trPr>
        <w:tc>
          <w:tcPr>
            <w:tcW w:w="1419" w:type="dxa"/>
            <w:vMerge w:val="restart"/>
            <w:vAlign w:val="center"/>
          </w:tcPr>
          <w:p>
            <w:pPr>
              <w:shd w:val="clear" w:color="auto" w:fill="auto"/>
              <w:wordWrap/>
              <w:adjustRightInd/>
              <w:spacing w:before="0" w:beforeAutospacing="0" w:after="0" w:afterAutospacing="0" w:line="34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管理类别</w:t>
            </w:r>
          </w:p>
        </w:tc>
        <w:tc>
          <w:tcPr>
            <w:tcW w:w="5137" w:type="dxa"/>
            <w:vAlign w:val="center"/>
          </w:tcPr>
          <w:p>
            <w:pPr>
              <w:shd w:val="clear" w:color="auto" w:fill="auto"/>
              <w:wordWrap/>
              <w:adjustRightInd/>
              <w:spacing w:before="0" w:beforeAutospacing="0" w:after="0" w:afterAutospacing="0" w:line="34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登记管理</w:t>
            </w:r>
          </w:p>
        </w:tc>
        <w:tc>
          <w:tcPr>
            <w:tcW w:w="2490" w:type="dxa"/>
            <w:vAlign w:val="center"/>
          </w:tcPr>
          <w:p>
            <w:pPr>
              <w:shd w:val="clear" w:color="auto" w:fill="auto"/>
              <w:tabs>
                <w:tab w:val="center" w:pos="1137"/>
              </w:tabs>
              <w:wordWrap/>
              <w:adjustRightInd/>
              <w:spacing w:before="0" w:beforeAutospacing="0" w:after="0" w:afterAutospacing="0" w:line="340" w:lineRule="exact"/>
              <w:ind w:left="0" w:right="0"/>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 xml:space="preserve"> </w:t>
            </w:r>
            <w:r>
              <w:rPr>
                <w:rFonts w:hint="default" w:ascii="Times New Roman" w:hAnsi="Times New Roman" w:cs="Times New Roman"/>
                <w:color w:val="auto"/>
                <w:sz w:val="20"/>
                <w:szCs w:val="20"/>
                <w:shd w:val="clear" w:color="auto" w:fill="auto"/>
                <w:lang w:val="en-US" w:eastAsia="zh-CN"/>
              </w:rPr>
              <w:tab/>
            </w:r>
            <w:r>
              <w:rPr>
                <w:rFonts w:hint="default" w:ascii="Times New Roman" w:hAnsi="Times New Roman" w:cs="Times New Roman"/>
                <w:color w:val="auto"/>
                <w:sz w:val="20"/>
                <w:szCs w:val="20"/>
                <w:shd w:val="clear" w:color="auto" w:fill="auto"/>
                <w:lang w:val="en-US" w:eastAsia="zh-CN"/>
              </w:rPr>
              <w:t>1</w:t>
            </w:r>
          </w:p>
        </w:tc>
      </w:tr>
      <w:tr>
        <w:trPr>
          <w:trHeight w:val="340" w:hRule="atLeast"/>
          <w:jc w:val="center"/>
        </w:trPr>
        <w:tc>
          <w:tcPr>
            <w:tcW w:w="1419" w:type="dxa"/>
            <w:vMerge w:val="continue"/>
            <w:vAlign w:val="center"/>
          </w:tcPr>
          <w:p>
            <w:pPr>
              <w:shd w:val="clear" w:color="auto" w:fill="auto"/>
              <w:wordWrap/>
              <w:adjustRightInd/>
              <w:spacing w:before="0" w:beforeAutospacing="0" w:after="0" w:afterAutospacing="0" w:line="340" w:lineRule="exact"/>
              <w:ind w:left="0" w:right="0"/>
              <w:textAlignment w:val="auto"/>
              <w:rPr>
                <w:rFonts w:hint="default" w:ascii="Times New Roman" w:hAnsi="Times New Roman" w:cs="Times New Roman"/>
                <w:color w:val="auto"/>
                <w:sz w:val="20"/>
                <w:szCs w:val="20"/>
                <w:shd w:val="clear" w:color="auto" w:fill="auto"/>
              </w:rPr>
            </w:pPr>
          </w:p>
        </w:tc>
        <w:tc>
          <w:tcPr>
            <w:tcW w:w="5137" w:type="dxa"/>
            <w:vAlign w:val="center"/>
          </w:tcPr>
          <w:p>
            <w:pPr>
              <w:shd w:val="clear" w:color="auto" w:fill="auto"/>
              <w:wordWrap/>
              <w:adjustRightInd/>
              <w:spacing w:before="0" w:beforeAutospacing="0" w:after="0" w:afterAutospacing="0" w:line="340" w:lineRule="exact"/>
              <w:ind w:left="0" w:right="0"/>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 xml:space="preserve">                   简化管理</w:t>
            </w:r>
          </w:p>
        </w:tc>
        <w:tc>
          <w:tcPr>
            <w:tcW w:w="2490" w:type="dxa"/>
            <w:vAlign w:val="center"/>
          </w:tcPr>
          <w:p>
            <w:pPr>
              <w:shd w:val="clear" w:color="auto" w:fill="auto"/>
              <w:wordWrap/>
              <w:adjustRightInd/>
              <w:spacing w:before="0" w:beforeAutospacing="0" w:after="0" w:afterAutospacing="0" w:line="340" w:lineRule="exact"/>
              <w:ind w:left="0" w:right="0"/>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 xml:space="preserve">          2</w:t>
            </w:r>
          </w:p>
        </w:tc>
      </w:tr>
      <w:tr>
        <w:trPr>
          <w:trHeight w:val="340" w:hRule="atLeast"/>
          <w:jc w:val="center"/>
        </w:trPr>
        <w:tc>
          <w:tcPr>
            <w:tcW w:w="1419" w:type="dxa"/>
            <w:vMerge w:val="continue"/>
            <w:vAlign w:val="center"/>
          </w:tcPr>
          <w:p>
            <w:pPr>
              <w:shd w:val="clear" w:color="auto" w:fill="auto"/>
              <w:wordWrap/>
              <w:adjustRightInd/>
              <w:spacing w:before="0" w:beforeAutospacing="0" w:after="0" w:afterAutospacing="0" w:line="340" w:lineRule="exact"/>
              <w:ind w:left="0" w:right="0"/>
              <w:textAlignment w:val="auto"/>
              <w:rPr>
                <w:rFonts w:hint="default" w:ascii="Times New Roman" w:hAnsi="Times New Roman" w:cs="Times New Roman"/>
                <w:color w:val="auto"/>
                <w:sz w:val="20"/>
                <w:szCs w:val="20"/>
                <w:shd w:val="clear" w:color="auto" w:fill="auto"/>
              </w:rPr>
            </w:pPr>
          </w:p>
        </w:tc>
        <w:tc>
          <w:tcPr>
            <w:tcW w:w="5137" w:type="dxa"/>
            <w:vAlign w:val="center"/>
          </w:tcPr>
          <w:p>
            <w:pPr>
              <w:shd w:val="clear" w:color="auto" w:fill="auto"/>
              <w:wordWrap/>
              <w:adjustRightInd/>
              <w:spacing w:before="0" w:beforeAutospacing="0" w:after="0" w:afterAutospacing="0" w:line="340" w:lineRule="exact"/>
              <w:ind w:left="0" w:right="0"/>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 xml:space="preserve">                    重点管理</w:t>
            </w:r>
          </w:p>
        </w:tc>
        <w:tc>
          <w:tcPr>
            <w:tcW w:w="2490" w:type="dxa"/>
            <w:vAlign w:val="center"/>
          </w:tcPr>
          <w:p>
            <w:pPr>
              <w:shd w:val="clear" w:color="auto" w:fill="auto"/>
              <w:wordWrap/>
              <w:adjustRightInd/>
              <w:spacing w:before="0" w:beforeAutospacing="0" w:after="0" w:afterAutospacing="0" w:line="34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40" w:hRule="atLeast"/>
          <w:jc w:val="center"/>
        </w:trPr>
        <w:tc>
          <w:tcPr>
            <w:tcW w:w="1419" w:type="dxa"/>
            <w:vMerge w:val="restart"/>
            <w:vAlign w:val="center"/>
          </w:tcPr>
          <w:p>
            <w:pPr>
              <w:widowControl w:val="0"/>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发生时期</w:t>
            </w:r>
          </w:p>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环境敏感度</w:t>
            </w:r>
          </w:p>
        </w:tc>
        <w:tc>
          <w:tcPr>
            <w:tcW w:w="51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一般期间</w:t>
            </w:r>
          </w:p>
        </w:tc>
        <w:tc>
          <w:tcPr>
            <w:tcW w:w="2490"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40" w:hRule="atLeast"/>
          <w:jc w:val="center"/>
        </w:trPr>
        <w:tc>
          <w:tcPr>
            <w:tcW w:w="1419" w:type="dxa"/>
            <w:vMerge w:val="continue"/>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重污染天气黄色预警期间</w:t>
            </w:r>
          </w:p>
        </w:tc>
        <w:tc>
          <w:tcPr>
            <w:tcW w:w="2490"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40" w:hRule="atLeast"/>
          <w:jc w:val="center"/>
        </w:trPr>
        <w:tc>
          <w:tcPr>
            <w:tcW w:w="1419" w:type="dxa"/>
            <w:vMerge w:val="continue"/>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重污染天气橙色预警期间</w:t>
            </w:r>
          </w:p>
        </w:tc>
        <w:tc>
          <w:tcPr>
            <w:tcW w:w="2490"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40" w:hRule="atLeast"/>
          <w:jc w:val="center"/>
        </w:trPr>
        <w:tc>
          <w:tcPr>
            <w:tcW w:w="1419" w:type="dxa"/>
            <w:vMerge w:val="continue"/>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b/>
                <w:bCs/>
                <w:color w:val="auto"/>
                <w:sz w:val="20"/>
                <w:szCs w:val="20"/>
                <w:shd w:val="clear" w:color="auto" w:fill="auto"/>
                <w:lang w:eastAsia="zh-CN"/>
              </w:rPr>
            </w:pPr>
          </w:p>
        </w:tc>
        <w:tc>
          <w:tcPr>
            <w:tcW w:w="51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rPr>
              <w:t>重污染天气红色预警期间</w:t>
            </w:r>
          </w:p>
        </w:tc>
        <w:tc>
          <w:tcPr>
            <w:tcW w:w="2490"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40" w:hRule="atLeast"/>
          <w:jc w:val="center"/>
        </w:trPr>
        <w:tc>
          <w:tcPr>
            <w:tcW w:w="1419" w:type="dxa"/>
            <w:vMerge w:val="continue"/>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b/>
                <w:bCs/>
                <w:color w:val="auto"/>
                <w:sz w:val="20"/>
                <w:szCs w:val="20"/>
                <w:shd w:val="clear" w:color="auto" w:fill="auto"/>
                <w:lang w:eastAsia="zh-CN"/>
              </w:rPr>
            </w:pPr>
          </w:p>
        </w:tc>
        <w:tc>
          <w:tcPr>
            <w:tcW w:w="51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rPr>
              <w:t>特殊或重大活动期间</w:t>
            </w:r>
          </w:p>
        </w:tc>
        <w:tc>
          <w:tcPr>
            <w:tcW w:w="2490"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40" w:hRule="atLeast"/>
          <w:jc w:val="center"/>
        </w:trPr>
        <w:tc>
          <w:tcPr>
            <w:tcW w:w="1419"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r>
              <w:rPr>
                <w:rFonts w:hint="default" w:ascii="Times New Roman" w:hAnsi="Times New Roman" w:cs="Times New Roman"/>
                <w:b/>
                <w:bCs/>
                <w:color w:val="auto"/>
                <w:sz w:val="20"/>
                <w:szCs w:val="20"/>
                <w:shd w:val="clear" w:color="auto" w:fill="auto"/>
                <w:lang w:val="en-US"/>
              </w:rPr>
              <w:t>改正时间</w:t>
            </w:r>
          </w:p>
        </w:tc>
        <w:tc>
          <w:tcPr>
            <w:tcW w:w="5137"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kern w:val="2"/>
                <w:sz w:val="21"/>
                <w:szCs w:val="21"/>
                <w:shd w:val="clear" w:color="auto" w:fill="auto"/>
                <w:lang w:eastAsia="zh-CN"/>
              </w:rPr>
              <w:t>限期改正</w:t>
            </w:r>
          </w:p>
        </w:tc>
        <w:tc>
          <w:tcPr>
            <w:tcW w:w="249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40" w:hRule="atLeast"/>
          <w:jc w:val="center"/>
        </w:trPr>
        <w:tc>
          <w:tcPr>
            <w:tcW w:w="1419"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1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49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40" w:hRule="atLeast"/>
          <w:jc w:val="center"/>
        </w:trPr>
        <w:tc>
          <w:tcPr>
            <w:tcW w:w="1419"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49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40" w:hRule="atLeast"/>
          <w:jc w:val="center"/>
        </w:trPr>
        <w:tc>
          <w:tcPr>
            <w:tcW w:w="1419"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7天以上</w:t>
            </w:r>
          </w:p>
        </w:tc>
        <w:tc>
          <w:tcPr>
            <w:tcW w:w="249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40" w:hRule="atLeast"/>
          <w:jc w:val="center"/>
        </w:trPr>
        <w:tc>
          <w:tcPr>
            <w:tcW w:w="1419"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49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40" w:hRule="atLeast"/>
          <w:jc w:val="center"/>
        </w:trPr>
        <w:tc>
          <w:tcPr>
            <w:tcW w:w="141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49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40" w:hRule="atLeast"/>
          <w:jc w:val="center"/>
        </w:trPr>
        <w:tc>
          <w:tcPr>
            <w:tcW w:w="141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49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40" w:hRule="atLeast"/>
          <w:jc w:val="center"/>
        </w:trPr>
        <w:tc>
          <w:tcPr>
            <w:tcW w:w="141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49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40" w:hRule="atLeast"/>
          <w:jc w:val="center"/>
        </w:trPr>
        <w:tc>
          <w:tcPr>
            <w:tcW w:w="141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49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40" w:hRule="atLeast"/>
          <w:jc w:val="center"/>
        </w:trPr>
        <w:tc>
          <w:tcPr>
            <w:tcW w:w="141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w:t>
            </w:r>
            <w:r>
              <w:rPr>
                <w:rFonts w:hint="default" w:ascii="Times New Roman" w:hAnsi="Times New Roman" w:cs="Times New Roman"/>
                <w:b/>
                <w:bCs/>
                <w:color w:val="auto"/>
                <w:sz w:val="20"/>
                <w:szCs w:val="20"/>
                <w:shd w:val="clear" w:color="auto" w:fill="auto"/>
              </w:rPr>
              <w:t>次数</w:t>
            </w:r>
          </w:p>
        </w:tc>
        <w:tc>
          <w:tcPr>
            <w:tcW w:w="51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4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41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24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41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24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41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rPr>
              <w:t>执法检查</w:t>
            </w:r>
          </w:p>
        </w:tc>
        <w:tc>
          <w:tcPr>
            <w:tcW w:w="51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49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41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49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40" w:hRule="atLeast"/>
          <w:jc w:val="center"/>
        </w:trPr>
        <w:tc>
          <w:tcPr>
            <w:tcW w:w="141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49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40" w:hRule="atLeast"/>
          <w:jc w:val="center"/>
        </w:trPr>
        <w:tc>
          <w:tcPr>
            <w:tcW w:w="141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49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4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27"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eastAsia="宋体" w:cs="Times New Roman"/>
                <w:color w:val="auto"/>
                <w:sz w:val="20"/>
                <w:szCs w:val="20"/>
                <w:shd w:val="clear" w:color="auto" w:fill="auto"/>
                <w:lang w:eastAsia="zh-CN"/>
              </w:rPr>
            </w:pPr>
          </w:p>
        </w:tc>
      </w:tr>
    </w:tbl>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5014"/>
        <w:gridCol w:w="2417"/>
      </w:tblGrid>
      <w:tr>
        <w:trPr>
          <w:trHeight w:val="397" w:hRule="atLeast"/>
          <w:jc w:val="center"/>
        </w:trPr>
        <w:tc>
          <w:tcPr>
            <w:tcW w:w="8964"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97" w:hRule="atLeast"/>
          <w:jc w:val="center"/>
        </w:trPr>
        <w:tc>
          <w:tcPr>
            <w:tcW w:w="1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431"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37</w:t>
            </w:r>
          </w:p>
        </w:tc>
      </w:tr>
      <w:tr>
        <w:trPr>
          <w:trHeight w:val="397" w:hRule="atLeast"/>
          <w:jc w:val="center"/>
        </w:trPr>
        <w:tc>
          <w:tcPr>
            <w:tcW w:w="1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431" w:type="dxa"/>
            <w:gridSpan w:val="2"/>
            <w:vAlign w:val="top"/>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0" w:firstLineChars="200"/>
              <w:outlineLvl w:val="9"/>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在人口密集区域和其他需要特殊保护的区域及其周边，新建、改建和扩建石化、焦化、制药、油漆、塑料、橡胶、造纸、饲料等生产项目的</w:t>
            </w:r>
          </w:p>
        </w:tc>
      </w:tr>
      <w:tr>
        <w:trPr>
          <w:trHeight w:val="397" w:hRule="atLeast"/>
          <w:jc w:val="center"/>
        </w:trPr>
        <w:tc>
          <w:tcPr>
            <w:tcW w:w="1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431" w:type="dxa"/>
            <w:gridSpan w:val="2"/>
            <w:vAlign w:val="top"/>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《河南省大气污染防治条例》第三十八条第二款</w:t>
            </w:r>
            <w:r>
              <w:rPr>
                <w:rFonts w:hint="default" w:ascii="Times New Roman" w:hAnsi="Times New Roman" w:cs="Times New Roman"/>
                <w:color w:val="auto"/>
                <w:kern w:val="0"/>
                <w:sz w:val="20"/>
                <w:szCs w:val="20"/>
                <w:shd w:val="clear" w:color="auto" w:fill="auto"/>
              </w:rPr>
              <w:t xml:space="preserve"> 在居民住宅区等人口密集区域和医院、学校、幼儿园、养老院等其他需要特殊保护的区域及其周边，不得新建、改建和扩建石化、焦化、制药、油漆、塑料、橡胶、造纸、饲料等易产生恶臭气体的生产项目或者从事其他产生恶臭气体的生产经营活动。已建成的，应当逐步搬迁或者升级改造。</w:t>
            </w:r>
          </w:p>
        </w:tc>
      </w:tr>
      <w:tr>
        <w:trPr>
          <w:trHeight w:val="397" w:hRule="atLeast"/>
          <w:jc w:val="center"/>
        </w:trPr>
        <w:tc>
          <w:tcPr>
            <w:tcW w:w="1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431" w:type="dxa"/>
            <w:gridSpan w:val="2"/>
            <w:vAlign w:val="top"/>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《河南省大气污染防治条例》第七十二条第（三）项</w:t>
            </w:r>
            <w:r>
              <w:rPr>
                <w:rFonts w:hint="default" w:ascii="Times New Roman" w:hAnsi="Times New Roman" w:cs="Times New Roman"/>
                <w:color w:val="auto"/>
                <w:kern w:val="0"/>
                <w:sz w:val="20"/>
                <w:szCs w:val="20"/>
                <w:shd w:val="clear" w:color="auto" w:fill="auto"/>
              </w:rPr>
              <w:t xml:space="preserve"> 有下列行为之一的，由县级以上人民政府环境保护主管部门责令改正，处二万元以上二十万元以下罚款；拒不改正的，责令停产整治：</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（三）违反本条例第三十八条第二款规定，在人口密集区域和其他需要特殊保护的区域及其周边，新建、改建和扩建石化、焦化、制药、油漆、塑料、橡胶、造纸、饲料等生产项目的。</w:t>
            </w:r>
          </w:p>
        </w:tc>
      </w:tr>
      <w:tr>
        <w:trPr>
          <w:trHeight w:val="414" w:hRule="atLeast"/>
          <w:jc w:val="center"/>
        </w:trPr>
        <w:tc>
          <w:tcPr>
            <w:tcW w:w="1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14" w:hRule="atLeast"/>
          <w:jc w:val="center"/>
        </w:trPr>
        <w:tc>
          <w:tcPr>
            <w:tcW w:w="153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新建、改建或扩建工程已经开工，尚未建成的</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2</w:t>
            </w:r>
          </w:p>
        </w:tc>
      </w:tr>
      <w:tr>
        <w:trPr>
          <w:trHeight w:val="414" w:hRule="atLeast"/>
          <w:jc w:val="center"/>
        </w:trPr>
        <w:tc>
          <w:tcPr>
            <w:tcW w:w="15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新建、改建或扩建工程已经完成，并尚未投入生产的</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14" w:hRule="atLeast"/>
          <w:jc w:val="center"/>
        </w:trPr>
        <w:tc>
          <w:tcPr>
            <w:tcW w:w="15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新建、改建或扩建工程已经完成，并已经投入生产的</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14" w:hRule="atLeast"/>
          <w:jc w:val="center"/>
        </w:trPr>
        <w:tc>
          <w:tcPr>
            <w:tcW w:w="153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污染防治设施建设使用情况</w:t>
            </w:r>
          </w:p>
        </w:tc>
        <w:tc>
          <w:tcPr>
            <w:tcW w:w="5014" w:type="dxa"/>
            <w:vAlign w:val="center"/>
          </w:tcPr>
          <w:p>
            <w:pPr>
              <w:shd w:val="clear" w:color="auto" w:fill="auto"/>
              <w:snapToGrid w:val="0"/>
              <w:spacing w:before="0" w:beforeAutospacing="0" w:after="0" w:afterAutospacing="0" w:line="320" w:lineRule="exact"/>
              <w:ind w:left="0" w:right="0" w:firstLine="1050" w:firstLineChars="500"/>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配套污染防治设施已建成的</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14" w:hRule="atLeast"/>
          <w:jc w:val="center"/>
        </w:trPr>
        <w:tc>
          <w:tcPr>
            <w:tcW w:w="15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20" w:lineRule="exact"/>
              <w:ind w:left="0" w:right="0" w:firstLine="1050" w:firstLineChars="500"/>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配套污染防治设施正在建设的</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14" w:hRule="atLeast"/>
          <w:jc w:val="center"/>
        </w:trPr>
        <w:tc>
          <w:tcPr>
            <w:tcW w:w="15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20" w:lineRule="exact"/>
              <w:ind w:left="0" w:right="0" w:firstLine="1050" w:firstLineChars="500"/>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配套污染防治设施尚未建设的</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14" w:hRule="atLeast"/>
          <w:jc w:val="center"/>
        </w:trPr>
        <w:tc>
          <w:tcPr>
            <w:tcW w:w="153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14" w:hRule="atLeast"/>
          <w:jc w:val="center"/>
        </w:trPr>
        <w:tc>
          <w:tcPr>
            <w:tcW w:w="15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14" w:hRule="atLeast"/>
          <w:jc w:val="center"/>
        </w:trPr>
        <w:tc>
          <w:tcPr>
            <w:tcW w:w="15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14" w:hRule="atLeast"/>
          <w:jc w:val="center"/>
        </w:trPr>
        <w:tc>
          <w:tcPr>
            <w:tcW w:w="15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414" w:hRule="atLeast"/>
          <w:jc w:val="center"/>
        </w:trPr>
        <w:tc>
          <w:tcPr>
            <w:tcW w:w="153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1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4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414" w:hRule="atLeast"/>
          <w:jc w:val="center"/>
        </w:trPr>
        <w:tc>
          <w:tcPr>
            <w:tcW w:w="15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4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414" w:hRule="atLeast"/>
          <w:jc w:val="center"/>
        </w:trPr>
        <w:tc>
          <w:tcPr>
            <w:tcW w:w="15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4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414" w:hRule="atLeast"/>
          <w:jc w:val="center"/>
        </w:trPr>
        <w:tc>
          <w:tcPr>
            <w:tcW w:w="1533"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1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41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14" w:hRule="atLeast"/>
          <w:jc w:val="center"/>
        </w:trPr>
        <w:tc>
          <w:tcPr>
            <w:tcW w:w="1533"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41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14" w:hRule="atLeast"/>
          <w:jc w:val="center"/>
        </w:trPr>
        <w:tc>
          <w:tcPr>
            <w:tcW w:w="1533"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41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14" w:hRule="atLeast"/>
          <w:jc w:val="center"/>
        </w:trPr>
        <w:tc>
          <w:tcPr>
            <w:tcW w:w="1533"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41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14" w:hRule="atLeast"/>
          <w:jc w:val="center"/>
        </w:trPr>
        <w:tc>
          <w:tcPr>
            <w:tcW w:w="1533"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41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53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w:t>
            </w:r>
            <w:r>
              <w:rPr>
                <w:rFonts w:hint="default" w:ascii="Times New Roman" w:hAnsi="Times New Roman" w:cs="Times New Roman"/>
                <w:b/>
                <w:bCs/>
                <w:color w:val="auto"/>
                <w:sz w:val="20"/>
                <w:szCs w:val="20"/>
                <w:shd w:val="clear" w:color="auto" w:fill="auto"/>
              </w:rPr>
              <w:t>次数</w:t>
            </w: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5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5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53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1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4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5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4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5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4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5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4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533"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eastAsia="宋体" w:cs="Times New Roman"/>
                <w:b/>
                <w:bCs/>
                <w:color w:val="auto"/>
                <w:sz w:val="20"/>
                <w:szCs w:val="20"/>
                <w:shd w:val="clear" w:color="auto" w:fill="auto"/>
                <w:lang w:eastAsia="zh-CN"/>
              </w:rPr>
            </w:pPr>
            <w:r>
              <w:rPr>
                <w:rFonts w:hint="eastAsia" w:ascii="Times New Roman" w:hAnsi="Times New Roman" w:cs="Times New Roman"/>
                <w:b/>
                <w:bCs/>
                <w:color w:val="auto"/>
                <w:sz w:val="20"/>
                <w:szCs w:val="20"/>
                <w:shd w:val="clear" w:color="auto" w:fill="auto"/>
                <w:lang w:eastAsia="zh-CN"/>
              </w:rPr>
              <w:t>备注</w:t>
            </w:r>
          </w:p>
        </w:tc>
        <w:tc>
          <w:tcPr>
            <w:tcW w:w="7431"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5123"/>
        <w:gridCol w:w="2417"/>
      </w:tblGrid>
      <w:tr>
        <w:trPr>
          <w:trHeight w:val="397" w:hRule="atLeast"/>
          <w:jc w:val="center"/>
        </w:trPr>
        <w:tc>
          <w:tcPr>
            <w:tcW w:w="8964"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97" w:hRule="atLeast"/>
          <w:jc w:val="center"/>
        </w:trPr>
        <w:tc>
          <w:tcPr>
            <w:tcW w:w="142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540"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38</w:t>
            </w:r>
          </w:p>
        </w:tc>
      </w:tr>
      <w:tr>
        <w:trPr>
          <w:trHeight w:val="90" w:hRule="atLeast"/>
          <w:jc w:val="center"/>
        </w:trPr>
        <w:tc>
          <w:tcPr>
            <w:tcW w:w="142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540" w:type="dxa"/>
            <w:gridSpan w:val="2"/>
            <w:vAlign w:val="center"/>
          </w:tcPr>
          <w:p>
            <w:pPr>
              <w:shd w:val="clear" w:color="auto" w:fill="auto"/>
              <w:snapToGrid w:val="0"/>
              <w:spacing w:before="0" w:beforeAutospacing="0" w:after="0" w:afterAutospacing="0" w:line="320" w:lineRule="exact"/>
              <w:ind w:left="0" w:right="0" w:firstLine="420" w:firstLineChars="200"/>
              <w:jc w:val="left"/>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highlight w:val="none"/>
                <w:shd w:val="clear" w:color="auto" w:fill="auto"/>
              </w:rPr>
              <w:t>在人口密集区和其他需要特殊保护的区域及其周边从事产生恶臭气体的生产经营活动的</w:t>
            </w:r>
          </w:p>
        </w:tc>
      </w:tr>
      <w:tr>
        <w:trPr>
          <w:trHeight w:val="397" w:hRule="atLeast"/>
          <w:jc w:val="center"/>
        </w:trPr>
        <w:tc>
          <w:tcPr>
            <w:tcW w:w="142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540" w:type="dxa"/>
            <w:gridSpan w:val="2"/>
            <w:vAlign w:val="top"/>
          </w:tcPr>
          <w:p>
            <w:pPr>
              <w:shd w:val="clear" w:color="auto" w:fill="auto"/>
              <w:snapToGrid w:val="0"/>
              <w:spacing w:before="0" w:beforeAutospacing="0" w:after="0" w:afterAutospacing="0" w:line="320" w:lineRule="exact"/>
              <w:ind w:left="0" w:right="0" w:firstLine="42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《河南省大气污染防治条例》第三十八条第二</w:t>
            </w:r>
            <w:r>
              <w:rPr>
                <w:rFonts w:hint="default" w:ascii="Times New Roman" w:hAnsi="Times New Roman" w:cs="Times New Roman"/>
                <w:b/>
                <w:bCs/>
                <w:color w:val="auto"/>
                <w:sz w:val="20"/>
                <w:szCs w:val="20"/>
                <w:shd w:val="clear" w:color="auto" w:fill="auto"/>
                <w:lang w:eastAsia="zh-CN"/>
              </w:rPr>
              <w:t>款</w:t>
            </w:r>
            <w:r>
              <w:rPr>
                <w:rFonts w:hint="default" w:ascii="Times New Roman" w:hAnsi="Times New Roman" w:cs="Times New Roman"/>
                <w:color w:val="auto"/>
                <w:sz w:val="20"/>
                <w:szCs w:val="20"/>
                <w:shd w:val="clear" w:color="auto" w:fill="auto"/>
              </w:rPr>
              <w:t xml:space="preserve"> 向大气排放恶臭气体的排污单位以及垃圾处置场、污水处理厂，应当按照规定设置合理的防护距离，安装净化装置或者采取其他措施减少恶臭气体排放。</w:t>
            </w:r>
          </w:p>
          <w:p>
            <w:pPr>
              <w:shd w:val="clear" w:color="auto" w:fill="auto"/>
              <w:snapToGrid w:val="0"/>
              <w:spacing w:before="0" w:beforeAutospacing="0" w:after="0" w:afterAutospacing="0" w:line="320" w:lineRule="exact"/>
              <w:ind w:left="0" w:right="0" w:firstLine="42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在居民住宅区等人口密集区域和医院、学校、幼儿园、养老院等其他需要特殊保护的区域及其周边，不得新建、改建和扩建石化、焦化、制药、油漆、塑料、橡胶、造纸、饲料等产生恶臭气体的生产项目或者从事其他产生恶臭气体的生产经营活动。</w:t>
            </w:r>
          </w:p>
        </w:tc>
      </w:tr>
      <w:tr>
        <w:trPr>
          <w:trHeight w:val="397" w:hRule="atLeast"/>
          <w:jc w:val="center"/>
        </w:trPr>
        <w:tc>
          <w:tcPr>
            <w:tcW w:w="142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540" w:type="dxa"/>
            <w:gridSpan w:val="2"/>
            <w:vAlign w:val="top"/>
          </w:tcPr>
          <w:p>
            <w:pPr>
              <w:shd w:val="clear" w:color="auto" w:fill="auto"/>
              <w:snapToGrid w:val="0"/>
              <w:spacing w:before="0" w:beforeAutospacing="0" w:after="0" w:afterAutospacing="0" w:line="320" w:lineRule="exact"/>
              <w:ind w:left="0" w:right="0" w:firstLine="420"/>
              <w:jc w:val="left"/>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b/>
                <w:bCs/>
                <w:color w:val="auto"/>
                <w:sz w:val="20"/>
                <w:szCs w:val="20"/>
                <w:shd w:val="clear" w:color="auto" w:fill="auto"/>
              </w:rPr>
              <w:t>《河南省大气污染防治条例》第七十三条第（二）项</w:t>
            </w:r>
            <w:r>
              <w:rPr>
                <w:rFonts w:hint="default" w:ascii="Times New Roman" w:hAnsi="Times New Roman" w:cs="Times New Roman"/>
                <w:color w:val="auto"/>
                <w:sz w:val="20"/>
                <w:szCs w:val="20"/>
                <w:shd w:val="clear" w:color="auto" w:fill="auto"/>
              </w:rPr>
              <w:t xml:space="preserve"> 有下列行为之一的，由县级以上人民政府环境保护主管部门或者其他负有监督管理职责的部门责令改正，处二万元以上十万元以下罚款；拒不改正的，责令停工整治或者停业整治：</w:t>
            </w:r>
            <w:r>
              <w:rPr>
                <w:rFonts w:hint="default" w:ascii="Times New Roman" w:hAnsi="Times New Roman" w:cs="Times New Roman"/>
                <w:color w:val="auto"/>
                <w:sz w:val="20"/>
                <w:szCs w:val="20"/>
                <w:shd w:val="clear" w:color="auto" w:fill="auto"/>
                <w:lang w:val="en-US" w:eastAsia="zh-CN"/>
              </w:rPr>
              <w:t xml:space="preserve">   </w:t>
            </w:r>
          </w:p>
          <w:p>
            <w:pPr>
              <w:shd w:val="clear" w:color="auto" w:fill="auto"/>
              <w:snapToGrid w:val="0"/>
              <w:spacing w:before="0" w:beforeAutospacing="0" w:after="0" w:afterAutospacing="0" w:line="320" w:lineRule="exact"/>
              <w:ind w:left="0" w:right="0" w:firstLine="42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（二）违反本条例第三十八条第二款规定，在人口密集区和其他需要特殊保护的区域及其周边从事产生恶臭气体的生产经营活动的；</w:t>
            </w:r>
          </w:p>
        </w:tc>
      </w:tr>
      <w:tr>
        <w:trPr>
          <w:trHeight w:val="397" w:hRule="atLeast"/>
          <w:jc w:val="center"/>
        </w:trPr>
        <w:tc>
          <w:tcPr>
            <w:tcW w:w="142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2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86" w:hRule="atLeast"/>
          <w:jc w:val="center"/>
        </w:trPr>
        <w:tc>
          <w:tcPr>
            <w:tcW w:w="142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2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采取部分污染防</w:t>
            </w:r>
            <w:r>
              <w:rPr>
                <w:rFonts w:hint="default" w:ascii="Times New Roman" w:hAnsi="Times New Roman" w:cs="Times New Roman"/>
                <w:color w:val="auto"/>
                <w:sz w:val="20"/>
                <w:szCs w:val="20"/>
                <w:shd w:val="clear" w:color="auto" w:fill="auto"/>
                <w:lang w:val="en-US"/>
              </w:rPr>
              <w:t>治</w:t>
            </w:r>
            <w:r>
              <w:rPr>
                <w:rFonts w:hint="default" w:ascii="Times New Roman" w:hAnsi="Times New Roman" w:cs="Times New Roman"/>
                <w:color w:val="auto"/>
                <w:sz w:val="20"/>
                <w:szCs w:val="20"/>
                <w:shd w:val="clear" w:color="auto" w:fill="auto"/>
                <w:lang w:eastAsia="zh-CN"/>
              </w:rPr>
              <w:t>措施</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2</w:t>
            </w:r>
          </w:p>
        </w:tc>
      </w:tr>
      <w:tr>
        <w:trPr>
          <w:trHeight w:val="386" w:hRule="atLeast"/>
          <w:jc w:val="center"/>
        </w:trPr>
        <w:tc>
          <w:tcPr>
            <w:tcW w:w="142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未采取污染防治措施的</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3</w:t>
            </w:r>
          </w:p>
        </w:tc>
      </w:tr>
      <w:tr>
        <w:trPr>
          <w:trHeight w:val="386" w:hRule="atLeast"/>
          <w:jc w:val="center"/>
        </w:trPr>
        <w:tc>
          <w:tcPr>
            <w:tcW w:w="142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12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jc w:val="center"/>
        </w:trPr>
        <w:tc>
          <w:tcPr>
            <w:tcW w:w="142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86" w:hRule="atLeast"/>
          <w:jc w:val="center"/>
        </w:trPr>
        <w:tc>
          <w:tcPr>
            <w:tcW w:w="142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86" w:hRule="atLeast"/>
          <w:jc w:val="center"/>
        </w:trPr>
        <w:tc>
          <w:tcPr>
            <w:tcW w:w="142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3"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cs="Times New Roman"/>
                <w:color w:val="auto"/>
                <w:sz w:val="20"/>
                <w:szCs w:val="20"/>
                <w:shd w:val="clear" w:color="auto" w:fill="auto"/>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4</w:t>
            </w:r>
          </w:p>
        </w:tc>
      </w:tr>
      <w:tr>
        <w:trPr>
          <w:trHeight w:val="386" w:hRule="atLeast"/>
          <w:jc w:val="center"/>
        </w:trPr>
        <w:tc>
          <w:tcPr>
            <w:tcW w:w="1424" w:type="dxa"/>
            <w:vMerge w:val="restart"/>
            <w:vAlign w:val="center"/>
          </w:tcPr>
          <w:p>
            <w:pPr>
              <w:shd w:val="clear" w:color="auto" w:fill="auto"/>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管理类别</w:t>
            </w:r>
          </w:p>
        </w:tc>
        <w:tc>
          <w:tcPr>
            <w:tcW w:w="512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登记管理</w:t>
            </w:r>
          </w:p>
        </w:tc>
        <w:tc>
          <w:tcPr>
            <w:tcW w:w="24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86" w:hRule="atLeast"/>
          <w:jc w:val="center"/>
        </w:trPr>
        <w:tc>
          <w:tcPr>
            <w:tcW w:w="1424" w:type="dxa"/>
            <w:vMerge w:val="continue"/>
            <w:vAlign w:val="center"/>
          </w:tcPr>
          <w:p>
            <w:pPr>
              <w:shd w:val="clear" w:color="auto" w:fill="auto"/>
              <w:spacing w:before="0" w:beforeAutospacing="0" w:after="0" w:afterAutospacing="0" w:line="320" w:lineRule="exact"/>
              <w:ind w:left="0" w:right="0"/>
              <w:rPr>
                <w:rFonts w:hint="default" w:ascii="Times New Roman" w:hAnsi="Times New Roman" w:cs="Times New Roman"/>
                <w:color w:val="auto"/>
                <w:sz w:val="20"/>
                <w:szCs w:val="20"/>
                <w:shd w:val="clear" w:color="auto" w:fill="auto"/>
              </w:rPr>
            </w:pPr>
          </w:p>
        </w:tc>
        <w:tc>
          <w:tcPr>
            <w:tcW w:w="512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eastAsia="zh-CN"/>
              </w:rPr>
              <w:t>简化管理</w:t>
            </w:r>
          </w:p>
        </w:tc>
        <w:tc>
          <w:tcPr>
            <w:tcW w:w="24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386" w:hRule="atLeast"/>
          <w:jc w:val="center"/>
        </w:trPr>
        <w:tc>
          <w:tcPr>
            <w:tcW w:w="1424" w:type="dxa"/>
            <w:vMerge w:val="continue"/>
            <w:vAlign w:val="center"/>
          </w:tcPr>
          <w:p>
            <w:pPr>
              <w:shd w:val="clear" w:color="auto" w:fill="auto"/>
              <w:spacing w:before="0" w:beforeAutospacing="0" w:after="0" w:afterAutospacing="0" w:line="320" w:lineRule="exact"/>
              <w:ind w:left="0" w:right="0"/>
              <w:rPr>
                <w:rFonts w:hint="default" w:ascii="Times New Roman" w:hAnsi="Times New Roman" w:cs="Times New Roman"/>
                <w:color w:val="auto"/>
                <w:sz w:val="20"/>
                <w:szCs w:val="20"/>
                <w:shd w:val="clear" w:color="auto" w:fill="auto"/>
              </w:rPr>
            </w:pPr>
          </w:p>
        </w:tc>
        <w:tc>
          <w:tcPr>
            <w:tcW w:w="512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eastAsia="zh-CN"/>
              </w:rPr>
              <w:t>重点管理</w:t>
            </w:r>
          </w:p>
        </w:tc>
        <w:tc>
          <w:tcPr>
            <w:tcW w:w="2417" w:type="dxa"/>
            <w:vAlign w:val="center"/>
          </w:tcPr>
          <w:p>
            <w:pPr>
              <w:shd w:val="clear" w:color="auto" w:fill="auto"/>
              <w:tabs>
                <w:tab w:val="center" w:pos="1100"/>
              </w:tabs>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86" w:hRule="atLeast"/>
          <w:jc w:val="center"/>
        </w:trPr>
        <w:tc>
          <w:tcPr>
            <w:tcW w:w="1424"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2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41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86" w:hRule="atLeast"/>
          <w:jc w:val="center"/>
        </w:trPr>
        <w:tc>
          <w:tcPr>
            <w:tcW w:w="142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p>
        </w:tc>
        <w:tc>
          <w:tcPr>
            <w:tcW w:w="512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41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86" w:hRule="atLeast"/>
          <w:jc w:val="center"/>
        </w:trPr>
        <w:tc>
          <w:tcPr>
            <w:tcW w:w="142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p>
        </w:tc>
        <w:tc>
          <w:tcPr>
            <w:tcW w:w="512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41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86" w:hRule="atLeast"/>
          <w:jc w:val="center"/>
        </w:trPr>
        <w:tc>
          <w:tcPr>
            <w:tcW w:w="142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p>
        </w:tc>
        <w:tc>
          <w:tcPr>
            <w:tcW w:w="512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41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86" w:hRule="atLeast"/>
          <w:jc w:val="center"/>
        </w:trPr>
        <w:tc>
          <w:tcPr>
            <w:tcW w:w="142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p>
        </w:tc>
        <w:tc>
          <w:tcPr>
            <w:tcW w:w="512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41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86" w:hRule="atLeast"/>
          <w:jc w:val="center"/>
        </w:trPr>
        <w:tc>
          <w:tcPr>
            <w:tcW w:w="142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color w:val="auto"/>
                <w:sz w:val="21"/>
                <w:szCs w:val="20"/>
                <w:shd w:val="clear" w:color="auto" w:fill="auto"/>
              </w:rPr>
            </w:pPr>
            <w:r>
              <w:rPr>
                <w:rFonts w:hint="default" w:ascii="Times New Roman" w:hAnsi="Times New Roman" w:cs="Times New Roman"/>
                <w:b/>
                <w:color w:val="auto"/>
                <w:sz w:val="21"/>
                <w:szCs w:val="20"/>
                <w:shd w:val="clear" w:color="auto" w:fill="auto"/>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color w:val="auto"/>
                <w:sz w:val="21"/>
                <w:szCs w:val="20"/>
                <w:shd w:val="clear" w:color="auto" w:fill="auto"/>
              </w:rPr>
            </w:pPr>
            <w:r>
              <w:rPr>
                <w:rFonts w:hint="default" w:ascii="Times New Roman" w:hAnsi="Times New Roman" w:cs="Times New Roman"/>
                <w:b/>
                <w:color w:val="auto"/>
                <w:sz w:val="21"/>
                <w:szCs w:val="20"/>
                <w:shd w:val="clear" w:color="auto" w:fill="auto"/>
              </w:rPr>
              <w:t>发生时期</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color w:val="auto"/>
                <w:sz w:val="21"/>
                <w:szCs w:val="20"/>
                <w:shd w:val="clear" w:color="auto" w:fill="auto"/>
              </w:rPr>
              <w:t>环境敏感度</w:t>
            </w:r>
          </w:p>
        </w:tc>
        <w:tc>
          <w:tcPr>
            <w:tcW w:w="512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一般期间</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0"/>
                <w:shd w:val="clear" w:color="auto" w:fill="auto"/>
              </w:rPr>
              <w:t>1</w:t>
            </w:r>
          </w:p>
        </w:tc>
      </w:tr>
      <w:tr>
        <w:trPr>
          <w:trHeight w:val="386" w:hRule="atLeast"/>
          <w:jc w:val="center"/>
        </w:trPr>
        <w:tc>
          <w:tcPr>
            <w:tcW w:w="142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12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重污染天气黄色预警期间</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0"/>
                <w:shd w:val="clear" w:color="auto" w:fill="auto"/>
              </w:rPr>
              <w:t>2</w:t>
            </w:r>
          </w:p>
        </w:tc>
      </w:tr>
      <w:tr>
        <w:trPr>
          <w:trHeight w:val="386" w:hRule="atLeast"/>
          <w:jc w:val="center"/>
        </w:trPr>
        <w:tc>
          <w:tcPr>
            <w:tcW w:w="142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bidi="ar-SA"/>
              </w:rPr>
            </w:pPr>
          </w:p>
        </w:tc>
        <w:tc>
          <w:tcPr>
            <w:tcW w:w="512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重污染天气橙色预警期间</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0"/>
                <w:shd w:val="clear" w:color="auto" w:fill="auto"/>
              </w:rPr>
              <w:t>3</w:t>
            </w:r>
          </w:p>
        </w:tc>
      </w:tr>
      <w:tr>
        <w:trPr>
          <w:trHeight w:val="386" w:hRule="atLeast"/>
          <w:jc w:val="center"/>
        </w:trPr>
        <w:tc>
          <w:tcPr>
            <w:tcW w:w="142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12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rPr>
              <w:t>重污染天气红色预警期间</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1"/>
                <w:szCs w:val="20"/>
                <w:shd w:val="clear" w:color="auto" w:fill="auto"/>
              </w:rPr>
              <w:t>4</w:t>
            </w:r>
          </w:p>
        </w:tc>
      </w:tr>
      <w:tr>
        <w:trPr>
          <w:trHeight w:val="386" w:hRule="atLeast"/>
          <w:jc w:val="center"/>
        </w:trPr>
        <w:tc>
          <w:tcPr>
            <w:tcW w:w="142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12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rPr>
              <w:t>特殊或重大活动期间</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1"/>
                <w:szCs w:val="20"/>
                <w:shd w:val="clear" w:color="auto" w:fill="auto"/>
              </w:rPr>
              <w:t>5</w:t>
            </w:r>
          </w:p>
        </w:tc>
      </w:tr>
      <w:tr>
        <w:trPr>
          <w:trHeight w:val="386" w:hRule="atLeast"/>
          <w:jc w:val="center"/>
        </w:trPr>
        <w:tc>
          <w:tcPr>
            <w:tcW w:w="142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r>
              <w:rPr>
                <w:rFonts w:hint="default" w:ascii="Times New Roman" w:hAnsi="Times New Roman" w:cs="Times New Roman"/>
                <w:b/>
                <w:bCs/>
                <w:color w:val="auto"/>
                <w:sz w:val="20"/>
                <w:szCs w:val="20"/>
                <w:shd w:val="clear" w:color="auto" w:fill="auto"/>
                <w:lang w:val="en-US"/>
              </w:rPr>
              <w:t>改正时间</w:t>
            </w:r>
          </w:p>
        </w:tc>
        <w:tc>
          <w:tcPr>
            <w:tcW w:w="512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kern w:val="2"/>
                <w:sz w:val="21"/>
                <w:szCs w:val="21"/>
                <w:shd w:val="clear" w:color="auto" w:fill="auto"/>
                <w:lang w:eastAsia="zh-CN"/>
              </w:rPr>
              <w:t>限期改正</w:t>
            </w:r>
          </w:p>
        </w:tc>
        <w:tc>
          <w:tcPr>
            <w:tcW w:w="24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86" w:hRule="atLeast"/>
          <w:jc w:val="center"/>
        </w:trPr>
        <w:tc>
          <w:tcPr>
            <w:tcW w:w="142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12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4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86" w:hRule="atLeast"/>
          <w:jc w:val="center"/>
        </w:trPr>
        <w:tc>
          <w:tcPr>
            <w:tcW w:w="142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p>
        </w:tc>
        <w:tc>
          <w:tcPr>
            <w:tcW w:w="512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24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86" w:hRule="atLeast"/>
          <w:jc w:val="center"/>
        </w:trPr>
        <w:tc>
          <w:tcPr>
            <w:tcW w:w="142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p>
        </w:tc>
        <w:tc>
          <w:tcPr>
            <w:tcW w:w="512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24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86" w:hRule="atLeast"/>
          <w:jc w:val="center"/>
        </w:trPr>
        <w:tc>
          <w:tcPr>
            <w:tcW w:w="142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w:t>
            </w:r>
            <w:r>
              <w:rPr>
                <w:rFonts w:hint="default" w:ascii="Times New Roman" w:hAnsi="Times New Roman" w:cs="Times New Roman"/>
                <w:b/>
                <w:bCs/>
                <w:color w:val="auto"/>
                <w:sz w:val="20"/>
                <w:szCs w:val="20"/>
                <w:shd w:val="clear" w:color="auto" w:fill="auto"/>
              </w:rPr>
              <w:t>次数</w:t>
            </w:r>
          </w:p>
        </w:tc>
        <w:tc>
          <w:tcPr>
            <w:tcW w:w="512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86" w:hRule="atLeast"/>
          <w:jc w:val="center"/>
        </w:trPr>
        <w:tc>
          <w:tcPr>
            <w:tcW w:w="142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86" w:hRule="atLeast"/>
          <w:jc w:val="center"/>
        </w:trPr>
        <w:tc>
          <w:tcPr>
            <w:tcW w:w="142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241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86" w:hRule="atLeast"/>
          <w:jc w:val="center"/>
        </w:trPr>
        <w:tc>
          <w:tcPr>
            <w:tcW w:w="142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2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4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86" w:hRule="atLeast"/>
          <w:jc w:val="center"/>
        </w:trPr>
        <w:tc>
          <w:tcPr>
            <w:tcW w:w="142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2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4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86" w:hRule="atLeast"/>
          <w:jc w:val="center"/>
        </w:trPr>
        <w:tc>
          <w:tcPr>
            <w:tcW w:w="142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2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4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86" w:hRule="atLeast"/>
          <w:jc w:val="center"/>
        </w:trPr>
        <w:tc>
          <w:tcPr>
            <w:tcW w:w="142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2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41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42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540"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5123"/>
        <w:gridCol w:w="2508"/>
      </w:tblGrid>
      <w:tr>
        <w:trPr>
          <w:trHeight w:val="397" w:hRule="atLeast"/>
          <w:jc w:val="center"/>
        </w:trPr>
        <w:tc>
          <w:tcPr>
            <w:tcW w:w="8964" w:type="dxa"/>
            <w:gridSpan w:val="3"/>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97" w:hRule="atLeast"/>
          <w:jc w:val="center"/>
        </w:trPr>
        <w:tc>
          <w:tcPr>
            <w:tcW w:w="1333"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31" w:type="dxa"/>
            <w:gridSpan w:val="2"/>
            <w:vAlign w:val="center"/>
          </w:tcPr>
          <w:p>
            <w:pPr>
              <w:shd w:val="clear" w:color="auto" w:fill="auto"/>
              <w:snapToGrid w:val="0"/>
              <w:spacing w:before="0" w:beforeAutospacing="0" w:after="0" w:afterAutospacing="0"/>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39</w:t>
            </w:r>
          </w:p>
        </w:tc>
      </w:tr>
      <w:tr>
        <w:trPr>
          <w:trHeight w:val="397" w:hRule="atLeast"/>
          <w:jc w:val="center"/>
        </w:trPr>
        <w:tc>
          <w:tcPr>
            <w:tcW w:w="1333"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31"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ind w:left="0" w:right="0" w:firstLine="420" w:firstLineChars="200"/>
              <w:jc w:val="left"/>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未建立科学有效的回收利用和安全处置制度，随意排放、抛洒或者丢弃消耗臭氧层物质的</w:t>
            </w:r>
          </w:p>
        </w:tc>
      </w:tr>
      <w:tr>
        <w:trPr>
          <w:trHeight w:val="397" w:hRule="atLeast"/>
          <w:jc w:val="center"/>
        </w:trPr>
        <w:tc>
          <w:tcPr>
            <w:tcW w:w="1333" w:type="dxa"/>
            <w:vAlign w:val="center"/>
          </w:tcPr>
          <w:p>
            <w:pPr>
              <w:shd w:val="clear" w:color="auto" w:fill="auto"/>
              <w:snapToGrid w:val="0"/>
              <w:spacing w:before="0" w:beforeAutospacing="0" w:after="0" w:afterAutospacing="0" w:line="288" w:lineRule="auto"/>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31" w:type="dxa"/>
            <w:gridSpan w:val="2"/>
            <w:vAlign w:val="top"/>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Autospacing="0" w:after="0" w:afterAutospacing="0" w:line="288" w:lineRule="auto"/>
              <w:ind w:left="0" w:right="0" w:firstLine="422" w:firstLineChars="20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《河南省大气污染防治条例》第四十条</w:t>
            </w:r>
            <w:r>
              <w:rPr>
                <w:rFonts w:hint="default" w:ascii="Times New Roman" w:hAnsi="Times New Roman" w:cs="Times New Roman"/>
                <w:color w:val="auto"/>
                <w:sz w:val="20"/>
                <w:szCs w:val="20"/>
                <w:shd w:val="clear" w:color="auto" w:fill="auto"/>
              </w:rPr>
              <w:t xml:space="preserve"> 企业事业单位和其他生产经营者应当严格执行国家有关消耗臭氧层物质的生产、销售、使用和进出口管理规定，建立科学有效的回收利用和安全处置制度，不得随意排放、抛洒或者丢弃。</w:t>
            </w:r>
          </w:p>
        </w:tc>
      </w:tr>
      <w:tr>
        <w:trPr>
          <w:trHeight w:val="397" w:hRule="atLeast"/>
          <w:jc w:val="center"/>
        </w:trPr>
        <w:tc>
          <w:tcPr>
            <w:tcW w:w="1333" w:type="dxa"/>
            <w:vAlign w:val="center"/>
          </w:tcPr>
          <w:p>
            <w:pPr>
              <w:shd w:val="clear" w:color="auto" w:fill="auto"/>
              <w:snapToGrid w:val="0"/>
              <w:spacing w:before="0" w:beforeAutospacing="0" w:after="0" w:afterAutospacing="0" w:line="288" w:lineRule="auto"/>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31" w:type="dxa"/>
            <w:gridSpan w:val="2"/>
            <w:vAlign w:val="top"/>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Autospacing="0" w:after="0" w:afterAutospacing="0" w:line="288" w:lineRule="auto"/>
              <w:ind w:left="0" w:right="0" w:firstLine="422" w:firstLineChars="20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《河南省大气污染防治条例》第七十三条第（四）项 </w:t>
            </w:r>
            <w:r>
              <w:rPr>
                <w:rFonts w:hint="default" w:ascii="Times New Roman" w:hAnsi="Times New Roman" w:cs="Times New Roman"/>
                <w:color w:val="auto"/>
                <w:sz w:val="20"/>
                <w:szCs w:val="20"/>
                <w:shd w:val="clear" w:color="auto" w:fill="auto"/>
              </w:rPr>
              <w:t>有下列行为之一的，由县级以上人民政府环境保护主管部门或者其他负有监督管理职责的部门责令改正，处二万元以上十万元以下罚款；拒不改正的，责令停工整治或者停业整治：</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Autospacing="0" w:after="0" w:afterAutospacing="0" w:line="288" w:lineRule="auto"/>
              <w:ind w:left="0" w:right="0" w:firstLine="420" w:firstLineChars="20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（四）违反本条例第四十条规定，未建立科学有效的回收利用和安全处置制度，随意排放、抛洒或者丢弃消耗臭氧层物质的。</w:t>
            </w:r>
          </w:p>
        </w:tc>
      </w:tr>
      <w:tr>
        <w:trPr>
          <w:trHeight w:val="397" w:hRule="atLeast"/>
          <w:jc w:val="center"/>
        </w:trPr>
        <w:tc>
          <w:tcPr>
            <w:tcW w:w="1333"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23"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08"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jc w:val="center"/>
        </w:trPr>
        <w:tc>
          <w:tcPr>
            <w:tcW w:w="1333"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23"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未规范建立科学有效的回收利用和安全处置制度，未随意排放、抛洒或者丢弃消耗臭氧层物质的</w:t>
            </w:r>
          </w:p>
        </w:tc>
        <w:tc>
          <w:tcPr>
            <w:tcW w:w="2508"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23"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未规范建立科学有效的回收利用和安全处置制度，且随意排放、抛洒或者丢弃消耗臭氧层物质的</w:t>
            </w:r>
          </w:p>
        </w:tc>
        <w:tc>
          <w:tcPr>
            <w:tcW w:w="2508"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23"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未建立科学有效的回收利用和安全处置制度，且随意排放、抛洒或者丢弃消耗臭氧层物质的</w:t>
            </w:r>
          </w:p>
        </w:tc>
        <w:tc>
          <w:tcPr>
            <w:tcW w:w="2508"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3"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涉及消耗</w:t>
            </w:r>
          </w:p>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臭氧层物质数量</w:t>
            </w:r>
          </w:p>
        </w:tc>
        <w:tc>
          <w:tcPr>
            <w:tcW w:w="5123" w:type="dxa"/>
            <w:vAlign w:val="center"/>
          </w:tcPr>
          <w:p>
            <w:pPr>
              <w:pStyle w:val="18"/>
              <w:shd w:val="clear" w:color="auto" w:fill="auto"/>
              <w:snapToGrid w:val="0"/>
              <w:spacing w:before="0" w:beforeAutospacing="0" w:after="0" w:afterAutospacing="0"/>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10千克</w:t>
            </w:r>
            <w:r>
              <w:rPr>
                <w:rFonts w:hint="default" w:ascii="Times New Roman" w:hAnsi="Times New Roman" w:cs="Times New Roman"/>
                <w:color w:val="auto"/>
                <w:sz w:val="20"/>
                <w:szCs w:val="20"/>
                <w:shd w:val="clear" w:color="auto" w:fill="auto"/>
                <w:lang w:val="en-US" w:eastAsia="zh-CN"/>
              </w:rPr>
              <w:t>以下</w:t>
            </w:r>
          </w:p>
        </w:tc>
        <w:tc>
          <w:tcPr>
            <w:tcW w:w="2508" w:type="dxa"/>
            <w:vAlign w:val="center"/>
          </w:tcPr>
          <w:p>
            <w:pPr>
              <w:pStyle w:val="18"/>
              <w:shd w:val="clear" w:color="auto" w:fill="auto"/>
              <w:snapToGrid w:val="0"/>
              <w:spacing w:before="0" w:beforeAutospacing="0" w:after="0" w:afterAutospacing="0"/>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23"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10千克以上100千克</w:t>
            </w:r>
            <w:r>
              <w:rPr>
                <w:rFonts w:hint="default" w:ascii="Times New Roman" w:hAnsi="Times New Roman" w:cs="Times New Roman"/>
                <w:color w:val="auto"/>
                <w:sz w:val="20"/>
                <w:szCs w:val="20"/>
                <w:shd w:val="clear" w:color="auto" w:fill="auto"/>
                <w:lang w:val="en-US" w:eastAsia="zh-CN"/>
              </w:rPr>
              <w:t>以下</w:t>
            </w:r>
          </w:p>
        </w:tc>
        <w:tc>
          <w:tcPr>
            <w:tcW w:w="2508"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23"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100千克以上500千克</w:t>
            </w:r>
            <w:r>
              <w:rPr>
                <w:rFonts w:hint="default" w:ascii="Times New Roman" w:hAnsi="Times New Roman" w:cs="Times New Roman"/>
                <w:color w:val="auto"/>
                <w:sz w:val="20"/>
                <w:szCs w:val="20"/>
                <w:shd w:val="clear" w:color="auto" w:fill="auto"/>
                <w:lang w:val="en-US" w:eastAsia="zh-CN"/>
              </w:rPr>
              <w:t>以下</w:t>
            </w:r>
          </w:p>
        </w:tc>
        <w:tc>
          <w:tcPr>
            <w:tcW w:w="2508"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23"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500千克以上1000千克</w:t>
            </w:r>
            <w:r>
              <w:rPr>
                <w:rFonts w:hint="default" w:ascii="Times New Roman" w:hAnsi="Times New Roman" w:cs="Times New Roman"/>
                <w:color w:val="auto"/>
                <w:sz w:val="20"/>
                <w:szCs w:val="20"/>
                <w:shd w:val="clear" w:color="auto" w:fill="auto"/>
                <w:lang w:val="en-US" w:eastAsia="zh-CN"/>
              </w:rPr>
              <w:t>以下</w:t>
            </w:r>
          </w:p>
        </w:tc>
        <w:tc>
          <w:tcPr>
            <w:tcW w:w="2508"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23"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1000千克以上</w:t>
            </w:r>
          </w:p>
        </w:tc>
        <w:tc>
          <w:tcPr>
            <w:tcW w:w="2508"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72" w:hRule="atLeast"/>
          <w:jc w:val="center"/>
        </w:trPr>
        <w:tc>
          <w:tcPr>
            <w:tcW w:w="1333"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123"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508"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23"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508"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23"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508"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23" w:type="dxa"/>
            <w:vAlign w:val="center"/>
          </w:tcPr>
          <w:p>
            <w:pPr>
              <w:shd w:val="clear" w:color="auto" w:fill="auto"/>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508"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33"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消耗臭氧层物质种类</w:t>
            </w:r>
          </w:p>
        </w:tc>
        <w:tc>
          <w:tcPr>
            <w:tcW w:w="5123"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允许使用类物质</w:t>
            </w:r>
          </w:p>
        </w:tc>
        <w:tc>
          <w:tcPr>
            <w:tcW w:w="2508"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23"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过渡性使用类物质</w:t>
            </w:r>
          </w:p>
        </w:tc>
        <w:tc>
          <w:tcPr>
            <w:tcW w:w="2508"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23"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禁止使用类物质</w:t>
            </w:r>
          </w:p>
        </w:tc>
        <w:tc>
          <w:tcPr>
            <w:tcW w:w="2508"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3" w:type="dxa"/>
            <w:vMerge w:val="restart"/>
            <w:vAlign w:val="center"/>
          </w:tcPr>
          <w:p>
            <w:pPr>
              <w:widowControl w:val="0"/>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2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508"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jc w:val="center"/>
        </w:trPr>
        <w:tc>
          <w:tcPr>
            <w:tcW w:w="1333" w:type="dxa"/>
            <w:vMerge w:val="continue"/>
            <w:vAlign w:val="center"/>
          </w:tcPr>
          <w:p>
            <w:pPr>
              <w:widowControl w:val="0"/>
              <w:shd w:val="clear" w:color="auto" w:fill="auto"/>
              <w:snapToGrid w:val="0"/>
              <w:spacing w:before="0" w:beforeAutospacing="0" w:after="0" w:afterAutospacing="0"/>
              <w:ind w:left="0" w:leftChars="0" w:right="0"/>
              <w:jc w:val="center"/>
              <w:rPr>
                <w:rFonts w:hint="default" w:ascii="Times New Roman" w:hAnsi="Times New Roman" w:cs="Times New Roman"/>
                <w:b/>
                <w:bCs/>
                <w:color w:val="auto"/>
                <w:sz w:val="20"/>
                <w:szCs w:val="20"/>
                <w:shd w:val="clear" w:color="auto" w:fill="auto"/>
              </w:rPr>
            </w:pPr>
          </w:p>
        </w:tc>
        <w:tc>
          <w:tcPr>
            <w:tcW w:w="512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508"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jc w:val="center"/>
        </w:trPr>
        <w:tc>
          <w:tcPr>
            <w:tcW w:w="1333" w:type="dxa"/>
            <w:vMerge w:val="continue"/>
            <w:vAlign w:val="center"/>
          </w:tcPr>
          <w:p>
            <w:pPr>
              <w:widowControl w:val="0"/>
              <w:shd w:val="clear" w:color="auto" w:fill="auto"/>
              <w:snapToGrid w:val="0"/>
              <w:spacing w:before="0" w:beforeAutospacing="0" w:after="0" w:afterAutospacing="0"/>
              <w:ind w:left="0" w:leftChars="0" w:right="0"/>
              <w:jc w:val="center"/>
              <w:rPr>
                <w:rFonts w:hint="default" w:ascii="Times New Roman" w:hAnsi="Times New Roman" w:cs="Times New Roman"/>
                <w:b/>
                <w:bCs/>
                <w:color w:val="auto"/>
                <w:sz w:val="20"/>
                <w:szCs w:val="20"/>
                <w:shd w:val="clear" w:color="auto" w:fill="auto"/>
              </w:rPr>
            </w:pPr>
          </w:p>
        </w:tc>
        <w:tc>
          <w:tcPr>
            <w:tcW w:w="512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508"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jc w:val="center"/>
        </w:trPr>
        <w:tc>
          <w:tcPr>
            <w:tcW w:w="1333" w:type="dxa"/>
            <w:vMerge w:val="continue"/>
            <w:vAlign w:val="center"/>
          </w:tcPr>
          <w:p>
            <w:pPr>
              <w:widowControl w:val="0"/>
              <w:shd w:val="clear" w:color="auto" w:fill="auto"/>
              <w:snapToGrid w:val="0"/>
              <w:spacing w:before="0" w:beforeAutospacing="0" w:after="0" w:afterAutospacing="0"/>
              <w:ind w:left="0" w:leftChars="0" w:right="0"/>
              <w:jc w:val="center"/>
              <w:rPr>
                <w:rFonts w:hint="default" w:ascii="Times New Roman" w:hAnsi="Times New Roman" w:cs="Times New Roman"/>
                <w:b/>
                <w:bCs/>
                <w:color w:val="auto"/>
                <w:sz w:val="20"/>
                <w:szCs w:val="20"/>
                <w:shd w:val="clear" w:color="auto" w:fill="auto"/>
              </w:rPr>
            </w:pPr>
          </w:p>
        </w:tc>
        <w:tc>
          <w:tcPr>
            <w:tcW w:w="512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508"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jc w:val="center"/>
        </w:trPr>
        <w:tc>
          <w:tcPr>
            <w:tcW w:w="1333" w:type="dxa"/>
            <w:vMerge w:val="continue"/>
            <w:vAlign w:val="center"/>
          </w:tcPr>
          <w:p>
            <w:pPr>
              <w:widowControl w:val="0"/>
              <w:shd w:val="clear" w:color="auto" w:fill="auto"/>
              <w:snapToGrid w:val="0"/>
              <w:spacing w:before="0" w:beforeAutospacing="0" w:after="0" w:afterAutospacing="0"/>
              <w:ind w:left="0" w:leftChars="0" w:right="0"/>
              <w:jc w:val="center"/>
              <w:rPr>
                <w:rFonts w:hint="default" w:ascii="Times New Roman" w:hAnsi="Times New Roman" w:cs="Times New Roman"/>
                <w:b/>
                <w:bCs/>
                <w:color w:val="auto"/>
                <w:sz w:val="20"/>
                <w:szCs w:val="20"/>
                <w:shd w:val="clear" w:color="auto" w:fill="auto"/>
              </w:rPr>
            </w:pPr>
          </w:p>
        </w:tc>
        <w:tc>
          <w:tcPr>
            <w:tcW w:w="512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508"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333"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r>
              <w:rPr>
                <w:rFonts w:hint="default" w:ascii="Times New Roman" w:hAnsi="Times New Roman" w:cs="Times New Roman"/>
                <w:b/>
                <w:bCs/>
                <w:color w:val="auto"/>
                <w:sz w:val="20"/>
                <w:szCs w:val="20"/>
                <w:shd w:val="clear" w:color="auto" w:fill="auto"/>
                <w:lang w:val="en-US"/>
              </w:rPr>
              <w:t>改正时间</w:t>
            </w:r>
          </w:p>
        </w:tc>
        <w:tc>
          <w:tcPr>
            <w:tcW w:w="512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kern w:val="2"/>
                <w:sz w:val="21"/>
                <w:szCs w:val="21"/>
                <w:shd w:val="clear" w:color="auto" w:fill="auto"/>
                <w:lang w:eastAsia="zh-CN"/>
              </w:rPr>
              <w:t>限期改正</w:t>
            </w:r>
          </w:p>
        </w:tc>
        <w:tc>
          <w:tcPr>
            <w:tcW w:w="250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12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50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250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250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33" w:type="dxa"/>
            <w:vMerge w:val="restart"/>
            <w:vAlign w:val="center"/>
          </w:tcPr>
          <w:p>
            <w:pPr>
              <w:shd w:val="clear" w:color="auto" w:fill="auto"/>
              <w:snapToGrid w:val="0"/>
              <w:spacing w:before="0" w:beforeAutospacing="0" w:after="0" w:afterAutospacing="0" w:line="240" w:lineRule="auto"/>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w:t>
            </w:r>
            <w:r>
              <w:rPr>
                <w:rFonts w:hint="default" w:ascii="Times New Roman" w:hAnsi="Times New Roman" w:cs="Times New Roman"/>
                <w:b/>
                <w:bCs/>
                <w:color w:val="auto"/>
                <w:sz w:val="20"/>
                <w:szCs w:val="20"/>
                <w:shd w:val="clear" w:color="auto" w:fill="auto"/>
              </w:rPr>
              <w:t>次数</w:t>
            </w:r>
          </w:p>
        </w:tc>
        <w:tc>
          <w:tcPr>
            <w:tcW w:w="5123"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508"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3"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2508"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3"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2508"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3"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2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50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0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50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50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3"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31" w:type="dxa"/>
            <w:gridSpan w:val="2"/>
            <w:vAlign w:val="center"/>
          </w:tcPr>
          <w:p>
            <w:pPr>
              <w:shd w:val="clear" w:color="auto" w:fill="auto"/>
              <w:snapToGrid w:val="0"/>
              <w:spacing w:before="0" w:beforeAutospacing="0" w:after="0" w:afterAutospacing="0"/>
              <w:ind w:left="0" w:right="0" w:firstLine="420"/>
              <w:jc w:val="center"/>
              <w:rPr>
                <w:rFonts w:hint="default" w:ascii="Times New Roman" w:hAnsi="Times New Roman" w:cs="Times New Roman"/>
                <w:color w:val="auto"/>
                <w:sz w:val="20"/>
                <w:szCs w:val="20"/>
                <w:shd w:val="clear" w:color="auto" w:fill="auto"/>
              </w:rPr>
            </w:pPr>
          </w:p>
        </w:tc>
      </w:tr>
    </w:tbl>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5318"/>
        <w:gridCol w:w="2443"/>
      </w:tblGrid>
      <w:tr>
        <w:trPr>
          <w:trHeight w:val="369" w:hRule="atLeast"/>
          <w:jc w:val="center"/>
        </w:trPr>
        <w:tc>
          <w:tcPr>
            <w:tcW w:w="9060" w:type="dxa"/>
            <w:gridSpan w:val="3"/>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69" w:hRule="atLeast"/>
          <w:jc w:val="center"/>
        </w:trPr>
        <w:tc>
          <w:tcPr>
            <w:tcW w:w="129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61" w:type="dxa"/>
            <w:gridSpan w:val="2"/>
            <w:vAlign w:val="center"/>
          </w:tcPr>
          <w:p>
            <w:pPr>
              <w:shd w:val="clear" w:color="auto" w:fill="auto"/>
              <w:wordWrap/>
              <w:adjustRightInd/>
              <w:snapToGrid w:val="0"/>
              <w:spacing w:before="0" w:beforeAutospacing="0" w:after="0" w:afterAutospacing="0" w:line="30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92" w:name="_Toc14645"/>
            <w:r>
              <w:rPr>
                <w:rFonts w:hint="default" w:ascii="Times New Roman" w:hAnsi="Times New Roman" w:cs="Times New Roman"/>
                <w:color w:val="auto"/>
                <w:sz w:val="20"/>
                <w:szCs w:val="20"/>
                <w:shd w:val="clear" w:color="auto" w:fill="auto"/>
              </w:rPr>
              <w:t>40</w:t>
            </w:r>
            <w:bookmarkEnd w:id="92"/>
          </w:p>
        </w:tc>
      </w:tr>
      <w:tr>
        <w:trPr>
          <w:trHeight w:val="369" w:hRule="atLeast"/>
          <w:jc w:val="center"/>
        </w:trPr>
        <w:tc>
          <w:tcPr>
            <w:tcW w:w="129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61" w:type="dxa"/>
            <w:gridSpan w:val="2"/>
            <w:vAlign w:val="center"/>
          </w:tcPr>
          <w:p>
            <w:pPr>
              <w:shd w:val="clear" w:color="auto" w:fill="auto"/>
              <w:wordWrap/>
              <w:adjustRightInd/>
              <w:snapToGrid w:val="0"/>
              <w:spacing w:before="0" w:beforeAutospacing="0" w:after="0" w:afterAutospacing="0" w:line="300" w:lineRule="exact"/>
              <w:ind w:left="0" w:right="0" w:firstLine="420" w:firstLineChars="200"/>
              <w:jc w:val="left"/>
              <w:textAlignment w:val="auto"/>
              <w:outlineLvl w:val="9"/>
              <w:rPr>
                <w:rFonts w:hint="default" w:ascii="Times New Roman" w:hAnsi="Times New Roman" w:cs="Times New Roman"/>
                <w:color w:val="auto"/>
                <w:sz w:val="20"/>
                <w:szCs w:val="20"/>
                <w:shd w:val="clear" w:color="auto" w:fill="auto"/>
              </w:rPr>
            </w:pPr>
            <w:bookmarkStart w:id="93" w:name="_Toc19041"/>
            <w:r>
              <w:rPr>
                <w:rFonts w:hint="default" w:ascii="Times New Roman" w:hAnsi="Times New Roman" w:cs="Times New Roman"/>
                <w:color w:val="auto"/>
                <w:sz w:val="20"/>
                <w:szCs w:val="20"/>
                <w:shd w:val="clear" w:color="auto" w:fill="auto"/>
              </w:rPr>
              <w:t>矿产资源开采和加工企业未按照规定采取抑尘措施和落实矿山地质环境恢复治理有关规定的</w:t>
            </w:r>
            <w:bookmarkEnd w:id="93"/>
          </w:p>
        </w:tc>
      </w:tr>
      <w:tr>
        <w:trPr>
          <w:trHeight w:val="369" w:hRule="atLeast"/>
          <w:jc w:val="center"/>
        </w:trPr>
        <w:tc>
          <w:tcPr>
            <w:tcW w:w="129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61" w:type="dxa"/>
            <w:gridSpan w:val="2"/>
            <w:vAlign w:val="top"/>
          </w:tcPr>
          <w:p>
            <w:pPr>
              <w:shd w:val="clear" w:color="auto" w:fill="auto"/>
              <w:wordWrap/>
              <w:adjustRightInd/>
              <w:snapToGrid w:val="0"/>
              <w:spacing w:before="0" w:beforeAutospacing="0" w:after="0" w:afterAutospacing="0" w:line="300" w:lineRule="exact"/>
              <w:ind w:left="0" w:right="0" w:firstLine="422" w:firstLineChars="20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《河南省大气污染防治条例》第五十一条</w:t>
            </w:r>
            <w:r>
              <w:rPr>
                <w:rFonts w:hint="default" w:ascii="Times New Roman" w:hAnsi="Times New Roman" w:cs="Times New Roman"/>
                <w:color w:val="auto"/>
                <w:sz w:val="20"/>
                <w:szCs w:val="20"/>
                <w:shd w:val="clear" w:color="auto" w:fill="auto"/>
              </w:rPr>
              <w:t xml:space="preserve"> 矿产资源开采、加工企业应当采用减尘工艺、技术和设备，采取洒水喷淋、运输道路硬化等抑尘措施，落实矿山地质环境恢复治理有关规定。</w:t>
            </w:r>
          </w:p>
        </w:tc>
      </w:tr>
      <w:tr>
        <w:trPr>
          <w:trHeight w:val="369" w:hRule="atLeast"/>
          <w:jc w:val="center"/>
        </w:trPr>
        <w:tc>
          <w:tcPr>
            <w:tcW w:w="129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61" w:type="dxa"/>
            <w:gridSpan w:val="2"/>
            <w:vAlign w:val="top"/>
          </w:tcPr>
          <w:p>
            <w:pPr>
              <w:shd w:val="clear" w:color="auto" w:fill="auto"/>
              <w:wordWrap/>
              <w:adjustRightInd/>
              <w:snapToGrid w:val="0"/>
              <w:spacing w:before="0" w:beforeAutospacing="0" w:after="0" w:afterAutospacing="0" w:line="300" w:lineRule="exact"/>
              <w:ind w:left="0" w:right="0" w:firstLine="42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《河南省大气污染防治条例》第七十八条 </w:t>
            </w:r>
            <w:r>
              <w:rPr>
                <w:rFonts w:hint="default" w:ascii="Times New Roman" w:hAnsi="Times New Roman" w:cs="Times New Roman"/>
                <w:color w:val="auto"/>
                <w:sz w:val="20"/>
                <w:szCs w:val="20"/>
                <w:shd w:val="clear" w:color="auto" w:fill="auto"/>
              </w:rPr>
              <w:t>违反本条例第五十一条规定，矿产资源开采和加工企业未按照规定采取抑尘措施和落实矿山地质环境恢复治理有关规定的，由县级以上人民政府环境保护主管部门、国土资源主管部门依法按照各自职责责令改正，处二万元以上十万元以下罚款；拒不改正的，责令停产整治。</w:t>
            </w:r>
          </w:p>
        </w:tc>
      </w:tr>
      <w:tr>
        <w:trPr>
          <w:trHeight w:val="369" w:hRule="atLeast"/>
          <w:jc w:val="center"/>
        </w:trPr>
        <w:tc>
          <w:tcPr>
            <w:tcW w:w="129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318"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44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jc w:val="center"/>
        </w:trPr>
        <w:tc>
          <w:tcPr>
            <w:tcW w:w="1299"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318"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未规范采取扬尘污染防治设施的</w:t>
            </w:r>
          </w:p>
        </w:tc>
        <w:tc>
          <w:tcPr>
            <w:tcW w:w="244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299"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318"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未采取扬尘污染防治设施的</w:t>
            </w:r>
          </w:p>
        </w:tc>
        <w:tc>
          <w:tcPr>
            <w:tcW w:w="244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299"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占地面积</w:t>
            </w:r>
          </w:p>
        </w:tc>
        <w:tc>
          <w:tcPr>
            <w:tcW w:w="5318" w:type="dxa"/>
            <w:vAlign w:val="center"/>
          </w:tcPr>
          <w:p>
            <w:pPr>
              <w:pStyle w:val="18"/>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44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99"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318" w:type="dxa"/>
            <w:vAlign w:val="center"/>
          </w:tcPr>
          <w:p>
            <w:pPr>
              <w:pStyle w:val="18"/>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以上200m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44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299"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318"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以上300m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以下</w:t>
            </w:r>
          </w:p>
        </w:tc>
        <w:tc>
          <w:tcPr>
            <w:tcW w:w="244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299"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318" w:type="dxa"/>
            <w:vAlign w:val="center"/>
          </w:tcPr>
          <w:p>
            <w:pPr>
              <w:pStyle w:val="18"/>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以上400m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44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299"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318" w:type="dxa"/>
            <w:vAlign w:val="center"/>
          </w:tcPr>
          <w:p>
            <w:pPr>
              <w:pStyle w:val="18"/>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400m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w:t>
            </w:r>
          </w:p>
        </w:tc>
        <w:tc>
          <w:tcPr>
            <w:tcW w:w="244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299"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318"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44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99"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318"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44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299"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318"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44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299"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318" w:type="dxa"/>
            <w:vAlign w:val="center"/>
          </w:tcPr>
          <w:p>
            <w:pPr>
              <w:shd w:val="clear" w:color="auto" w:fill="auto"/>
              <w:wordWrap/>
              <w:adjustRightInd/>
              <w:snapToGrid w:val="0"/>
              <w:spacing w:before="0" w:beforeAutospacing="0" w:after="0" w:afterAutospacing="0" w:line="300" w:lineRule="exact"/>
              <w:ind w:left="0" w:right="0" w:firstLine="0" w:firstLineChars="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44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299"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地点</w:t>
            </w:r>
          </w:p>
        </w:tc>
        <w:tc>
          <w:tcPr>
            <w:tcW w:w="5318"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符合环境功能区划</w:t>
            </w:r>
          </w:p>
        </w:tc>
        <w:tc>
          <w:tcPr>
            <w:tcW w:w="2443"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69" w:hRule="atLeast"/>
          <w:jc w:val="center"/>
        </w:trPr>
        <w:tc>
          <w:tcPr>
            <w:tcW w:w="1299"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318"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不符合环境功能区划，但位于居住区、商业交通居民混合区、文化区、工业区和农村地区</w:t>
            </w:r>
          </w:p>
        </w:tc>
        <w:tc>
          <w:tcPr>
            <w:tcW w:w="2443"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299"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318"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不符合环境功能区划，但位于自然保护区、风景名胜区和其他需要特殊保护的区域</w:t>
            </w:r>
          </w:p>
        </w:tc>
        <w:tc>
          <w:tcPr>
            <w:tcW w:w="2443"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69" w:hRule="atLeast"/>
          <w:jc w:val="center"/>
        </w:trPr>
        <w:tc>
          <w:tcPr>
            <w:tcW w:w="1299" w:type="dxa"/>
            <w:vMerge w:val="restart"/>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318"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44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jc w:val="center"/>
        </w:trPr>
        <w:tc>
          <w:tcPr>
            <w:tcW w:w="1299"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lang w:eastAsia="zh-CN"/>
              </w:rPr>
            </w:pPr>
          </w:p>
        </w:tc>
        <w:tc>
          <w:tcPr>
            <w:tcW w:w="5318"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44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jc w:val="center"/>
        </w:trPr>
        <w:tc>
          <w:tcPr>
            <w:tcW w:w="1299"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lang w:eastAsia="zh-CN"/>
              </w:rPr>
            </w:pPr>
          </w:p>
        </w:tc>
        <w:tc>
          <w:tcPr>
            <w:tcW w:w="5318"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44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jc w:val="center"/>
        </w:trPr>
        <w:tc>
          <w:tcPr>
            <w:tcW w:w="1299"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lang w:eastAsia="zh-CN"/>
              </w:rPr>
            </w:pPr>
          </w:p>
        </w:tc>
        <w:tc>
          <w:tcPr>
            <w:tcW w:w="5318"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44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jc w:val="center"/>
        </w:trPr>
        <w:tc>
          <w:tcPr>
            <w:tcW w:w="1299"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lang w:eastAsia="zh-CN"/>
              </w:rPr>
            </w:pPr>
          </w:p>
        </w:tc>
        <w:tc>
          <w:tcPr>
            <w:tcW w:w="5318"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44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69" w:hRule="atLeast"/>
          <w:jc w:val="center"/>
        </w:trPr>
        <w:tc>
          <w:tcPr>
            <w:tcW w:w="1299"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r>
              <w:rPr>
                <w:rFonts w:hint="default" w:ascii="Times New Roman" w:hAnsi="Times New Roman" w:cs="Times New Roman"/>
                <w:b/>
                <w:bCs/>
                <w:color w:val="auto"/>
                <w:sz w:val="20"/>
                <w:szCs w:val="20"/>
                <w:shd w:val="clear" w:color="auto" w:fill="auto"/>
                <w:lang w:val="en-US"/>
              </w:rPr>
              <w:t>改正时间</w:t>
            </w:r>
          </w:p>
        </w:tc>
        <w:tc>
          <w:tcPr>
            <w:tcW w:w="5318"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kern w:val="2"/>
                <w:sz w:val="21"/>
                <w:szCs w:val="21"/>
                <w:shd w:val="clear" w:color="auto" w:fill="auto"/>
                <w:lang w:eastAsia="zh-CN"/>
              </w:rPr>
              <w:t>限期改正</w:t>
            </w:r>
          </w:p>
        </w:tc>
        <w:tc>
          <w:tcPr>
            <w:tcW w:w="24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69" w:hRule="atLeast"/>
          <w:jc w:val="center"/>
        </w:trPr>
        <w:tc>
          <w:tcPr>
            <w:tcW w:w="1299"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31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4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299"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31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4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69" w:hRule="atLeast"/>
          <w:jc w:val="center"/>
        </w:trPr>
        <w:tc>
          <w:tcPr>
            <w:tcW w:w="1299"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31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7天以上</w:t>
            </w:r>
          </w:p>
        </w:tc>
        <w:tc>
          <w:tcPr>
            <w:tcW w:w="24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29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31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4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1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24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1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24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9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31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4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1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4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1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4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1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4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61"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r>
    </w:tbl>
    <w:p>
      <w:pPr>
        <w:shd w:val="clear" w:color="auto" w:fill="auto"/>
        <w:snapToGrid w:val="0"/>
        <w:jc w:val="center"/>
        <w:rPr>
          <w:rFonts w:ascii="Times New Roman" w:hAnsi="Times New Roman" w:eastAsia="FangSong_GB2312" w:cs="Times New Roman"/>
          <w:b/>
          <w:bCs/>
          <w:color w:val="auto"/>
          <w:sz w:val="32"/>
          <w:szCs w:val="32"/>
          <w:shd w:val="clear" w:color="auto" w:fill="auto"/>
        </w:rPr>
      </w:pPr>
    </w:p>
    <w:p>
      <w:pPr>
        <w:shd w:val="clear" w:color="auto" w:fill="auto"/>
        <w:snapToGrid w:val="0"/>
        <w:jc w:val="center"/>
        <w:rPr>
          <w:rFonts w:ascii="Times New Roman" w:hAnsi="Times New Roman" w:eastAsia="FangSong_GB2312" w:cs="Times New Roman"/>
          <w:b/>
          <w:bCs/>
          <w:color w:val="auto"/>
          <w:sz w:val="32"/>
          <w:szCs w:val="32"/>
          <w:shd w:val="clear" w:color="auto" w:fill="auto"/>
        </w:rPr>
      </w:pPr>
    </w:p>
    <w:p>
      <w:pPr>
        <w:shd w:val="clear" w:color="auto" w:fill="auto"/>
        <w:snapToGrid w:val="0"/>
        <w:jc w:val="center"/>
        <w:rPr>
          <w:rFonts w:ascii="Times New Roman" w:hAnsi="Times New Roman" w:eastAsia="FangSong_GB2312" w:cs="Times New Roman"/>
          <w:b/>
          <w:bCs/>
          <w:color w:val="auto"/>
          <w:sz w:val="32"/>
          <w:szCs w:val="32"/>
          <w:shd w:val="clear" w:color="auto" w:fill="auto"/>
        </w:rPr>
      </w:pPr>
    </w:p>
    <w:p>
      <w:pPr>
        <w:shd w:val="clear" w:color="auto" w:fill="auto"/>
        <w:snapToGrid w:val="0"/>
        <w:jc w:val="center"/>
        <w:rPr>
          <w:rFonts w:ascii="Times New Roman" w:hAnsi="Times New Roman" w:eastAsia="FangSong_GB2312" w:cs="Times New Roman"/>
          <w:b/>
          <w:bCs/>
          <w:color w:val="auto"/>
          <w:sz w:val="32"/>
          <w:szCs w:val="32"/>
          <w:shd w:val="clear" w:color="auto" w:fill="auto"/>
        </w:rPr>
      </w:pPr>
    </w:p>
    <w:p>
      <w:pPr>
        <w:shd w:val="clear" w:color="auto" w:fill="auto"/>
        <w:snapToGrid w:val="0"/>
        <w:jc w:val="center"/>
        <w:rPr>
          <w:rFonts w:ascii="Times New Roman" w:hAnsi="Times New Roman" w:eastAsia="FangSong_GB2312" w:cs="Times New Roman"/>
          <w:b/>
          <w:bCs/>
          <w:color w:val="auto"/>
          <w:sz w:val="32"/>
          <w:szCs w:val="32"/>
          <w:shd w:val="clear" w:color="auto" w:fill="auto"/>
        </w:rPr>
      </w:pPr>
    </w:p>
    <w:p>
      <w:pPr>
        <w:shd w:val="clear" w:color="auto" w:fill="auto"/>
        <w:snapToGrid w:val="0"/>
        <w:spacing w:line="240" w:lineRule="exact"/>
        <w:jc w:val="center"/>
        <w:rPr>
          <w:rFonts w:ascii="Times New Roman" w:hAnsi="Times New Roman" w:eastAsia="FangSong_GB2312" w:cs="Times New Roman"/>
          <w:b/>
          <w:bCs/>
          <w:color w:val="auto"/>
          <w:sz w:val="32"/>
          <w:szCs w:val="32"/>
          <w:shd w:val="clear" w:color="auto" w:fill="auto"/>
        </w:rPr>
      </w:pPr>
      <w:r>
        <w:rPr>
          <w:rFonts w:ascii="Times New Roman" w:hAnsi="Times New Roman" w:eastAsia="FangSong_GB2312" w:cs="Times New Roman"/>
          <w:b/>
          <w:bCs/>
          <w:color w:val="auto"/>
          <w:sz w:val="32"/>
          <w:szCs w:val="32"/>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5184"/>
        <w:gridCol w:w="2434"/>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（二）大气污染防治类</w:t>
            </w:r>
          </w:p>
        </w:tc>
      </w:tr>
      <w:tr>
        <w:trPr>
          <w:trHeight w:val="397" w:hRule="atLeast"/>
          <w:jc w:val="center"/>
        </w:trPr>
        <w:tc>
          <w:tcPr>
            <w:tcW w:w="14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18"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94" w:name="_Toc17237"/>
            <w:r>
              <w:rPr>
                <w:rFonts w:hint="default" w:ascii="Times New Roman" w:hAnsi="Times New Roman" w:cs="Times New Roman"/>
                <w:color w:val="auto"/>
                <w:sz w:val="20"/>
                <w:szCs w:val="20"/>
                <w:shd w:val="clear" w:color="auto" w:fill="auto"/>
              </w:rPr>
              <w:t>41</w:t>
            </w:r>
            <w:bookmarkEnd w:id="94"/>
          </w:p>
        </w:tc>
      </w:tr>
      <w:tr>
        <w:trPr>
          <w:trHeight w:val="397" w:hRule="atLeast"/>
          <w:jc w:val="center"/>
        </w:trPr>
        <w:tc>
          <w:tcPr>
            <w:tcW w:w="14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18" w:type="dxa"/>
            <w:gridSpan w:val="2"/>
            <w:vAlign w:val="center"/>
          </w:tcPr>
          <w:p>
            <w:pPr>
              <w:shd w:val="clear" w:color="auto" w:fill="auto"/>
              <w:snapToGrid w:val="0"/>
              <w:spacing w:before="0" w:beforeAutospacing="0" w:after="0" w:afterAutospacing="0" w:line="320" w:lineRule="exact"/>
              <w:ind w:left="0" w:right="0" w:firstLine="420"/>
              <w:jc w:val="center"/>
              <w:outlineLvl w:val="9"/>
              <w:rPr>
                <w:rFonts w:hint="default" w:ascii="Times New Roman" w:hAnsi="Times New Roman" w:cs="Times New Roman"/>
                <w:color w:val="auto"/>
                <w:sz w:val="20"/>
                <w:szCs w:val="20"/>
                <w:shd w:val="clear" w:color="auto" w:fill="auto"/>
              </w:rPr>
            </w:pPr>
            <w:bookmarkStart w:id="95" w:name="_Toc26490"/>
            <w:r>
              <w:rPr>
                <w:rFonts w:hint="default" w:ascii="Times New Roman" w:hAnsi="Times New Roman" w:cs="Times New Roman"/>
                <w:color w:val="auto"/>
                <w:sz w:val="20"/>
                <w:szCs w:val="20"/>
                <w:shd w:val="clear" w:color="auto" w:fill="auto"/>
              </w:rPr>
              <w:t>在禁止使用高排放非道路移动机械的区域使用高排放非道路移动机械的</w:t>
            </w:r>
            <w:bookmarkEnd w:id="95"/>
          </w:p>
        </w:tc>
      </w:tr>
      <w:tr>
        <w:trPr>
          <w:trHeight w:val="397" w:hRule="atLeast"/>
          <w:jc w:val="center"/>
        </w:trPr>
        <w:tc>
          <w:tcPr>
            <w:tcW w:w="14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18" w:type="dxa"/>
            <w:gridSpan w:val="2"/>
            <w:vAlign w:val="top"/>
          </w:tcPr>
          <w:p>
            <w:pPr>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《河南省大气污染防治条例》第四十三条第四款</w:t>
            </w:r>
            <w:r>
              <w:rPr>
                <w:rFonts w:hint="default" w:ascii="Times New Roman" w:hAnsi="Times New Roman" w:cs="Times New Roman"/>
                <w:color w:val="auto"/>
                <w:sz w:val="20"/>
                <w:szCs w:val="20"/>
                <w:shd w:val="clear" w:color="auto" w:fill="auto"/>
              </w:rPr>
              <w:t xml:space="preserve"> 城市人民政府可以根据大气环境质量状况，划定并公布禁止使用高排放非道路移动机械的区域。</w:t>
            </w:r>
          </w:p>
        </w:tc>
      </w:tr>
      <w:tr>
        <w:trPr>
          <w:trHeight w:val="397" w:hRule="atLeast"/>
          <w:jc w:val="center"/>
        </w:trPr>
        <w:tc>
          <w:tcPr>
            <w:tcW w:w="14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18" w:type="dxa"/>
            <w:gridSpan w:val="2"/>
            <w:vAlign w:val="top"/>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《河南省大气污染防治条例》第七十四条第二款 </w:t>
            </w:r>
            <w:r>
              <w:rPr>
                <w:rFonts w:hint="default" w:ascii="Times New Roman" w:hAnsi="Times New Roman" w:cs="Times New Roman"/>
                <w:color w:val="auto"/>
                <w:sz w:val="20"/>
                <w:szCs w:val="20"/>
                <w:shd w:val="clear" w:color="auto" w:fill="auto"/>
              </w:rPr>
              <w:t>违反本条例第四十三条第四款规定，在禁止使用高排放非道路移动机械的区域使用高排放非道路移动机械的，由城市人民政府环境保护主管部门或者其他负有大气环境保护监督管理职责的部门责令停止使用，处五千元以上二万元以下罚款。</w:t>
            </w:r>
          </w:p>
        </w:tc>
      </w:tr>
      <w:tr>
        <w:trPr>
          <w:trHeight w:val="340" w:hRule="atLeast"/>
          <w:jc w:val="center"/>
        </w:trPr>
        <w:tc>
          <w:tcPr>
            <w:tcW w:w="14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40" w:hRule="atLeast"/>
          <w:jc w:val="center"/>
        </w:trPr>
        <w:tc>
          <w:tcPr>
            <w:tcW w:w="144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★非道路移动机械数量</w:t>
            </w:r>
          </w:p>
        </w:tc>
        <w:tc>
          <w:tcPr>
            <w:tcW w:w="5184"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1台</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1台以上3台以下</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3台以上5台以下</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40"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5台以上</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44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发生时期</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rPr>
              <w:t>环境敏感度</w:t>
            </w:r>
          </w:p>
        </w:tc>
        <w:tc>
          <w:tcPr>
            <w:tcW w:w="51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一般期间</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1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重污染天气黄色预警期间</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2</w:t>
            </w:r>
          </w:p>
        </w:tc>
      </w:tr>
      <w:tr>
        <w:trPr>
          <w:trHeight w:val="340"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1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重污染天气橙色预警期间</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1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重污染天气红色预警期间</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4</w:t>
            </w:r>
          </w:p>
        </w:tc>
      </w:tr>
      <w:tr>
        <w:trPr>
          <w:trHeight w:val="340"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1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特殊或重大活动期间</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44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1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40"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40"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40" w:hRule="atLeast"/>
          <w:jc w:val="center"/>
        </w:trPr>
        <w:tc>
          <w:tcPr>
            <w:tcW w:w="144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184" w:type="dxa"/>
            <w:vAlign w:val="center"/>
          </w:tcPr>
          <w:p>
            <w:pPr>
              <w:shd w:val="clear" w:color="auto" w:fill="auto"/>
              <w:spacing w:before="0" w:beforeAutospacing="0" w:after="0" w:afterAutospacing="0" w:line="300" w:lineRule="exact"/>
              <w:ind w:left="0" w:right="0" w:firstLine="2100" w:firstLineChars="1000"/>
              <w:rPr>
                <w:rFonts w:hint="default" w:ascii="Times New Roman" w:hAnsi="Times New Roman" w:eastAsia="宋体" w:cs="Times New Roman"/>
                <w:color w:val="auto"/>
                <w:sz w:val="21"/>
                <w:szCs w:val="21"/>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4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1</w:t>
            </w:r>
          </w:p>
        </w:tc>
      </w:tr>
      <w:tr>
        <w:trPr>
          <w:trHeight w:val="340"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1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4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2</w:t>
            </w:r>
          </w:p>
        </w:tc>
      </w:tr>
      <w:tr>
        <w:trPr>
          <w:trHeight w:val="340"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184" w:type="dxa"/>
            <w:vAlign w:val="center"/>
          </w:tcPr>
          <w:p>
            <w:pPr>
              <w:shd w:val="clear" w:color="auto" w:fill="auto"/>
              <w:spacing w:before="0" w:beforeAutospacing="0" w:after="0" w:afterAutospacing="0" w:line="300" w:lineRule="exact"/>
              <w:ind w:left="0" w:right="0" w:firstLine="2100" w:firstLineChars="1000"/>
              <w:rPr>
                <w:rFonts w:hint="default" w:ascii="Times New Roman" w:hAnsi="Times New Roman" w:eastAsia="宋体" w:cs="Times New Roman"/>
                <w:color w:val="auto"/>
                <w:sz w:val="21"/>
                <w:szCs w:val="21"/>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4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3</w:t>
            </w:r>
          </w:p>
        </w:tc>
      </w:tr>
      <w:tr>
        <w:trPr>
          <w:trHeight w:val="340" w:hRule="atLeast"/>
          <w:jc w:val="center"/>
        </w:trPr>
        <w:tc>
          <w:tcPr>
            <w:tcW w:w="1442"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r>
              <w:rPr>
                <w:rFonts w:hint="default" w:ascii="Times New Roman" w:hAnsi="Times New Roman" w:cs="Times New Roman"/>
                <w:b/>
                <w:bCs/>
                <w:color w:val="auto"/>
                <w:sz w:val="20"/>
                <w:szCs w:val="20"/>
                <w:shd w:val="clear" w:color="auto" w:fill="auto"/>
                <w:lang w:val="en-US"/>
              </w:rPr>
              <w:t>改正时间</w:t>
            </w:r>
          </w:p>
        </w:tc>
        <w:tc>
          <w:tcPr>
            <w:tcW w:w="5184"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kern w:val="2"/>
                <w:sz w:val="21"/>
                <w:szCs w:val="21"/>
                <w:shd w:val="clear" w:color="auto" w:fill="auto"/>
                <w:lang w:eastAsia="zh-CN"/>
              </w:rPr>
              <w:t>限期改正</w:t>
            </w:r>
          </w:p>
        </w:tc>
        <w:tc>
          <w:tcPr>
            <w:tcW w:w="24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40" w:hRule="atLeast"/>
          <w:jc w:val="center"/>
        </w:trPr>
        <w:tc>
          <w:tcPr>
            <w:tcW w:w="144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1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4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40" w:hRule="atLeast"/>
          <w:jc w:val="center"/>
        </w:trPr>
        <w:tc>
          <w:tcPr>
            <w:tcW w:w="144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24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40" w:hRule="atLeast"/>
          <w:jc w:val="center"/>
        </w:trPr>
        <w:tc>
          <w:tcPr>
            <w:tcW w:w="144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24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40" w:hRule="atLeast"/>
          <w:jc w:val="center"/>
        </w:trPr>
        <w:tc>
          <w:tcPr>
            <w:tcW w:w="144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44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4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4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40"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4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40"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4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4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18"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r>
    </w:tbl>
    <w:p>
      <w:pPr>
        <w:widowControl w:val="0"/>
        <w:shd w:val="clear" w:color="auto" w:fill="auto"/>
        <w:wordWrap/>
        <w:adjustRightInd/>
        <w:snapToGrid w:val="0"/>
        <w:spacing w:line="590" w:lineRule="exact"/>
        <w:ind w:firstLine="640" w:firstLineChars="200"/>
        <w:textAlignment w:val="auto"/>
        <w:outlineLvl w:val="1"/>
        <w:rPr>
          <w:rFonts w:ascii="Times New Roman" w:hAnsi="Times New Roman" w:eastAsia="方正楷体_GBK" w:cs="Times New Roman"/>
          <w:color w:val="auto"/>
          <w:sz w:val="32"/>
          <w:szCs w:val="32"/>
          <w:shd w:val="clear" w:color="auto" w:fill="auto"/>
        </w:rPr>
      </w:pPr>
      <w:bookmarkStart w:id="96" w:name="_Toc20665"/>
      <w:bookmarkStart w:id="97" w:name="_Toc1265"/>
      <w:bookmarkStart w:id="98" w:name="_Toc25240283"/>
    </w:p>
    <w:p>
      <w:pPr>
        <w:shd w:val="clear" w:color="auto" w:fill="auto"/>
        <w:snapToGrid w:val="0"/>
        <w:spacing w:line="590" w:lineRule="exact"/>
        <w:ind w:firstLine="640" w:firstLineChars="200"/>
        <w:outlineLvl w:val="1"/>
        <w:rPr>
          <w:rFonts w:hint="default" w:ascii="Times New Roman" w:hAnsi="Times New Roman" w:eastAsia="方正楷体_GBK" w:cs="Times New Roman"/>
          <w:color w:val="auto"/>
          <w:sz w:val="32"/>
          <w:szCs w:val="32"/>
          <w:shd w:val="clear" w:color="auto" w:fill="auto"/>
        </w:rPr>
      </w:pPr>
      <w:r>
        <w:rPr>
          <w:rFonts w:ascii="Times New Roman" w:hAnsi="Times New Roman" w:eastAsia="方正楷体_GBK" w:cs="Times New Roman"/>
          <w:color w:val="auto"/>
          <w:sz w:val="32"/>
          <w:szCs w:val="32"/>
          <w:shd w:val="clear" w:color="auto" w:fill="auto"/>
        </w:rPr>
        <w:t>（三）水污染防治类</w:t>
      </w:r>
      <w:bookmarkEnd w:id="96"/>
      <w:bookmarkEnd w:id="97"/>
      <w:bookmarkEnd w:id="98"/>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以拖延、围堵、滞留执法人员等方式拒绝、阻挠监督检查，或者在接受监督检查时弄虚作假的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未按照规定对所排放的水污染物自行监测，或者未保存原始监测记录的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3.</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未按照规定安装水污染物排放自动监测设备，未按照规定与环境保护主管部门的监控设备联网，或者未保证监测设备正常运行的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4.</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未按照规定对有毒有害水污染物的排污口和周边环境进行监测，或者未公开有毒有害水污染物信息的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5.</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未依法取得排污许可证或者违反排污许可证的规定排放水污染物的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6.</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超过水污染物排放标准排放水污染物的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7.</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超过重点水污染物排放总量控制指标排放水污染物的</w:t>
      </w:r>
      <w:r>
        <w:rPr>
          <w:rFonts w:hint="eastAsia" w:ascii="Times New Roman" w:hAnsi="Times New Roman" w:eastAsia="方正仿宋_GBK" w:cs="Times New Roman"/>
          <w:color w:val="auto"/>
          <w:sz w:val="32"/>
          <w:szCs w:val="32"/>
          <w:shd w:val="clear" w:color="auto" w:fill="auto"/>
          <w:lang w:eastAsia="zh-CN"/>
        </w:rPr>
        <w:t>；</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8.</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利用渗井、渗坑、裂隙、溶洞，私设暗管，篡改、伪造监测数据，或者不正常运行水污染防治设施等逃避监管的方式排放水污染物的</w:t>
      </w:r>
      <w:r>
        <w:rPr>
          <w:rFonts w:hint="eastAsia" w:ascii="Times New Roman" w:hAnsi="Times New Roman" w:eastAsia="方正仿宋_GBK" w:cs="Times New Roman"/>
          <w:color w:val="auto"/>
          <w:sz w:val="32"/>
          <w:szCs w:val="32"/>
          <w:shd w:val="clear" w:color="auto" w:fill="auto"/>
          <w:lang w:eastAsia="zh-CN"/>
        </w:rPr>
        <w:t>；</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9.</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未按照规定进行预处理，向污水集中处理设施排放不符合处理工艺要求的工业废水的</w:t>
      </w:r>
      <w:r>
        <w:rPr>
          <w:rFonts w:hint="eastAsia" w:ascii="Times New Roman" w:hAnsi="Times New Roman" w:eastAsia="方正仿宋_GBK" w:cs="Times New Roman"/>
          <w:color w:val="auto"/>
          <w:sz w:val="32"/>
          <w:szCs w:val="32"/>
          <w:shd w:val="clear" w:color="auto" w:fill="auto"/>
          <w:lang w:eastAsia="zh-CN"/>
        </w:rPr>
        <w:t>；</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10.</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在非饮用水水源保护区，违反规定设置排污口的</w:t>
      </w:r>
      <w:r>
        <w:rPr>
          <w:rFonts w:hint="eastAsia" w:ascii="Times New Roman" w:hAnsi="Times New Roman" w:eastAsia="方正仿宋_GBK" w:cs="Times New Roman"/>
          <w:color w:val="auto"/>
          <w:sz w:val="32"/>
          <w:szCs w:val="32"/>
          <w:shd w:val="clear" w:color="auto" w:fill="auto"/>
          <w:lang w:eastAsia="zh-CN"/>
        </w:rPr>
        <w:t>；</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lang w:eastAsia="zh-CN"/>
        </w:rPr>
      </w:pPr>
      <w:r>
        <w:rPr>
          <w:rFonts w:ascii="Times New Roman" w:hAnsi="Times New Roman" w:eastAsia="方正仿宋_GBK" w:cs="Times New Roman"/>
          <w:color w:val="auto"/>
          <w:sz w:val="32"/>
          <w:szCs w:val="32"/>
          <w:shd w:val="clear" w:color="auto" w:fill="auto"/>
        </w:rPr>
        <w:t>11.</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向水体排放油类、酸液、碱液的</w:t>
      </w:r>
      <w:r>
        <w:rPr>
          <w:rFonts w:hint="eastAsia" w:ascii="Times New Roman" w:hAnsi="Times New Roman" w:eastAsia="方正仿宋_GBK" w:cs="Times New Roman"/>
          <w:color w:val="auto"/>
          <w:sz w:val="32"/>
          <w:szCs w:val="32"/>
          <w:shd w:val="clear" w:color="auto" w:fill="auto"/>
          <w:lang w:eastAsia="zh-CN"/>
        </w:rPr>
        <w:t>；</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line="590" w:lineRule="exact"/>
        <w:ind w:firstLine="640" w:firstLineChars="200"/>
        <w:textAlignment w:val="auto"/>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12.</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向水体排放剧毒废液，或者将含有汞、镉、砷、铬、铅、氰化物、黄磷等的可溶性剧毒废渣向水体排放、倾倒或者直接埋入地下的</w:t>
      </w:r>
      <w:r>
        <w:rPr>
          <w:rFonts w:hint="eastAsia" w:ascii="Times New Roman" w:hAnsi="Times New Roman" w:eastAsia="方正仿宋_GBK" w:cs="Times New Roman"/>
          <w:color w:val="auto"/>
          <w:sz w:val="32"/>
          <w:szCs w:val="32"/>
          <w:shd w:val="clear" w:color="auto" w:fill="auto"/>
          <w:lang w:eastAsia="zh-CN"/>
        </w:rPr>
        <w:t>；</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13.</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在水体清洗装贮过油类、有毒污染物的车辆或者容器的</w:t>
      </w:r>
      <w:r>
        <w:rPr>
          <w:rFonts w:hint="eastAsia" w:ascii="Times New Roman" w:hAnsi="Times New Roman" w:eastAsia="方正仿宋_GBK" w:cs="Times New Roman"/>
          <w:color w:val="auto"/>
          <w:sz w:val="32"/>
          <w:szCs w:val="32"/>
          <w:shd w:val="clear" w:color="auto" w:fill="auto"/>
          <w:lang w:eastAsia="zh-CN"/>
        </w:rPr>
        <w:t>；</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14.</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向水体排放、倾倒工业废渣、城镇垃圾或者其他废弃物，或者在江河、湖泊、运河、渠道、水库最高水位线以下的滩地、岸坡堆放、存贮固体废弃物或者其他污染物的</w:t>
      </w:r>
      <w:r>
        <w:rPr>
          <w:rFonts w:hint="eastAsia" w:ascii="Times New Roman" w:hAnsi="Times New Roman" w:eastAsia="方正仿宋_GBK" w:cs="Times New Roman"/>
          <w:color w:val="auto"/>
          <w:sz w:val="32"/>
          <w:szCs w:val="32"/>
          <w:shd w:val="clear" w:color="auto" w:fill="auto"/>
          <w:lang w:eastAsia="zh-CN"/>
        </w:rPr>
        <w:t>；</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15.</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向水体排放、倾倒放射性固体废物或者含有高放射性、中放射性物质的废水的</w:t>
      </w:r>
      <w:r>
        <w:rPr>
          <w:rFonts w:hint="eastAsia" w:ascii="Times New Roman" w:hAnsi="Times New Roman" w:eastAsia="方正仿宋_GBK" w:cs="Times New Roman"/>
          <w:color w:val="auto"/>
          <w:sz w:val="32"/>
          <w:szCs w:val="32"/>
          <w:shd w:val="clear" w:color="auto" w:fill="auto"/>
          <w:lang w:eastAsia="zh-CN"/>
        </w:rPr>
        <w:t>；</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16.</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违反国家有关规定或者标准，向水体排放含低放射性物质的废水、热废水或者含病原体的污水的</w:t>
      </w:r>
      <w:r>
        <w:rPr>
          <w:rFonts w:hint="eastAsia" w:ascii="Times New Roman" w:hAnsi="Times New Roman" w:eastAsia="方正仿宋_GBK" w:cs="Times New Roman"/>
          <w:color w:val="auto"/>
          <w:sz w:val="32"/>
          <w:szCs w:val="32"/>
          <w:shd w:val="clear" w:color="auto" w:fill="auto"/>
          <w:lang w:eastAsia="zh-CN"/>
        </w:rPr>
        <w:t>；</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17.</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未采取防渗漏等措施，或者未建设地下水水质监测井进行监测的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18.</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加油站等的地下油罐未使用双层罐或者采取建设防渗池等其他有效措施，或者未进行防渗漏监测的</w:t>
      </w:r>
      <w:r>
        <w:rPr>
          <w:rFonts w:hint="eastAsia" w:ascii="Times New Roman" w:hAnsi="Times New Roman" w:eastAsia="方正仿宋_GBK" w:cs="Times New Roman"/>
          <w:color w:val="auto"/>
          <w:sz w:val="32"/>
          <w:szCs w:val="32"/>
          <w:shd w:val="clear" w:color="auto" w:fill="auto"/>
          <w:lang w:eastAsia="zh-CN"/>
        </w:rPr>
        <w:t>；</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19.</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未按照规定采取防护性措施，或者利用无防渗漏措施的沟渠、坑塘等输送或者存贮含有毒污染物的废水、含病原体的污水或者其他废弃物的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20.</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在饮用水水源一级保护区内新建、改建、扩建与供水设施和保护水源无关的建设项目的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21.</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在饮用水水源二级保护区内新建、改建、扩建排放污染物的建设项目的</w:t>
      </w:r>
      <w:r>
        <w:rPr>
          <w:rFonts w:hint="eastAsia" w:ascii="Times New Roman" w:hAnsi="Times New Roman" w:eastAsia="方正仿宋_GBK" w:cs="Times New Roman"/>
          <w:color w:val="auto"/>
          <w:sz w:val="32"/>
          <w:szCs w:val="32"/>
          <w:shd w:val="clear" w:color="auto" w:fill="auto"/>
          <w:lang w:eastAsia="zh-CN"/>
        </w:rPr>
        <w:t>；</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22.</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在饮用水水源准保护区内新建、扩建对水体污染严重的建设项目，或者改建建设项目增加排污量的</w:t>
      </w:r>
      <w:r>
        <w:rPr>
          <w:rFonts w:hint="eastAsia" w:ascii="Times New Roman" w:hAnsi="Times New Roman" w:eastAsia="方正仿宋_GBK" w:cs="Times New Roman"/>
          <w:color w:val="auto"/>
          <w:sz w:val="32"/>
          <w:szCs w:val="32"/>
          <w:shd w:val="clear" w:color="auto" w:fill="auto"/>
          <w:lang w:eastAsia="zh-CN"/>
        </w:rPr>
        <w:t>；</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23.</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在饮用水水源一级保护区内从事网箱养殖或者组织进行旅游、垂钓或者其他可能污染饮用水水体的活动的</w:t>
      </w:r>
      <w:r>
        <w:rPr>
          <w:rFonts w:hint="eastAsia" w:ascii="Times New Roman" w:hAnsi="Times New Roman" w:eastAsia="方正仿宋_GBK" w:cs="Times New Roman"/>
          <w:color w:val="auto"/>
          <w:sz w:val="32"/>
          <w:szCs w:val="32"/>
          <w:shd w:val="clear" w:color="auto" w:fill="auto"/>
          <w:lang w:eastAsia="zh-CN"/>
        </w:rPr>
        <w:t>；</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24.</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不按照规定制定水污染事故的应急方案的</w:t>
      </w:r>
      <w:r>
        <w:rPr>
          <w:rFonts w:hint="eastAsia" w:ascii="Times New Roman" w:hAnsi="Times New Roman" w:eastAsia="方正仿宋_GBK" w:cs="Times New Roman"/>
          <w:color w:val="auto"/>
          <w:sz w:val="32"/>
          <w:szCs w:val="32"/>
          <w:shd w:val="clear" w:color="auto" w:fill="auto"/>
          <w:lang w:eastAsia="zh-CN"/>
        </w:rPr>
        <w:t>；</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25.</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水污染事故发生后，未及时启动水污染事故的应急方案，采取有关应急措施的</w:t>
      </w:r>
      <w:r>
        <w:rPr>
          <w:rFonts w:hint="eastAsia" w:ascii="Times New Roman" w:hAnsi="Times New Roman" w:eastAsia="方正仿宋_GBK" w:cs="Times New Roman"/>
          <w:color w:val="auto"/>
          <w:sz w:val="32"/>
          <w:szCs w:val="32"/>
          <w:shd w:val="clear" w:color="auto" w:fill="auto"/>
          <w:lang w:eastAsia="zh-CN"/>
        </w:rPr>
        <w:t>；</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26.</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企业事业单位的实验室、检验室、化验室产生的废液未按照规定单独收集，废液直接排入城镇污水收集管网或者直接排入外环境的</w:t>
      </w:r>
      <w:r>
        <w:rPr>
          <w:rFonts w:hint="eastAsia" w:ascii="Times New Roman" w:hAnsi="Times New Roman" w:eastAsia="方正仿宋_GBK" w:cs="Times New Roman"/>
          <w:color w:val="auto"/>
          <w:sz w:val="32"/>
          <w:szCs w:val="32"/>
          <w:shd w:val="clear" w:color="auto" w:fill="auto"/>
          <w:lang w:eastAsia="zh-CN"/>
        </w:rPr>
        <w:t>；</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27.</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损毁、涂改或者擅自移动饮用水水源保护区的地理界标、警示标志的</w:t>
      </w:r>
      <w:r>
        <w:rPr>
          <w:rFonts w:hint="eastAsia" w:ascii="Times New Roman" w:hAnsi="Times New Roman" w:eastAsia="方正仿宋_GBK" w:cs="Times New Roman"/>
          <w:color w:val="auto"/>
          <w:sz w:val="32"/>
          <w:szCs w:val="32"/>
          <w:shd w:val="clear" w:color="auto" w:fill="auto"/>
          <w:lang w:eastAsia="zh-CN"/>
        </w:rPr>
        <w:t>；</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28.</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在饮用水水源二级保护区内设置装卸垃圾、危险化学品、煤炭、矿砂、水泥、粪便、油渍和有毒物品的码头的</w:t>
      </w:r>
      <w:r>
        <w:rPr>
          <w:rFonts w:hint="eastAsia" w:ascii="Times New Roman" w:hAnsi="Times New Roman" w:eastAsia="方正仿宋_GBK" w:cs="Times New Roman"/>
          <w:color w:val="auto"/>
          <w:sz w:val="32"/>
          <w:szCs w:val="32"/>
          <w:shd w:val="clear" w:color="auto" w:fill="auto"/>
          <w:lang w:eastAsia="zh-CN"/>
        </w:rPr>
        <w:t>；</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29.</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在饮用水水源二级保护区内建设畜禽养殖场、养殖小区的</w:t>
      </w:r>
      <w:r>
        <w:rPr>
          <w:rFonts w:hint="eastAsia" w:ascii="Times New Roman" w:hAnsi="Times New Roman" w:eastAsia="方正仿宋_GBK" w:cs="Times New Roman"/>
          <w:color w:val="auto"/>
          <w:sz w:val="32"/>
          <w:szCs w:val="32"/>
          <w:shd w:val="clear" w:color="auto" w:fill="auto"/>
          <w:lang w:eastAsia="zh-CN"/>
        </w:rPr>
        <w:t>。</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ind w:firstLine="640" w:firstLineChars="200"/>
        <w:rPr>
          <w:rFonts w:ascii="Times New Roman" w:hAnsi="Times New Roman" w:eastAsia="方正仿宋_GBK" w:cs="Times New Roman"/>
          <w:color w:val="auto"/>
          <w:sz w:val="32"/>
          <w:szCs w:val="32"/>
          <w:shd w:val="clear" w:color="auto" w:fill="auto"/>
        </w:rPr>
      </w:pP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640" w:firstLineChars="200"/>
        <w:rPr>
          <w:rFonts w:ascii="Times New Roman" w:hAnsi="Times New Roman" w:eastAsia="方正仿宋_GBK" w:cs="Times New Roman"/>
          <w:color w:val="auto"/>
          <w:sz w:val="15"/>
          <w:szCs w:val="15"/>
          <w:shd w:val="clear" w:color="auto" w:fill="auto"/>
        </w:rPr>
      </w:pPr>
      <w:r>
        <w:rPr>
          <w:rFonts w:ascii="Times New Roman" w:hAnsi="Times New Roman" w:eastAsia="方正仿宋_GBK" w:cs="Times New Roman"/>
          <w:color w:val="auto"/>
          <w:sz w:val="32"/>
          <w:szCs w:val="32"/>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5362"/>
        <w:gridCol w:w="2399"/>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（三）水污染防治类</w:t>
            </w:r>
          </w:p>
        </w:tc>
      </w:tr>
      <w:tr>
        <w:trPr>
          <w:trHeight w:val="397" w:hRule="atLeast"/>
          <w:jc w:val="center"/>
        </w:trPr>
        <w:tc>
          <w:tcPr>
            <w:tcW w:w="12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61"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99" w:name="_Toc19428"/>
            <w:r>
              <w:rPr>
                <w:rFonts w:hint="default" w:ascii="Times New Roman" w:hAnsi="Times New Roman" w:cs="Times New Roman"/>
                <w:color w:val="auto"/>
                <w:sz w:val="20"/>
                <w:szCs w:val="20"/>
                <w:shd w:val="clear" w:color="auto" w:fill="auto"/>
              </w:rPr>
              <w:t>1</w:t>
            </w:r>
            <w:bookmarkEnd w:id="99"/>
          </w:p>
        </w:tc>
      </w:tr>
      <w:tr>
        <w:trPr>
          <w:trHeight w:val="397" w:hRule="atLeast"/>
          <w:jc w:val="center"/>
        </w:trPr>
        <w:tc>
          <w:tcPr>
            <w:tcW w:w="12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61" w:type="dxa"/>
            <w:gridSpan w:val="2"/>
            <w:vAlign w:val="top"/>
          </w:tcPr>
          <w:p>
            <w:pPr>
              <w:pStyle w:val="18"/>
              <w:shd w:val="clear" w:color="auto" w:fill="auto"/>
              <w:snapToGrid w:val="0"/>
              <w:spacing w:before="0" w:beforeAutospacing="0" w:after="0" w:afterAutospacing="0" w:line="320" w:lineRule="exact"/>
              <w:ind w:left="0" w:right="0" w:firstLine="420" w:firstLineChars="200"/>
              <w:outlineLvl w:val="9"/>
              <w:rPr>
                <w:rFonts w:hint="default" w:ascii="Times New Roman" w:hAnsi="Times New Roman" w:cs="Times New Roman"/>
                <w:color w:val="auto"/>
                <w:sz w:val="21"/>
                <w:szCs w:val="21"/>
                <w:shd w:val="clear" w:color="auto" w:fill="auto"/>
              </w:rPr>
            </w:pPr>
            <w:bookmarkStart w:id="100" w:name="_Toc19931"/>
            <w:r>
              <w:rPr>
                <w:rFonts w:hint="default" w:ascii="Times New Roman" w:hAnsi="Times New Roman" w:cs="Times New Roman"/>
                <w:color w:val="auto"/>
                <w:sz w:val="21"/>
                <w:szCs w:val="21"/>
                <w:shd w:val="clear" w:color="auto" w:fill="auto"/>
              </w:rPr>
              <w:t>以拖延、围堵、滞留执法人员等方式拒绝、阻挠监督检查，或者在接受监督检查时弄虚作假的</w:t>
            </w:r>
            <w:bookmarkEnd w:id="100"/>
          </w:p>
        </w:tc>
      </w:tr>
      <w:tr>
        <w:trPr>
          <w:trHeight w:val="1450" w:hRule="atLeast"/>
          <w:jc w:val="center"/>
        </w:trPr>
        <w:tc>
          <w:tcPr>
            <w:tcW w:w="12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61" w:type="dxa"/>
            <w:gridSpan w:val="2"/>
            <w:vAlign w:val="center"/>
          </w:tcPr>
          <w:p>
            <w:pPr>
              <w:pStyle w:val="19"/>
              <w:shd w:val="clear" w:color="auto" w:fill="auto"/>
              <w:snapToGrid w:val="0"/>
              <w:spacing w:before="0" w:beforeAutospacing="0" w:after="0" w:afterAutospacing="0" w:line="320" w:lineRule="exact"/>
              <w:ind w:left="0" w:right="0" w:firstLine="482"/>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《中华人民共和国水污染防治法》第三十条</w:t>
            </w:r>
            <w:r>
              <w:rPr>
                <w:rFonts w:hint="default" w:ascii="Times New Roman" w:hAnsi="Times New Roman" w:cs="Times New Roman"/>
                <w:color w:val="auto"/>
                <w:sz w:val="21"/>
                <w:szCs w:val="21"/>
                <w:shd w:val="clear" w:color="auto" w:fill="auto"/>
              </w:rPr>
              <w:t xml:space="preserve">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tc>
      </w:tr>
      <w:tr>
        <w:trPr>
          <w:trHeight w:val="1988" w:hRule="atLeast"/>
          <w:jc w:val="center"/>
        </w:trPr>
        <w:tc>
          <w:tcPr>
            <w:tcW w:w="12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61" w:type="dxa"/>
            <w:gridSpan w:val="2"/>
            <w:vAlign w:val="center"/>
          </w:tcPr>
          <w:p>
            <w:pPr>
              <w:pStyle w:val="19"/>
              <w:shd w:val="clear" w:color="auto" w:fill="auto"/>
              <w:snapToGrid w:val="0"/>
              <w:spacing w:before="0" w:beforeAutospacing="0" w:after="0" w:afterAutospacing="0" w:line="320" w:lineRule="exact"/>
              <w:ind w:left="0" w:right="0" w:firstLine="482"/>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《中华人民共和国水污染防治法》第八十一条</w:t>
            </w:r>
            <w:r>
              <w:rPr>
                <w:rFonts w:hint="default" w:ascii="Times New Roman" w:hAnsi="Times New Roman" w:cs="Times New Roman"/>
                <w:color w:val="auto"/>
                <w:sz w:val="21"/>
                <w:szCs w:val="21"/>
                <w:shd w:val="clear" w:color="auto" w:fill="auto"/>
              </w:rPr>
              <w:t xml:space="preserve"> 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tc>
      </w:tr>
      <w:tr>
        <w:trPr>
          <w:trHeight w:val="414" w:hRule="atLeast"/>
          <w:jc w:val="center"/>
        </w:trPr>
        <w:tc>
          <w:tcPr>
            <w:tcW w:w="12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3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14" w:hRule="atLeast"/>
          <w:jc w:val="center"/>
        </w:trPr>
        <w:tc>
          <w:tcPr>
            <w:tcW w:w="129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★拒绝检查</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情形</w:t>
            </w:r>
          </w:p>
        </w:tc>
        <w:tc>
          <w:tcPr>
            <w:tcW w:w="536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迟滞10分钟以上30分钟</w:t>
            </w:r>
            <w:r>
              <w:rPr>
                <w:rFonts w:hint="default" w:ascii="Times New Roman" w:hAnsi="Times New Roman" w:cs="Times New Roman"/>
                <w:color w:val="auto"/>
                <w:sz w:val="21"/>
                <w:szCs w:val="21"/>
                <w:shd w:val="clear" w:color="auto" w:fill="auto"/>
                <w:lang w:val="en-US" w:eastAsia="zh-CN"/>
              </w:rPr>
              <w:t>以下</w:t>
            </w:r>
          </w:p>
        </w:tc>
        <w:tc>
          <w:tcPr>
            <w:tcW w:w="23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14"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1"/>
                <w:szCs w:val="21"/>
                <w:shd w:val="clear" w:color="auto" w:fill="auto"/>
                <w:lang w:eastAsia="zh-CN"/>
              </w:rPr>
            </w:pPr>
            <w:r>
              <w:rPr>
                <w:rFonts w:hint="default" w:ascii="Times New Roman" w:hAnsi="Times New Roman" w:cs="Times New Roman"/>
                <w:color w:val="auto"/>
                <w:sz w:val="21"/>
                <w:szCs w:val="21"/>
                <w:shd w:val="clear" w:color="auto" w:fill="auto"/>
              </w:rPr>
              <w:t>迟滞30分钟</w:t>
            </w:r>
            <w:r>
              <w:rPr>
                <w:rFonts w:hint="default" w:ascii="Times New Roman" w:hAnsi="Times New Roman" w:cs="Times New Roman"/>
                <w:color w:val="auto"/>
                <w:sz w:val="21"/>
                <w:szCs w:val="21"/>
                <w:shd w:val="clear" w:color="auto" w:fill="auto"/>
                <w:lang w:val="en-US" w:eastAsia="zh-CN"/>
              </w:rPr>
              <w:t>以</w:t>
            </w:r>
            <w:r>
              <w:rPr>
                <w:rFonts w:hint="default" w:ascii="Times New Roman" w:hAnsi="Times New Roman" w:cs="Times New Roman"/>
                <w:color w:val="auto"/>
                <w:sz w:val="21"/>
                <w:szCs w:val="21"/>
                <w:shd w:val="clear" w:color="auto" w:fill="auto"/>
                <w:lang w:eastAsia="zh-CN"/>
              </w:rPr>
              <w:t>上</w:t>
            </w:r>
          </w:p>
        </w:tc>
        <w:tc>
          <w:tcPr>
            <w:tcW w:w="23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14"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阻碍或隐匿部分资料</w:t>
            </w:r>
          </w:p>
        </w:tc>
        <w:tc>
          <w:tcPr>
            <w:tcW w:w="23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14"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围堵、滞留执法人员或拒绝提供资料</w:t>
            </w:r>
          </w:p>
        </w:tc>
        <w:tc>
          <w:tcPr>
            <w:tcW w:w="23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14"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暴力抗法</w:t>
            </w:r>
          </w:p>
        </w:tc>
        <w:tc>
          <w:tcPr>
            <w:tcW w:w="23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14" w:hRule="atLeast"/>
          <w:jc w:val="center"/>
        </w:trPr>
        <w:tc>
          <w:tcPr>
            <w:tcW w:w="129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★弄虚作假</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情形</w:t>
            </w:r>
          </w:p>
        </w:tc>
        <w:tc>
          <w:tcPr>
            <w:tcW w:w="5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提供假信息</w:t>
            </w:r>
          </w:p>
        </w:tc>
        <w:tc>
          <w:tcPr>
            <w:tcW w:w="23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14"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伪造现场或证据</w:t>
            </w:r>
          </w:p>
        </w:tc>
        <w:tc>
          <w:tcPr>
            <w:tcW w:w="23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14" w:hRule="atLeast"/>
          <w:jc w:val="center"/>
        </w:trPr>
        <w:tc>
          <w:tcPr>
            <w:tcW w:w="129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微型企业</w:t>
            </w:r>
          </w:p>
        </w:tc>
        <w:tc>
          <w:tcPr>
            <w:tcW w:w="23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414"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小型企业</w:t>
            </w:r>
          </w:p>
        </w:tc>
        <w:tc>
          <w:tcPr>
            <w:tcW w:w="23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14"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中型企业</w:t>
            </w:r>
          </w:p>
        </w:tc>
        <w:tc>
          <w:tcPr>
            <w:tcW w:w="23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14"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大型企业</w:t>
            </w:r>
          </w:p>
        </w:tc>
        <w:tc>
          <w:tcPr>
            <w:tcW w:w="23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414" w:hRule="atLeast"/>
          <w:jc w:val="center"/>
        </w:trPr>
        <w:tc>
          <w:tcPr>
            <w:tcW w:w="129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val="en-US" w:eastAsia="zh-CN"/>
              </w:rPr>
              <w:t>管理类别</w:t>
            </w:r>
          </w:p>
        </w:tc>
        <w:tc>
          <w:tcPr>
            <w:tcW w:w="5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登记管理</w:t>
            </w:r>
          </w:p>
        </w:tc>
        <w:tc>
          <w:tcPr>
            <w:tcW w:w="23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414"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简化管理</w:t>
            </w:r>
          </w:p>
        </w:tc>
        <w:tc>
          <w:tcPr>
            <w:tcW w:w="239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414"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重点管理</w:t>
            </w:r>
          </w:p>
        </w:tc>
        <w:tc>
          <w:tcPr>
            <w:tcW w:w="239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14" w:hRule="atLeast"/>
          <w:jc w:val="center"/>
        </w:trPr>
        <w:tc>
          <w:tcPr>
            <w:tcW w:w="129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排放</w:t>
            </w:r>
            <w:r>
              <w:rPr>
                <w:rFonts w:hint="default" w:ascii="Times New Roman" w:hAnsi="Times New Roman" w:cs="Times New Roman"/>
                <w:b/>
                <w:bCs/>
                <w:color w:val="auto"/>
                <w:sz w:val="20"/>
                <w:szCs w:val="20"/>
                <w:shd w:val="clear" w:color="auto" w:fill="auto"/>
              </w:rPr>
              <w:t>废水</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rPr>
              <w:t>类别</w:t>
            </w:r>
          </w:p>
        </w:tc>
        <w:tc>
          <w:tcPr>
            <w:tcW w:w="5362"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生活废水</w:t>
            </w:r>
            <w:r>
              <w:rPr>
                <w:rFonts w:hint="eastAsia" w:ascii="Times New Roman" w:hAnsi="Times New Roman" w:cs="Times New Roman"/>
                <w:color w:val="auto"/>
                <w:sz w:val="20"/>
                <w:szCs w:val="20"/>
                <w:shd w:val="clear" w:color="auto" w:fill="auto"/>
                <w:lang w:val="en-US" w:eastAsia="zh-CN"/>
              </w:rPr>
              <w:t>/规模以下畜禽养殖废水</w:t>
            </w:r>
          </w:p>
        </w:tc>
        <w:tc>
          <w:tcPr>
            <w:tcW w:w="23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414"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服务业废水</w:t>
            </w:r>
            <w:r>
              <w:rPr>
                <w:rFonts w:hint="eastAsia" w:ascii="Times New Roman" w:hAnsi="Times New Roman" w:cs="Times New Roman"/>
                <w:color w:val="auto"/>
                <w:sz w:val="20"/>
                <w:szCs w:val="20"/>
                <w:shd w:val="clear" w:color="auto" w:fill="auto"/>
                <w:lang w:val="en-US" w:eastAsia="zh-CN"/>
              </w:rPr>
              <w:t>/规模化畜禽养殖废水</w:t>
            </w:r>
          </w:p>
        </w:tc>
        <w:tc>
          <w:tcPr>
            <w:tcW w:w="23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14"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一般工业废水</w:t>
            </w:r>
          </w:p>
        </w:tc>
        <w:tc>
          <w:tcPr>
            <w:tcW w:w="23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14"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含其他有毒有害物质的废水、医疗废水</w:t>
            </w:r>
          </w:p>
        </w:tc>
        <w:tc>
          <w:tcPr>
            <w:tcW w:w="23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414" w:hRule="atLeast"/>
          <w:jc w:val="center"/>
        </w:trPr>
        <w:tc>
          <w:tcPr>
            <w:tcW w:w="12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含一类污染物或重金属、病原体、放射性物质的废水</w:t>
            </w:r>
          </w:p>
        </w:tc>
        <w:tc>
          <w:tcPr>
            <w:tcW w:w="23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5</w:t>
            </w:r>
          </w:p>
        </w:tc>
      </w:tr>
      <w:tr>
        <w:trPr>
          <w:trHeight w:val="397" w:hRule="atLeast"/>
          <w:jc w:val="center"/>
        </w:trPr>
        <w:tc>
          <w:tcPr>
            <w:tcW w:w="1299" w:type="dxa"/>
            <w:vMerge w:val="restart"/>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受处罚次数</w:t>
            </w:r>
          </w:p>
        </w:tc>
        <w:tc>
          <w:tcPr>
            <w:tcW w:w="5362" w:type="dxa"/>
            <w:vAlign w:val="center"/>
          </w:tcPr>
          <w:p>
            <w:pPr>
              <w:widowControl w:val="0"/>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两年内未受到过同类处罚</w:t>
            </w:r>
          </w:p>
        </w:tc>
        <w:tc>
          <w:tcPr>
            <w:tcW w:w="239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jc w:val="center"/>
        </w:trPr>
        <w:tc>
          <w:tcPr>
            <w:tcW w:w="129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62" w:type="dxa"/>
            <w:vAlign w:val="center"/>
          </w:tcPr>
          <w:p>
            <w:pPr>
              <w:widowControl w:val="0"/>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两年内受到同类处罚1次</w:t>
            </w:r>
          </w:p>
        </w:tc>
        <w:tc>
          <w:tcPr>
            <w:tcW w:w="239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jc w:val="center"/>
        </w:trPr>
        <w:tc>
          <w:tcPr>
            <w:tcW w:w="129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62" w:type="dxa"/>
            <w:vAlign w:val="center"/>
          </w:tcPr>
          <w:p>
            <w:pPr>
              <w:widowControl w:val="0"/>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两年内受到同类处罚2次以上</w:t>
            </w:r>
          </w:p>
        </w:tc>
        <w:tc>
          <w:tcPr>
            <w:tcW w:w="239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2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61"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widowControl/>
        <w:shd w:val="clear" w:color="auto" w:fill="auto"/>
        <w:snapToGrid w:val="0"/>
        <w:jc w:val="left"/>
        <w:rPr>
          <w:rFonts w:ascii="Times New Roman" w:hAnsi="Times New Roman" w:eastAsia="FangSong_GB2312" w:cs="Times New Roman"/>
          <w:color w:val="auto"/>
          <w:sz w:val="32"/>
          <w:szCs w:val="32"/>
          <w:shd w:val="clear" w:color="auto" w:fill="auto"/>
        </w:rPr>
      </w:pPr>
    </w:p>
    <w:p>
      <w:pPr>
        <w:widowControl/>
        <w:shd w:val="clear" w:color="auto" w:fill="auto"/>
        <w:snapToGrid w:val="0"/>
        <w:jc w:val="left"/>
        <w:rPr>
          <w:rFonts w:ascii="Times New Roman" w:hAnsi="Times New Roman" w:eastAsia="FangSong_GB2312" w:cs="Times New Roman"/>
          <w:color w:val="auto"/>
          <w:sz w:val="32"/>
          <w:szCs w:val="32"/>
          <w:shd w:val="clear" w:color="auto" w:fill="auto"/>
        </w:rPr>
      </w:pPr>
    </w:p>
    <w:p>
      <w:pPr>
        <w:widowControl/>
        <w:shd w:val="clear" w:color="auto" w:fill="auto"/>
        <w:snapToGrid w:val="0"/>
        <w:jc w:val="left"/>
        <w:rPr>
          <w:rFonts w:ascii="Times New Roman" w:hAnsi="Times New Roman" w:eastAsia="FangSong_GB2312" w:cs="Times New Roman"/>
          <w:color w:val="auto"/>
          <w:sz w:val="32"/>
          <w:szCs w:val="32"/>
          <w:shd w:val="clear" w:color="auto" w:fill="auto"/>
        </w:rPr>
      </w:pPr>
    </w:p>
    <w:p>
      <w:pPr>
        <w:widowControl/>
        <w:shd w:val="clear" w:color="auto" w:fill="auto"/>
        <w:snapToGrid w:val="0"/>
        <w:jc w:val="left"/>
        <w:rPr>
          <w:rFonts w:ascii="Times New Roman" w:hAnsi="Times New Roman" w:eastAsia="FangSong_GB2312" w:cs="Times New Roman"/>
          <w:color w:val="auto"/>
          <w:sz w:val="32"/>
          <w:szCs w:val="32"/>
          <w:shd w:val="clear" w:color="auto" w:fill="auto"/>
        </w:rPr>
      </w:pPr>
    </w:p>
    <w:p>
      <w:pPr>
        <w:widowControl/>
        <w:shd w:val="clear" w:color="auto" w:fill="auto"/>
        <w:snapToGrid w:val="0"/>
        <w:jc w:val="left"/>
        <w:rPr>
          <w:rFonts w:ascii="Times New Roman" w:hAnsi="Times New Roman" w:eastAsia="FangSong_GB2312" w:cs="Times New Roman"/>
          <w:color w:val="auto"/>
          <w:sz w:val="32"/>
          <w:szCs w:val="32"/>
          <w:shd w:val="clear" w:color="auto" w:fill="auto"/>
        </w:rPr>
      </w:pPr>
    </w:p>
    <w:p>
      <w:pPr>
        <w:widowControl/>
        <w:shd w:val="clear" w:color="auto" w:fill="auto"/>
        <w:snapToGrid w:val="0"/>
        <w:jc w:val="left"/>
        <w:rPr>
          <w:rFonts w:ascii="Times New Roman" w:hAnsi="Times New Roman" w:eastAsia="FangSong_GB2312" w:cs="Times New Roman"/>
          <w:color w:val="auto"/>
          <w:sz w:val="32"/>
          <w:szCs w:val="32"/>
          <w:shd w:val="clear" w:color="auto" w:fill="auto"/>
        </w:rPr>
      </w:pPr>
    </w:p>
    <w:p>
      <w:pPr>
        <w:widowControl/>
        <w:shd w:val="clear" w:color="auto" w:fill="auto"/>
        <w:snapToGrid w:val="0"/>
        <w:jc w:val="left"/>
        <w:rPr>
          <w:rFonts w:ascii="Times New Roman" w:hAnsi="Times New Roman" w:eastAsia="FangSong_GB2312" w:cs="Times New Roman"/>
          <w:color w:val="auto"/>
          <w:sz w:val="32"/>
          <w:szCs w:val="32"/>
          <w:shd w:val="clear" w:color="auto" w:fill="auto"/>
        </w:rPr>
      </w:pPr>
    </w:p>
    <w:p>
      <w:pPr>
        <w:widowControl/>
        <w:shd w:val="clear" w:color="auto" w:fill="auto"/>
        <w:snapToGrid w:val="0"/>
        <w:spacing w:line="240" w:lineRule="exact"/>
        <w:jc w:val="left"/>
        <w:rPr>
          <w:rFonts w:ascii="Times New Roman" w:hAnsi="Times New Roman" w:eastAsia="FangSong_GB2312" w:cs="Times New Roman"/>
          <w:color w:val="auto"/>
          <w:sz w:val="32"/>
          <w:szCs w:val="32"/>
          <w:shd w:val="clear" w:color="auto" w:fill="auto"/>
        </w:rPr>
      </w:pPr>
      <w:r>
        <w:rPr>
          <w:rFonts w:ascii="Times New Roman" w:hAnsi="Times New Roman" w:eastAsia="FangSong_GB2312" w:cs="Times New Roman"/>
          <w:color w:val="auto"/>
          <w:sz w:val="32"/>
          <w:szCs w:val="32"/>
          <w:shd w:val="clear" w:color="auto" w:fill="auto"/>
        </w:rPr>
        <w:br w:type="page"/>
      </w:r>
    </w:p>
    <w:tbl>
      <w:tblPr>
        <w:tblW w:w="9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5351"/>
        <w:gridCol w:w="2363"/>
      </w:tblGrid>
      <w:tr>
        <w:trPr>
          <w:trHeight w:val="397" w:hRule="atLeast"/>
          <w:jc w:val="center"/>
        </w:trPr>
        <w:tc>
          <w:tcPr>
            <w:tcW w:w="9047"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（三）水污染防治类</w:t>
            </w:r>
          </w:p>
        </w:tc>
      </w:tr>
      <w:tr>
        <w:trPr>
          <w:trHeight w:val="397" w:hRule="atLeast"/>
          <w:jc w:val="center"/>
        </w:trPr>
        <w:tc>
          <w:tcPr>
            <w:tcW w:w="13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14"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01" w:name="_Toc25858"/>
            <w:r>
              <w:rPr>
                <w:rFonts w:hint="default" w:ascii="Times New Roman" w:hAnsi="Times New Roman" w:cs="Times New Roman"/>
                <w:color w:val="auto"/>
                <w:sz w:val="20"/>
                <w:szCs w:val="20"/>
                <w:shd w:val="clear" w:color="auto" w:fill="auto"/>
              </w:rPr>
              <w:t>2</w:t>
            </w:r>
            <w:bookmarkEnd w:id="101"/>
          </w:p>
        </w:tc>
      </w:tr>
      <w:tr>
        <w:trPr>
          <w:trHeight w:val="397" w:hRule="atLeast"/>
          <w:jc w:val="center"/>
        </w:trPr>
        <w:tc>
          <w:tcPr>
            <w:tcW w:w="13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14" w:type="dxa"/>
            <w:gridSpan w:val="2"/>
            <w:vAlign w:val="center"/>
          </w:tcPr>
          <w:p>
            <w:pPr>
              <w:shd w:val="clear" w:color="auto" w:fill="auto"/>
              <w:snapToGrid w:val="0"/>
              <w:spacing w:before="0" w:beforeAutospacing="0" w:after="0" w:afterAutospacing="0" w:line="320" w:lineRule="exact"/>
              <w:ind w:left="0" w:right="0" w:firstLine="480"/>
              <w:jc w:val="center"/>
              <w:outlineLvl w:val="9"/>
              <w:rPr>
                <w:rFonts w:hint="default" w:ascii="Times New Roman" w:hAnsi="Times New Roman" w:cs="Times New Roman"/>
                <w:color w:val="auto"/>
                <w:sz w:val="20"/>
                <w:szCs w:val="20"/>
                <w:shd w:val="clear" w:color="auto" w:fill="auto"/>
              </w:rPr>
            </w:pPr>
            <w:bookmarkStart w:id="102" w:name="_Toc8733"/>
            <w:r>
              <w:rPr>
                <w:rFonts w:hint="default" w:ascii="Times New Roman" w:hAnsi="Times New Roman" w:cs="Times New Roman"/>
                <w:color w:val="auto"/>
                <w:sz w:val="20"/>
                <w:szCs w:val="20"/>
                <w:shd w:val="clear" w:color="auto" w:fill="auto"/>
              </w:rPr>
              <w:t>未按照规定对所排放的水污染物自行监测，或者未保存原始监测记录的</w:t>
            </w:r>
            <w:bookmarkEnd w:id="102"/>
          </w:p>
        </w:tc>
      </w:tr>
      <w:tr>
        <w:trPr>
          <w:trHeight w:val="397" w:hRule="atLeast"/>
          <w:jc w:val="center"/>
        </w:trPr>
        <w:tc>
          <w:tcPr>
            <w:tcW w:w="13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14" w:type="dxa"/>
            <w:gridSpan w:val="2"/>
            <w:vAlign w:val="top"/>
          </w:tcPr>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《中华人民共和国水污染防治法》第二十三条第一款</w:t>
            </w:r>
            <w:r>
              <w:rPr>
                <w:rFonts w:hint="default" w:ascii="Times New Roman" w:hAnsi="Times New Roman" w:cs="Times New Roman"/>
                <w:color w:val="auto"/>
                <w:sz w:val="21"/>
                <w:szCs w:val="21"/>
                <w:shd w:val="clear" w:color="auto" w:fill="auto"/>
              </w:rPr>
              <w:t xml:space="preserve"> 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w:t>
            </w:r>
          </w:p>
        </w:tc>
      </w:tr>
      <w:tr>
        <w:trPr>
          <w:trHeight w:val="397" w:hRule="atLeast"/>
          <w:jc w:val="center"/>
        </w:trPr>
        <w:tc>
          <w:tcPr>
            <w:tcW w:w="13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14" w:type="dxa"/>
            <w:gridSpan w:val="2"/>
            <w:vAlign w:val="top"/>
          </w:tcPr>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《中华人民共和国水污染防治法》第八十二条第（一）项</w:t>
            </w:r>
            <w:r>
              <w:rPr>
                <w:rFonts w:hint="default" w:ascii="Times New Roman" w:hAnsi="Times New Roman" w:cs="Times New Roman"/>
                <w:color w:val="auto"/>
                <w:sz w:val="21"/>
                <w:szCs w:val="21"/>
                <w:shd w:val="clear" w:color="auto" w:fill="auto"/>
              </w:rPr>
              <w:t xml:space="preserve"> 违反本法规定，有下列行为之一的，由县级以上人民政府环境保护主管部门责令限期改正，处二万元以上二十万元以下的罚款；逾期不改正的，责令停产整治：</w:t>
            </w:r>
          </w:p>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（一）未按照规定对所排放的水污染物自行监测，或者未保存原始监测记录的。</w:t>
            </w:r>
          </w:p>
        </w:tc>
      </w:tr>
      <w:tr>
        <w:trPr>
          <w:trHeight w:val="397" w:hRule="atLeast"/>
          <w:jc w:val="center"/>
        </w:trPr>
        <w:tc>
          <w:tcPr>
            <w:tcW w:w="13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jc w:val="center"/>
        </w:trPr>
        <w:tc>
          <w:tcPr>
            <w:tcW w:w="133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按规定进行了监测，</w:t>
            </w:r>
            <w:r>
              <w:rPr>
                <w:rFonts w:hint="default" w:ascii="Times New Roman" w:hAnsi="Times New Roman" w:cs="Times New Roman"/>
                <w:color w:val="auto"/>
                <w:sz w:val="20"/>
                <w:szCs w:val="20"/>
                <w:shd w:val="clear" w:color="auto" w:fill="auto"/>
                <w:lang w:eastAsia="zh-CN"/>
              </w:rPr>
              <w:t>保存</w:t>
            </w:r>
            <w:r>
              <w:rPr>
                <w:rFonts w:hint="default" w:ascii="Times New Roman" w:hAnsi="Times New Roman" w:cs="Times New Roman"/>
                <w:color w:val="auto"/>
                <w:sz w:val="20"/>
                <w:szCs w:val="20"/>
                <w:shd w:val="clear" w:color="auto" w:fill="auto"/>
              </w:rPr>
              <w:t>原始监测记录70%以上100%</w:t>
            </w:r>
            <w:r>
              <w:rPr>
                <w:rFonts w:hint="default" w:ascii="Times New Roman" w:hAnsi="Times New Roman" w:cs="Times New Roman"/>
                <w:color w:val="auto"/>
                <w:sz w:val="20"/>
                <w:szCs w:val="20"/>
                <w:shd w:val="clear" w:color="auto" w:fill="auto"/>
                <w:lang w:eastAsia="zh-CN"/>
              </w:rPr>
              <w:t>以下</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按照规定进行了监测</w:t>
            </w:r>
            <w:r>
              <w:rPr>
                <w:rFonts w:hint="default" w:ascii="Times New Roman" w:hAnsi="Times New Roman" w:cs="Times New Roman"/>
                <w:color w:val="auto"/>
                <w:sz w:val="20"/>
                <w:szCs w:val="20"/>
                <w:shd w:val="clear" w:color="auto" w:fill="auto"/>
              </w:rPr>
              <w:t>，</w:t>
            </w:r>
            <w:r>
              <w:rPr>
                <w:rFonts w:hint="default" w:ascii="Times New Roman" w:hAnsi="Times New Roman" w:cs="Times New Roman"/>
                <w:color w:val="auto"/>
                <w:sz w:val="20"/>
                <w:szCs w:val="20"/>
                <w:shd w:val="clear" w:color="auto" w:fill="auto"/>
                <w:lang w:eastAsia="zh-CN"/>
              </w:rPr>
              <w:t>但保存</w:t>
            </w:r>
            <w:r>
              <w:rPr>
                <w:rFonts w:hint="default" w:ascii="Times New Roman" w:hAnsi="Times New Roman" w:cs="Times New Roman"/>
                <w:color w:val="auto"/>
                <w:sz w:val="20"/>
                <w:szCs w:val="20"/>
                <w:shd w:val="clear" w:color="auto" w:fill="auto"/>
              </w:rPr>
              <w:t>原始监测记录70%</w:t>
            </w:r>
            <w:r>
              <w:rPr>
                <w:rFonts w:hint="default" w:ascii="Times New Roman" w:hAnsi="Times New Roman" w:cs="Times New Roman"/>
                <w:color w:val="auto"/>
                <w:sz w:val="20"/>
                <w:szCs w:val="20"/>
                <w:shd w:val="clear" w:color="auto" w:fill="auto"/>
                <w:lang w:eastAsia="zh-CN"/>
              </w:rPr>
              <w:t>以下</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未按照规定进行监测</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未监测或未保存监测记录的</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3"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35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36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jc w:val="center"/>
        </w:trPr>
        <w:tc>
          <w:tcPr>
            <w:tcW w:w="1333"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36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jc w:val="center"/>
        </w:trPr>
        <w:tc>
          <w:tcPr>
            <w:tcW w:w="1333"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36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jc w:val="center"/>
        </w:trPr>
        <w:tc>
          <w:tcPr>
            <w:tcW w:w="1333"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36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jc w:val="center"/>
        </w:trPr>
        <w:tc>
          <w:tcPr>
            <w:tcW w:w="1333"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36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33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管理类别</w:t>
            </w: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登记管理</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351" w:type="dxa"/>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简化管理</w:t>
            </w:r>
          </w:p>
        </w:tc>
        <w:tc>
          <w:tcPr>
            <w:tcW w:w="2363" w:type="dxa"/>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重点管理</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3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微型企业</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小型企业</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中型企业</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大型企业</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4</w:t>
            </w:r>
          </w:p>
        </w:tc>
      </w:tr>
      <w:tr>
        <w:trPr>
          <w:trHeight w:val="397" w:hRule="atLeast"/>
          <w:jc w:val="center"/>
        </w:trPr>
        <w:tc>
          <w:tcPr>
            <w:tcW w:w="133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废水类别</w:t>
            </w: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生活废水</w:t>
            </w:r>
            <w:r>
              <w:rPr>
                <w:rFonts w:hint="eastAsia" w:ascii="Times New Roman" w:hAnsi="Times New Roman" w:cs="Times New Roman"/>
                <w:color w:val="auto"/>
                <w:sz w:val="20"/>
                <w:szCs w:val="20"/>
                <w:shd w:val="clear" w:color="auto" w:fill="auto"/>
                <w:lang w:val="en-US" w:eastAsia="zh-CN"/>
              </w:rPr>
              <w:t>/规模以下畜禽养殖废水</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服务业废水</w:t>
            </w:r>
            <w:r>
              <w:rPr>
                <w:rFonts w:hint="eastAsia" w:ascii="Times New Roman" w:hAnsi="Times New Roman" w:cs="Times New Roman"/>
                <w:color w:val="auto"/>
                <w:sz w:val="20"/>
                <w:szCs w:val="20"/>
                <w:shd w:val="clear" w:color="auto" w:fill="auto"/>
                <w:lang w:val="en-US" w:eastAsia="zh-CN"/>
              </w:rPr>
              <w:t>/规模化畜禽养殖废水</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一般工业废水</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含其他有毒有害物质的废水、医疗废水</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含一类污染物或重金属、病原体、放射性物质的废水</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3"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r>
              <w:rPr>
                <w:rFonts w:hint="default" w:ascii="Times New Roman" w:hAnsi="Times New Roman" w:cs="Times New Roman"/>
                <w:b/>
                <w:bCs/>
                <w:color w:val="auto"/>
                <w:sz w:val="20"/>
                <w:szCs w:val="20"/>
                <w:shd w:val="clear" w:color="auto" w:fill="auto"/>
                <w:lang w:val="en-US"/>
              </w:rPr>
              <w:t>改正时间</w:t>
            </w:r>
          </w:p>
        </w:tc>
        <w:tc>
          <w:tcPr>
            <w:tcW w:w="5351"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kern w:val="2"/>
                <w:sz w:val="21"/>
                <w:szCs w:val="21"/>
                <w:shd w:val="clear" w:color="auto" w:fill="auto"/>
                <w:lang w:eastAsia="zh-CN"/>
              </w:rPr>
              <w:t>限期改正</w:t>
            </w:r>
          </w:p>
        </w:tc>
        <w:tc>
          <w:tcPr>
            <w:tcW w:w="23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3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3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3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3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3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7天以上</w:t>
            </w:r>
          </w:p>
        </w:tc>
        <w:tc>
          <w:tcPr>
            <w:tcW w:w="23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33" w:type="dxa"/>
            <w:vMerge w:val="restart"/>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受处罚次数</w:t>
            </w:r>
          </w:p>
        </w:tc>
        <w:tc>
          <w:tcPr>
            <w:tcW w:w="5351" w:type="dxa"/>
            <w:vAlign w:val="center"/>
          </w:tcPr>
          <w:p>
            <w:pPr>
              <w:widowControl w:val="0"/>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两年内未受到过同类处罚</w:t>
            </w:r>
          </w:p>
        </w:tc>
        <w:tc>
          <w:tcPr>
            <w:tcW w:w="236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jc w:val="center"/>
        </w:trPr>
        <w:tc>
          <w:tcPr>
            <w:tcW w:w="1333"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widowControl w:val="0"/>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两年内受到同类处罚1次</w:t>
            </w:r>
          </w:p>
        </w:tc>
        <w:tc>
          <w:tcPr>
            <w:tcW w:w="236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jc w:val="center"/>
        </w:trPr>
        <w:tc>
          <w:tcPr>
            <w:tcW w:w="1333"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widowControl w:val="0"/>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两年内受到同类处罚2次以上</w:t>
            </w:r>
          </w:p>
        </w:tc>
        <w:tc>
          <w:tcPr>
            <w:tcW w:w="236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33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3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3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3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3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3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14"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8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5416"/>
        <w:gridCol w:w="2311"/>
      </w:tblGrid>
      <w:tr>
        <w:trPr>
          <w:trHeight w:val="351" w:hRule="atLeast"/>
          <w:jc w:val="center"/>
        </w:trPr>
        <w:tc>
          <w:tcPr>
            <w:tcW w:w="8974"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（三）水污染防治类</w:t>
            </w:r>
          </w:p>
        </w:tc>
      </w:tr>
      <w:tr>
        <w:trPr>
          <w:trHeight w:val="351" w:hRule="atLeast"/>
          <w:jc w:val="center"/>
        </w:trPr>
        <w:tc>
          <w:tcPr>
            <w:tcW w:w="12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27"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03" w:name="_Toc5644"/>
            <w:r>
              <w:rPr>
                <w:rFonts w:hint="default" w:ascii="Times New Roman" w:hAnsi="Times New Roman" w:cs="Times New Roman"/>
                <w:color w:val="auto"/>
                <w:sz w:val="20"/>
                <w:szCs w:val="20"/>
                <w:shd w:val="clear" w:color="auto" w:fill="auto"/>
              </w:rPr>
              <w:t>3</w:t>
            </w:r>
            <w:bookmarkEnd w:id="103"/>
          </w:p>
        </w:tc>
      </w:tr>
      <w:tr>
        <w:trPr>
          <w:trHeight w:val="351" w:hRule="atLeast"/>
          <w:jc w:val="center"/>
        </w:trPr>
        <w:tc>
          <w:tcPr>
            <w:tcW w:w="12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27" w:type="dxa"/>
            <w:gridSpan w:val="2"/>
            <w:vAlign w:val="center"/>
          </w:tcPr>
          <w:p>
            <w:pPr>
              <w:shd w:val="clear" w:color="auto" w:fill="auto"/>
              <w:snapToGrid w:val="0"/>
              <w:spacing w:before="0" w:beforeAutospacing="0" w:after="0" w:afterAutospacing="0" w:line="320" w:lineRule="exact"/>
              <w:ind w:left="0" w:right="0" w:firstLine="482"/>
              <w:jc w:val="left"/>
              <w:outlineLvl w:val="9"/>
              <w:rPr>
                <w:rFonts w:hint="default" w:ascii="Times New Roman" w:hAnsi="Times New Roman" w:cs="Times New Roman"/>
                <w:color w:val="auto"/>
                <w:sz w:val="20"/>
                <w:szCs w:val="20"/>
                <w:shd w:val="clear" w:color="auto" w:fill="auto"/>
              </w:rPr>
            </w:pPr>
            <w:bookmarkStart w:id="104" w:name="_Toc24493"/>
            <w:r>
              <w:rPr>
                <w:rFonts w:hint="default" w:ascii="Times New Roman" w:hAnsi="Times New Roman" w:cs="Times New Roman"/>
                <w:color w:val="auto"/>
                <w:sz w:val="20"/>
                <w:szCs w:val="20"/>
                <w:shd w:val="clear" w:color="auto" w:fill="auto"/>
              </w:rPr>
              <w:t>未按照规定安装水污染物排放自动监测设备，未按照规定与环境保护主管部门的监控设备联网，或者未保证监测设备正常运行的</w:t>
            </w:r>
            <w:bookmarkEnd w:id="104"/>
          </w:p>
        </w:tc>
      </w:tr>
      <w:tr>
        <w:trPr>
          <w:trHeight w:val="351" w:hRule="atLeast"/>
          <w:jc w:val="center"/>
        </w:trPr>
        <w:tc>
          <w:tcPr>
            <w:tcW w:w="12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27" w:type="dxa"/>
            <w:gridSpan w:val="2"/>
            <w:vAlign w:val="top"/>
          </w:tcPr>
          <w:p>
            <w:pPr>
              <w:pStyle w:val="19"/>
              <w:shd w:val="clear" w:color="auto" w:fill="auto"/>
              <w:snapToGrid w:val="0"/>
              <w:spacing w:before="0" w:beforeAutospacing="0" w:after="0" w:afterAutospacing="0" w:line="320" w:lineRule="exact"/>
              <w:ind w:left="0" w:right="0" w:firstLine="482"/>
              <w:jc w:val="left"/>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《中华人民共和国水污染防治法》第二十三条第一款</w:t>
            </w:r>
            <w:r>
              <w:rPr>
                <w:rFonts w:hint="default" w:ascii="Times New Roman" w:hAnsi="Times New Roman" w:cs="Times New Roman"/>
                <w:color w:val="auto"/>
                <w:kern w:val="2"/>
                <w:sz w:val="21"/>
                <w:szCs w:val="21"/>
                <w:shd w:val="clear" w:color="auto" w:fill="auto"/>
              </w:rPr>
              <w:t xml:space="preserve"> 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w:t>
            </w:r>
          </w:p>
        </w:tc>
      </w:tr>
      <w:tr>
        <w:trPr>
          <w:trHeight w:val="351" w:hRule="atLeast"/>
          <w:jc w:val="center"/>
        </w:trPr>
        <w:tc>
          <w:tcPr>
            <w:tcW w:w="12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27" w:type="dxa"/>
            <w:gridSpan w:val="2"/>
            <w:vAlign w:val="top"/>
          </w:tcPr>
          <w:p>
            <w:pPr>
              <w:pStyle w:val="19"/>
              <w:shd w:val="clear" w:color="auto" w:fill="auto"/>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《中华人民共和国水污染防治法》第八十二条第（二）项</w:t>
            </w:r>
            <w:r>
              <w:rPr>
                <w:rFonts w:hint="default" w:ascii="Times New Roman" w:hAnsi="Times New Roman" w:cs="Times New Roman"/>
                <w:color w:val="auto"/>
                <w:kern w:val="2"/>
                <w:sz w:val="21"/>
                <w:szCs w:val="21"/>
                <w:shd w:val="clear" w:color="auto" w:fill="auto"/>
              </w:rPr>
              <w:t xml:space="preserve"> 违反本法规定，有下列行为之一的，由县级以上人民政府环境保护主管部门责令限期改正，处二万元以上二十万元以下的罚款；逾期不改正的，责令停产整治：</w:t>
            </w:r>
          </w:p>
          <w:p>
            <w:pPr>
              <w:pStyle w:val="19"/>
              <w:shd w:val="clear" w:color="auto" w:fill="auto"/>
              <w:snapToGrid w:val="0"/>
              <w:spacing w:before="0" w:beforeAutospacing="0" w:after="0" w:afterAutospacing="0" w:line="320" w:lineRule="exact"/>
              <w:ind w:left="0" w:right="0" w:firstLine="420" w:firstLineChars="200"/>
              <w:jc w:val="left"/>
              <w:rPr>
                <w:rFonts w:hint="default" w:ascii="Times New Roman" w:hAnsi="Times New Roman" w:cs="Times New Roman"/>
                <w:b/>
                <w:bCs/>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（二）未按照规定安装水污染物排放自动监测设备，未按照规定与环境保护主管部门的监控设备联网，或者未保证监测设备正常运行的。</w:t>
            </w:r>
          </w:p>
        </w:tc>
      </w:tr>
      <w:tr>
        <w:trPr>
          <w:trHeight w:val="351" w:hRule="atLeast"/>
          <w:jc w:val="center"/>
        </w:trPr>
        <w:tc>
          <w:tcPr>
            <w:tcW w:w="12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51" w:hRule="atLeast"/>
          <w:jc w:val="center"/>
        </w:trPr>
        <w:tc>
          <w:tcPr>
            <w:tcW w:w="124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事实</w:t>
            </w: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自动监测设备已安装，未按照规定与生态环境主管部门监控设备联网的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51" w:hRule="atLeast"/>
          <w:jc w:val="center"/>
        </w:trPr>
        <w:tc>
          <w:tcPr>
            <w:tcW w:w="12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自动监测设备安装、运行维护不符合相关技术规范的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51" w:hRule="atLeast"/>
          <w:jc w:val="center"/>
        </w:trPr>
        <w:tc>
          <w:tcPr>
            <w:tcW w:w="12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采样方式不符合技术规定</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51" w:hRule="atLeast"/>
          <w:jc w:val="center"/>
        </w:trPr>
        <w:tc>
          <w:tcPr>
            <w:tcW w:w="12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不按照技术规范传输数据</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51" w:hRule="atLeast"/>
          <w:jc w:val="center"/>
        </w:trPr>
        <w:tc>
          <w:tcPr>
            <w:tcW w:w="12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未按照规定安装污染物排放自动监测设备，或者擅自停运部分或全部污染源自动监测设备的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51" w:hRule="atLeast"/>
          <w:jc w:val="center"/>
        </w:trPr>
        <w:tc>
          <w:tcPr>
            <w:tcW w:w="124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监测数据</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误差</w:t>
            </w: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未保证监测设备正常运行，造成自动监测与人工监测（或者标准物质测试）数据误差超过技术规范允许范围1倍以</w:t>
            </w:r>
            <w:r>
              <w:rPr>
                <w:rFonts w:hint="default" w:ascii="Times New Roman" w:hAnsi="Times New Roman" w:cs="Times New Roman"/>
                <w:color w:val="auto"/>
                <w:sz w:val="20"/>
                <w:szCs w:val="20"/>
                <w:shd w:val="clear" w:color="auto" w:fill="auto"/>
                <w:lang w:eastAsia="zh-CN"/>
              </w:rPr>
              <w:t>下</w:t>
            </w:r>
            <w:r>
              <w:rPr>
                <w:rFonts w:hint="default" w:ascii="Times New Roman" w:hAnsi="Times New Roman" w:cs="Times New Roman"/>
                <w:color w:val="auto"/>
                <w:sz w:val="20"/>
                <w:szCs w:val="20"/>
                <w:shd w:val="clear" w:color="auto" w:fill="auto"/>
              </w:rPr>
              <w:t>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51" w:hRule="atLeast"/>
          <w:jc w:val="center"/>
        </w:trPr>
        <w:tc>
          <w:tcPr>
            <w:tcW w:w="12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未保证监测设备正常运行，造成自动监测与人工监测（或者标准物质测试）数据误差超过技术规范允许范围1倍以上2倍以下的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51" w:hRule="atLeast"/>
          <w:jc w:val="center"/>
        </w:trPr>
        <w:tc>
          <w:tcPr>
            <w:tcW w:w="12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未保证自动监测设备正常运行，造成自动监测与人工监测（或者标准物质测试）数据误差超过技术规范允许范围2倍以上3倍以下的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51" w:hRule="atLeast"/>
          <w:jc w:val="center"/>
        </w:trPr>
        <w:tc>
          <w:tcPr>
            <w:tcW w:w="12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未保证自动监测设备正常运行，造成自动监测与人工监测（或者标准物质测试）数据误差超过技术规范允许范围3倍以上的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51" w:hRule="atLeast"/>
          <w:jc w:val="center"/>
        </w:trPr>
        <w:tc>
          <w:tcPr>
            <w:tcW w:w="124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监测数据</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传输偏差</w:t>
            </w: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传输的自动监测数据与现场分析仪表数据不一致，数据偏差1%</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5%</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51" w:hRule="atLeast"/>
          <w:jc w:val="center"/>
        </w:trPr>
        <w:tc>
          <w:tcPr>
            <w:tcW w:w="12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传输的自动监测数据与现场分析仪表数据不一致，数据偏差5%</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10%</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51" w:hRule="atLeast"/>
          <w:jc w:val="center"/>
        </w:trPr>
        <w:tc>
          <w:tcPr>
            <w:tcW w:w="12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传输的自动监测数据与现场分析仪表数据不一致，数据偏差10%</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24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自动监测</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数据有效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传输率</w:t>
            </w: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自动监测季度数据有效传输率</w:t>
            </w:r>
            <w:r>
              <w:rPr>
                <w:rFonts w:hint="eastAsia" w:ascii="Times New Roman" w:hAnsi="Times New Roman" w:cs="Times New Roman"/>
                <w:color w:val="auto"/>
                <w:sz w:val="20"/>
                <w:szCs w:val="20"/>
                <w:shd w:val="clear" w:color="auto" w:fill="auto"/>
                <w:lang w:eastAsia="zh-CN"/>
              </w:rPr>
              <w:t>9</w:t>
            </w:r>
            <w:r>
              <w:rPr>
                <w:rFonts w:hint="eastAsia" w:ascii="Times New Roman" w:hAnsi="Times New Roman" w:cs="Times New Roman"/>
                <w:color w:val="auto"/>
                <w:sz w:val="20"/>
                <w:szCs w:val="20"/>
                <w:shd w:val="clear" w:color="auto" w:fill="auto"/>
                <w:lang w:val="en-US" w:eastAsia="zh-CN"/>
              </w:rPr>
              <w:t>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9</w:t>
            </w:r>
            <w:r>
              <w:rPr>
                <w:rFonts w:hint="eastAsia" w:ascii="Times New Roman" w:hAnsi="Times New Roman" w:cs="Times New Roman"/>
                <w:color w:val="auto"/>
                <w:sz w:val="20"/>
                <w:szCs w:val="20"/>
                <w:shd w:val="clear" w:color="auto" w:fill="auto"/>
                <w:lang w:val="en-US" w:eastAsia="zh-CN"/>
              </w:rPr>
              <w:t>9</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自动监测季度数据有效传输率</w:t>
            </w:r>
            <w:r>
              <w:rPr>
                <w:rFonts w:hint="eastAsia" w:ascii="Times New Roman" w:hAnsi="Times New Roman" w:cs="Times New Roman"/>
                <w:color w:val="auto"/>
                <w:sz w:val="20"/>
                <w:szCs w:val="20"/>
                <w:shd w:val="clear" w:color="auto" w:fill="auto"/>
                <w:lang w:val="en-US" w:eastAsia="zh-CN"/>
              </w:rPr>
              <w:t>85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9</w:t>
            </w:r>
            <w:r>
              <w:rPr>
                <w:rFonts w:hint="eastAsia" w:ascii="Times New Roman" w:hAnsi="Times New Roman" w:cs="Times New Roman"/>
                <w:color w:val="auto"/>
                <w:sz w:val="20"/>
                <w:szCs w:val="20"/>
                <w:shd w:val="clear" w:color="auto" w:fill="auto"/>
                <w:lang w:val="en-US" w:eastAsia="zh-CN"/>
              </w:rPr>
              <w:t>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69" w:hRule="atLeast"/>
          <w:jc w:val="center"/>
        </w:trPr>
        <w:tc>
          <w:tcPr>
            <w:tcW w:w="12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自动监测季度数据有效传输率</w:t>
            </w:r>
            <w:r>
              <w:rPr>
                <w:rFonts w:hint="eastAsia" w:ascii="Times New Roman" w:hAnsi="Times New Roman" w:cs="Times New Roman"/>
                <w:color w:val="auto"/>
                <w:sz w:val="20"/>
                <w:szCs w:val="20"/>
                <w:shd w:val="clear" w:color="auto" w:fill="auto"/>
                <w:lang w:val="en-US" w:eastAsia="zh-CN"/>
              </w:rPr>
              <w:t>75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以上</w:t>
            </w:r>
            <w:r>
              <w:rPr>
                <w:rFonts w:hint="eastAsia" w:ascii="Times New Roman" w:hAnsi="Times New Roman" w:cs="Times New Roman"/>
                <w:color w:val="auto"/>
                <w:sz w:val="20"/>
                <w:szCs w:val="20"/>
                <w:shd w:val="clear" w:color="auto" w:fill="auto"/>
                <w:lang w:val="en-US" w:eastAsia="zh-CN"/>
              </w:rPr>
              <w:t>85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2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自动监测季度数据有效传输率60%</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75%</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4</w:t>
            </w:r>
          </w:p>
        </w:tc>
      </w:tr>
      <w:tr>
        <w:trPr>
          <w:trHeight w:val="369" w:hRule="atLeast"/>
          <w:jc w:val="center"/>
        </w:trPr>
        <w:tc>
          <w:tcPr>
            <w:tcW w:w="12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自动监测季度数据有效传输率60%</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24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废水类别</w:t>
            </w: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生活废水</w:t>
            </w:r>
            <w:r>
              <w:rPr>
                <w:rFonts w:hint="eastAsia" w:ascii="Times New Roman" w:hAnsi="Times New Roman" w:cs="Times New Roman"/>
                <w:color w:val="auto"/>
                <w:sz w:val="20"/>
                <w:szCs w:val="20"/>
                <w:shd w:val="clear" w:color="auto" w:fill="auto"/>
                <w:lang w:val="en-US" w:eastAsia="zh-CN"/>
              </w:rPr>
              <w:t>/规模以下畜禽养殖废水</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服务业废水</w:t>
            </w:r>
            <w:r>
              <w:rPr>
                <w:rFonts w:hint="eastAsia" w:ascii="Times New Roman" w:hAnsi="Times New Roman" w:cs="Times New Roman"/>
                <w:color w:val="auto"/>
                <w:sz w:val="20"/>
                <w:szCs w:val="20"/>
                <w:shd w:val="clear" w:color="auto" w:fill="auto"/>
                <w:lang w:val="en-US" w:eastAsia="zh-CN"/>
              </w:rPr>
              <w:t>/规模化畜禽养殖废水</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2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一般工业废水</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2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含其他有毒有害物质的废水、医疗废水</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2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含一类污染物或重金属、病原体、放射性物质的废水</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247" w:type="dxa"/>
            <w:vMerge w:val="restart"/>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企业规模</w:t>
            </w:r>
          </w:p>
        </w:tc>
        <w:tc>
          <w:tcPr>
            <w:tcW w:w="541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微型企业</w:t>
            </w:r>
          </w:p>
        </w:tc>
        <w:tc>
          <w:tcPr>
            <w:tcW w:w="23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jc w:val="center"/>
        </w:trPr>
        <w:tc>
          <w:tcPr>
            <w:tcW w:w="124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小型企业</w:t>
            </w:r>
          </w:p>
        </w:tc>
        <w:tc>
          <w:tcPr>
            <w:tcW w:w="23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jc w:val="center"/>
        </w:trPr>
        <w:tc>
          <w:tcPr>
            <w:tcW w:w="124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中型企业</w:t>
            </w:r>
          </w:p>
        </w:tc>
        <w:tc>
          <w:tcPr>
            <w:tcW w:w="23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jc w:val="center"/>
        </w:trPr>
        <w:tc>
          <w:tcPr>
            <w:tcW w:w="124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大型企业</w:t>
            </w:r>
          </w:p>
        </w:tc>
        <w:tc>
          <w:tcPr>
            <w:tcW w:w="23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jc w:val="center"/>
        </w:trPr>
        <w:tc>
          <w:tcPr>
            <w:tcW w:w="1247"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41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3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jc w:val="center"/>
        </w:trPr>
        <w:tc>
          <w:tcPr>
            <w:tcW w:w="124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41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3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jc w:val="center"/>
        </w:trPr>
        <w:tc>
          <w:tcPr>
            <w:tcW w:w="124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41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3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jc w:val="center"/>
        </w:trPr>
        <w:tc>
          <w:tcPr>
            <w:tcW w:w="124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41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3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jc w:val="center"/>
        </w:trPr>
        <w:tc>
          <w:tcPr>
            <w:tcW w:w="124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41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3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69" w:hRule="atLeast"/>
          <w:jc w:val="center"/>
        </w:trPr>
        <w:tc>
          <w:tcPr>
            <w:tcW w:w="1247"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41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eastAsia" w:ascii="Times New Roman" w:hAnsi="Times New Roman" w:cs="Times New Roman"/>
                <w:color w:val="auto"/>
                <w:kern w:val="2"/>
                <w:sz w:val="21"/>
                <w:szCs w:val="21"/>
                <w:shd w:val="clear" w:color="auto" w:fill="auto"/>
                <w:lang w:eastAsia="zh-CN"/>
              </w:rPr>
              <w:t>限期改正</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69" w:hRule="atLeast"/>
          <w:jc w:val="center"/>
        </w:trPr>
        <w:tc>
          <w:tcPr>
            <w:tcW w:w="124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4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24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69" w:hRule="atLeast"/>
          <w:jc w:val="center"/>
        </w:trPr>
        <w:tc>
          <w:tcPr>
            <w:tcW w:w="124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7天以上</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69" w:hRule="atLeast"/>
          <w:jc w:val="center"/>
        </w:trPr>
        <w:tc>
          <w:tcPr>
            <w:tcW w:w="1247" w:type="dxa"/>
            <w:vMerge w:val="restart"/>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r>
              <w:rPr>
                <w:rFonts w:hint="default" w:ascii="Times New Roman" w:hAnsi="Times New Roman" w:eastAsia="宋体" w:cs="Times New Roman"/>
                <w:b/>
                <w:color w:val="auto"/>
                <w:kern w:val="2"/>
                <w:sz w:val="21"/>
                <w:szCs w:val="21"/>
                <w:shd w:val="clear" w:color="auto" w:fill="auto"/>
                <w:lang w:val="en-US" w:eastAsia="zh-CN"/>
              </w:rPr>
              <w:t>受处罚</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次数</w:t>
            </w:r>
          </w:p>
        </w:tc>
        <w:tc>
          <w:tcPr>
            <w:tcW w:w="5416" w:type="dxa"/>
            <w:vAlign w:val="center"/>
          </w:tcPr>
          <w:p>
            <w:pPr>
              <w:widowControl w:val="0"/>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两年内未受到过同类处罚</w:t>
            </w:r>
          </w:p>
        </w:tc>
        <w:tc>
          <w:tcPr>
            <w:tcW w:w="23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jc w:val="center"/>
        </w:trPr>
        <w:tc>
          <w:tcPr>
            <w:tcW w:w="124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widowControl w:val="0"/>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两年内受到同类处罚1次</w:t>
            </w:r>
          </w:p>
        </w:tc>
        <w:tc>
          <w:tcPr>
            <w:tcW w:w="23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jc w:val="center"/>
        </w:trPr>
        <w:tc>
          <w:tcPr>
            <w:tcW w:w="124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widowControl w:val="0"/>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两年内受到同类处罚2次以上</w:t>
            </w:r>
          </w:p>
        </w:tc>
        <w:tc>
          <w:tcPr>
            <w:tcW w:w="23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69" w:hRule="atLeast"/>
          <w:jc w:val="center"/>
        </w:trPr>
        <w:tc>
          <w:tcPr>
            <w:tcW w:w="124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4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2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24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2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27"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tbl>
      <w:tblPr>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5541"/>
        <w:gridCol w:w="2220"/>
      </w:tblGrid>
      <w:tr>
        <w:trPr>
          <w:trHeight w:val="369" w:hRule="atLeast"/>
          <w:jc w:val="center"/>
        </w:trPr>
        <w:tc>
          <w:tcPr>
            <w:tcW w:w="8999"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（三）水污染防治类</w:t>
            </w:r>
          </w:p>
        </w:tc>
      </w:tr>
      <w:tr>
        <w:trPr>
          <w:trHeight w:val="369" w:hRule="atLeast"/>
          <w:jc w:val="center"/>
        </w:trPr>
        <w:tc>
          <w:tcPr>
            <w:tcW w:w="123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61"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05" w:name="_Toc23786"/>
            <w:r>
              <w:rPr>
                <w:rFonts w:hint="default" w:ascii="Times New Roman" w:hAnsi="Times New Roman" w:cs="Times New Roman"/>
                <w:color w:val="auto"/>
                <w:sz w:val="20"/>
                <w:szCs w:val="20"/>
                <w:shd w:val="clear" w:color="auto" w:fill="auto"/>
              </w:rPr>
              <w:t>4</w:t>
            </w:r>
            <w:bookmarkEnd w:id="105"/>
          </w:p>
        </w:tc>
      </w:tr>
      <w:tr>
        <w:trPr>
          <w:trHeight w:val="369" w:hRule="atLeast"/>
          <w:jc w:val="center"/>
        </w:trPr>
        <w:tc>
          <w:tcPr>
            <w:tcW w:w="123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61" w:type="dxa"/>
            <w:gridSpan w:val="2"/>
            <w:vAlign w:val="center"/>
          </w:tcPr>
          <w:p>
            <w:pPr>
              <w:shd w:val="clear" w:color="auto" w:fill="auto"/>
              <w:snapToGrid w:val="0"/>
              <w:spacing w:before="0" w:beforeAutospacing="0" w:after="0" w:afterAutospacing="0" w:line="320" w:lineRule="exact"/>
              <w:ind w:left="0" w:right="0" w:firstLine="482"/>
              <w:outlineLvl w:val="9"/>
              <w:rPr>
                <w:rFonts w:hint="default" w:ascii="Times New Roman" w:hAnsi="Times New Roman" w:cs="Times New Roman"/>
                <w:color w:val="auto"/>
                <w:sz w:val="20"/>
                <w:szCs w:val="20"/>
                <w:shd w:val="clear" w:color="auto" w:fill="auto"/>
              </w:rPr>
            </w:pPr>
            <w:bookmarkStart w:id="106" w:name="_Toc14211"/>
            <w:r>
              <w:rPr>
                <w:rFonts w:hint="default" w:ascii="Times New Roman" w:hAnsi="Times New Roman" w:cs="Times New Roman"/>
                <w:color w:val="auto"/>
                <w:sz w:val="20"/>
                <w:szCs w:val="20"/>
                <w:shd w:val="clear" w:color="auto" w:fill="auto"/>
              </w:rPr>
              <w:t>未按照规定对有毒有害水污染物的排污口和周边环境进行监测，或者未公开有毒有害水污染物信息的</w:t>
            </w:r>
            <w:bookmarkEnd w:id="106"/>
          </w:p>
        </w:tc>
      </w:tr>
      <w:tr>
        <w:trPr>
          <w:trHeight w:val="369" w:hRule="atLeast"/>
          <w:jc w:val="center"/>
        </w:trPr>
        <w:tc>
          <w:tcPr>
            <w:tcW w:w="123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61" w:type="dxa"/>
            <w:gridSpan w:val="2"/>
            <w:vAlign w:val="center"/>
          </w:tcPr>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《中华人民共和国水污染防治法》第三十二条第二款</w:t>
            </w:r>
            <w:r>
              <w:rPr>
                <w:rFonts w:hint="default" w:ascii="Times New Roman" w:hAnsi="Times New Roman" w:cs="Times New Roman"/>
                <w:color w:val="auto"/>
                <w:kern w:val="2"/>
                <w:sz w:val="21"/>
                <w:szCs w:val="21"/>
                <w:shd w:val="clear" w:color="auto" w:fill="auto"/>
              </w:rPr>
              <w:t xml:space="preserve"> 排放前款规定名录中所列有毒有害水污染物的企业事业单位和其他生产经营者，应当对排污口和周边环境进行监测，评估环境风险，排查环境安全隐患，并公开有毒有害水污染物信息，采取有效措施防范环境风险。</w:t>
            </w:r>
          </w:p>
        </w:tc>
      </w:tr>
      <w:tr>
        <w:trPr>
          <w:trHeight w:val="369" w:hRule="atLeast"/>
          <w:jc w:val="center"/>
        </w:trPr>
        <w:tc>
          <w:tcPr>
            <w:tcW w:w="123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61" w:type="dxa"/>
            <w:gridSpan w:val="2"/>
            <w:vAlign w:val="center"/>
          </w:tcPr>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《中华人民共和国水污染防治法》第八十二条第（三）项</w:t>
            </w:r>
            <w:r>
              <w:rPr>
                <w:rFonts w:hint="default" w:ascii="Times New Roman" w:hAnsi="Times New Roman" w:cs="Times New Roman"/>
                <w:color w:val="auto"/>
                <w:kern w:val="2"/>
                <w:sz w:val="21"/>
                <w:szCs w:val="21"/>
                <w:shd w:val="clear" w:color="auto" w:fill="auto"/>
              </w:rPr>
              <w:t xml:space="preserve"> 违反本法规定，有下列行为之一的，由县级以上人民政府环境保护主管部门责令限期改正，处二万元以上二十万元以下的罚款；逾期不改正的，责令停产整治：</w:t>
            </w:r>
          </w:p>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（三）未按照规定对有毒有害水污染物的排污口和周边环境进行监测，或者未公开有毒有害水污染物信息的。</w:t>
            </w:r>
          </w:p>
        </w:tc>
      </w:tr>
      <w:tr>
        <w:trPr>
          <w:trHeight w:val="369" w:hRule="atLeast"/>
          <w:jc w:val="center"/>
        </w:trPr>
        <w:tc>
          <w:tcPr>
            <w:tcW w:w="123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5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2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jc w:val="center"/>
        </w:trPr>
        <w:tc>
          <w:tcPr>
            <w:tcW w:w="123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事实</w:t>
            </w:r>
          </w:p>
        </w:tc>
        <w:tc>
          <w:tcPr>
            <w:tcW w:w="554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lang w:eastAsia="zh-CN"/>
              </w:rPr>
              <w:t>未按照规定对排污口和周边环境进行监测</w:t>
            </w:r>
            <w:r>
              <w:rPr>
                <w:rFonts w:hint="default" w:ascii="Times New Roman" w:hAnsi="Times New Roman" w:cs="Times New Roman"/>
                <w:color w:val="auto"/>
                <w:kern w:val="2"/>
                <w:sz w:val="21"/>
                <w:szCs w:val="21"/>
                <w:shd w:val="clear" w:color="auto" w:fill="auto"/>
                <w:lang w:val="en-US" w:eastAsia="zh-CN"/>
              </w:rPr>
              <w:t>/未按规定</w:t>
            </w:r>
            <w:r>
              <w:rPr>
                <w:rFonts w:hint="default" w:ascii="Times New Roman" w:hAnsi="Times New Roman" w:cs="Times New Roman"/>
                <w:color w:val="auto"/>
                <w:kern w:val="2"/>
                <w:sz w:val="21"/>
                <w:szCs w:val="21"/>
                <w:shd w:val="clear" w:color="auto" w:fill="auto"/>
                <w:lang w:eastAsia="zh-CN"/>
              </w:rPr>
              <w:t>公开有毒有害水污染物信息</w:t>
            </w:r>
          </w:p>
        </w:tc>
        <w:tc>
          <w:tcPr>
            <w:tcW w:w="22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3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4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lang w:eastAsia="zh-CN"/>
              </w:rPr>
              <w:t>未对排污口和周边环境进行监测</w:t>
            </w:r>
            <w:r>
              <w:rPr>
                <w:rFonts w:hint="default" w:ascii="Times New Roman" w:hAnsi="Times New Roman" w:cs="Times New Roman"/>
                <w:color w:val="auto"/>
                <w:kern w:val="2"/>
                <w:sz w:val="21"/>
                <w:szCs w:val="21"/>
                <w:shd w:val="clear" w:color="auto" w:fill="auto"/>
                <w:lang w:val="en-US" w:eastAsia="zh-CN"/>
              </w:rPr>
              <w:t>/未</w:t>
            </w:r>
            <w:r>
              <w:rPr>
                <w:rFonts w:hint="default" w:ascii="Times New Roman" w:hAnsi="Times New Roman" w:cs="Times New Roman"/>
                <w:color w:val="auto"/>
                <w:kern w:val="2"/>
                <w:sz w:val="21"/>
                <w:szCs w:val="21"/>
                <w:shd w:val="clear" w:color="auto" w:fill="auto"/>
                <w:lang w:eastAsia="zh-CN"/>
              </w:rPr>
              <w:t>公开有毒有害水污染物信息</w:t>
            </w:r>
          </w:p>
        </w:tc>
        <w:tc>
          <w:tcPr>
            <w:tcW w:w="22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23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信息公开</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的及时性</w:t>
            </w:r>
          </w:p>
        </w:tc>
        <w:tc>
          <w:tcPr>
            <w:tcW w:w="55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延迟10日</w:t>
            </w:r>
            <w:r>
              <w:rPr>
                <w:rFonts w:hint="default" w:ascii="Times New Roman" w:hAnsi="Times New Roman" w:cs="Times New Roman"/>
                <w:color w:val="auto"/>
                <w:sz w:val="20"/>
                <w:szCs w:val="20"/>
                <w:shd w:val="clear" w:color="auto" w:fill="auto"/>
                <w:lang w:val="en-US"/>
              </w:rPr>
              <w:t>以下</w:t>
            </w:r>
          </w:p>
        </w:tc>
        <w:tc>
          <w:tcPr>
            <w:tcW w:w="22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3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延迟</w:t>
            </w:r>
            <w:r>
              <w:rPr>
                <w:rFonts w:hint="default" w:ascii="Times New Roman" w:hAnsi="Times New Roman" w:cs="Times New Roman"/>
                <w:color w:val="auto"/>
                <w:sz w:val="20"/>
                <w:szCs w:val="20"/>
                <w:shd w:val="clear" w:color="auto" w:fill="auto"/>
                <w:lang/>
              </w:rPr>
              <w:t>1</w:t>
            </w:r>
            <w:r>
              <w:rPr>
                <w:rFonts w:hint="default" w:ascii="Times New Roman" w:hAnsi="Times New Roman" w:cs="Times New Roman"/>
                <w:color w:val="auto"/>
                <w:sz w:val="20"/>
                <w:szCs w:val="20"/>
                <w:shd w:val="clear" w:color="auto" w:fill="auto"/>
              </w:rPr>
              <w:t>0日以上，30日</w:t>
            </w:r>
            <w:r>
              <w:rPr>
                <w:rFonts w:hint="default" w:ascii="Times New Roman" w:hAnsi="Times New Roman" w:cs="Times New Roman"/>
                <w:color w:val="auto"/>
                <w:sz w:val="20"/>
                <w:szCs w:val="20"/>
                <w:shd w:val="clear" w:color="auto" w:fill="auto"/>
                <w:lang w:val="en-US"/>
              </w:rPr>
              <w:t>以下</w:t>
            </w:r>
          </w:p>
        </w:tc>
        <w:tc>
          <w:tcPr>
            <w:tcW w:w="22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23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延迟30日以上</w:t>
            </w:r>
          </w:p>
        </w:tc>
        <w:tc>
          <w:tcPr>
            <w:tcW w:w="22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23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5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微型企业</w:t>
            </w:r>
          </w:p>
        </w:tc>
        <w:tc>
          <w:tcPr>
            <w:tcW w:w="22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369" w:hRule="atLeast"/>
          <w:jc w:val="center"/>
        </w:trPr>
        <w:tc>
          <w:tcPr>
            <w:tcW w:w="123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小型企业</w:t>
            </w:r>
          </w:p>
        </w:tc>
        <w:tc>
          <w:tcPr>
            <w:tcW w:w="22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23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中型企业</w:t>
            </w:r>
          </w:p>
        </w:tc>
        <w:tc>
          <w:tcPr>
            <w:tcW w:w="22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23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大型企业</w:t>
            </w:r>
          </w:p>
        </w:tc>
        <w:tc>
          <w:tcPr>
            <w:tcW w:w="22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23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5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2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69" w:hRule="atLeast"/>
          <w:jc w:val="center"/>
        </w:trPr>
        <w:tc>
          <w:tcPr>
            <w:tcW w:w="123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2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23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2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23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54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2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jc w:val="center"/>
        </w:trPr>
        <w:tc>
          <w:tcPr>
            <w:tcW w:w="123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54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2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jc w:val="center"/>
        </w:trPr>
        <w:tc>
          <w:tcPr>
            <w:tcW w:w="123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54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2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jc w:val="center"/>
        </w:trPr>
        <w:tc>
          <w:tcPr>
            <w:tcW w:w="123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54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2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jc w:val="center"/>
        </w:trPr>
        <w:tc>
          <w:tcPr>
            <w:tcW w:w="123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54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2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69" w:hRule="atLeast"/>
          <w:jc w:val="center"/>
        </w:trPr>
        <w:tc>
          <w:tcPr>
            <w:tcW w:w="123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541"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lang w:eastAsia="zh-CN"/>
              </w:rPr>
            </w:pPr>
            <w:r>
              <w:rPr>
                <w:rFonts w:hint="eastAsia" w:ascii="Times New Roman" w:hAnsi="Times New Roman" w:cs="Times New Roman"/>
                <w:color w:val="auto"/>
                <w:kern w:val="2"/>
                <w:sz w:val="21"/>
                <w:szCs w:val="21"/>
                <w:shd w:val="clear" w:color="auto" w:fill="auto"/>
                <w:lang w:eastAsia="zh-CN"/>
              </w:rPr>
              <w:t>限期改正</w:t>
            </w:r>
          </w:p>
        </w:tc>
        <w:tc>
          <w:tcPr>
            <w:tcW w:w="22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69" w:hRule="atLeast"/>
          <w:jc w:val="center"/>
        </w:trPr>
        <w:tc>
          <w:tcPr>
            <w:tcW w:w="123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5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2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23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5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2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69" w:hRule="atLeast"/>
          <w:jc w:val="center"/>
        </w:trPr>
        <w:tc>
          <w:tcPr>
            <w:tcW w:w="123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5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eastAsia="zh-CN"/>
              </w:rPr>
            </w:pPr>
            <w:r>
              <w:rPr>
                <w:rFonts w:hint="default" w:ascii="Times New Roman" w:hAnsi="Times New Roman" w:cs="Times New Roman"/>
                <w:color w:val="auto"/>
                <w:sz w:val="20"/>
                <w:szCs w:val="20"/>
                <w:shd w:val="clear" w:color="auto" w:fill="auto"/>
                <w:lang w:val="en-US" w:eastAsia="zh-CN"/>
              </w:rPr>
              <w:t>7天以上</w:t>
            </w:r>
          </w:p>
        </w:tc>
        <w:tc>
          <w:tcPr>
            <w:tcW w:w="22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23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r>
              <w:rPr>
                <w:rFonts w:hint="default" w:ascii="Times New Roman" w:hAnsi="Times New Roman" w:eastAsia="宋体" w:cs="Times New Roman"/>
                <w:b/>
                <w:color w:val="auto"/>
                <w:kern w:val="2"/>
                <w:sz w:val="21"/>
                <w:szCs w:val="21"/>
                <w:shd w:val="clear" w:color="auto" w:fill="auto"/>
                <w:lang w:val="en-US" w:eastAsia="zh-CN"/>
              </w:rPr>
              <w:t>受处罚</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次数</w:t>
            </w:r>
          </w:p>
        </w:tc>
        <w:tc>
          <w:tcPr>
            <w:tcW w:w="5541" w:type="dxa"/>
            <w:vAlign w:val="center"/>
          </w:tcPr>
          <w:p>
            <w:pPr>
              <w:widowControl w:val="0"/>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两年内未受到过同类处罚</w:t>
            </w:r>
          </w:p>
        </w:tc>
        <w:tc>
          <w:tcPr>
            <w:tcW w:w="22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jc w:val="center"/>
        </w:trPr>
        <w:tc>
          <w:tcPr>
            <w:tcW w:w="123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41" w:type="dxa"/>
            <w:vAlign w:val="center"/>
          </w:tcPr>
          <w:p>
            <w:pPr>
              <w:widowControl w:val="0"/>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两年内受到同类处罚1次</w:t>
            </w:r>
          </w:p>
        </w:tc>
        <w:tc>
          <w:tcPr>
            <w:tcW w:w="22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jc w:val="center"/>
        </w:trPr>
        <w:tc>
          <w:tcPr>
            <w:tcW w:w="123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41" w:type="dxa"/>
            <w:vAlign w:val="center"/>
          </w:tcPr>
          <w:p>
            <w:pPr>
              <w:widowControl w:val="0"/>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两年内受到同类处罚2次以上</w:t>
            </w:r>
          </w:p>
        </w:tc>
        <w:tc>
          <w:tcPr>
            <w:tcW w:w="22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23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5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2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3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2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23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2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23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2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3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61"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r>
    </w:tbl>
    <w:p>
      <w:pPr>
        <w:widowControl/>
        <w:shd w:val="clear" w:color="auto" w:fill="auto"/>
        <w:snapToGrid w:val="0"/>
        <w:ind w:firstLine="420" w:firstLineChars="200"/>
        <w:jc w:val="left"/>
        <w:rPr>
          <w:rFonts w:ascii="Times New Roman" w:hAnsi="Times New Roman" w:cs="Times New Roman"/>
          <w:color w:val="auto"/>
          <w:shd w:val="clear" w:color="auto" w:fill="auto"/>
        </w:rPr>
      </w:pPr>
    </w:p>
    <w:p>
      <w:pPr>
        <w:widowControl/>
        <w:shd w:val="clear" w:color="auto" w:fill="auto"/>
        <w:snapToGrid w:val="0"/>
        <w:ind w:firstLine="420" w:firstLineChars="200"/>
        <w:jc w:val="left"/>
        <w:rPr>
          <w:rFonts w:ascii="Times New Roman" w:hAnsi="Times New Roman" w:cs="Times New Roman"/>
          <w:color w:val="auto"/>
          <w:shd w:val="clear" w:color="auto" w:fill="auto"/>
        </w:rPr>
      </w:pPr>
    </w:p>
    <w:p>
      <w:pPr>
        <w:widowControl/>
        <w:shd w:val="clear" w:color="auto" w:fill="auto"/>
        <w:snapToGrid w:val="0"/>
        <w:ind w:firstLine="420" w:firstLineChars="200"/>
        <w:jc w:val="left"/>
        <w:rPr>
          <w:rFonts w:ascii="Times New Roman" w:hAnsi="Times New Roman" w:cs="Times New Roman"/>
          <w:color w:val="auto"/>
          <w:shd w:val="clear" w:color="auto" w:fill="auto"/>
        </w:rPr>
      </w:pPr>
    </w:p>
    <w:p>
      <w:pPr>
        <w:widowControl/>
        <w:shd w:val="clear" w:color="auto" w:fill="auto"/>
        <w:snapToGrid w:val="0"/>
        <w:ind w:firstLine="420" w:firstLineChars="200"/>
        <w:jc w:val="left"/>
        <w:rPr>
          <w:rFonts w:ascii="Times New Roman" w:hAnsi="Times New Roman" w:cs="Times New Roman"/>
          <w:color w:val="auto"/>
          <w:shd w:val="clear" w:color="auto" w:fill="auto"/>
        </w:rPr>
      </w:pPr>
    </w:p>
    <w:p>
      <w:pPr>
        <w:widowControl/>
        <w:shd w:val="clear" w:color="auto" w:fill="auto"/>
        <w:snapToGrid w:val="0"/>
        <w:spacing w:line="240" w:lineRule="exact"/>
        <w:ind w:firstLine="420" w:firstLineChars="200"/>
        <w:jc w:val="left"/>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6028"/>
        <w:gridCol w:w="1740"/>
      </w:tblGrid>
      <w:tr>
        <w:trPr>
          <w:trHeight w:val="312"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（三）水污染防治类</w:t>
            </w:r>
          </w:p>
        </w:tc>
      </w:tr>
      <w:tr>
        <w:trPr>
          <w:trHeight w:val="312" w:hRule="atLeast"/>
          <w:jc w:val="center"/>
        </w:trPr>
        <w:tc>
          <w:tcPr>
            <w:tcW w:w="12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68"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07" w:name="_Toc20155"/>
            <w:r>
              <w:rPr>
                <w:rFonts w:hint="default" w:ascii="Times New Roman" w:hAnsi="Times New Roman" w:cs="Times New Roman"/>
                <w:color w:val="auto"/>
                <w:sz w:val="20"/>
                <w:szCs w:val="20"/>
                <w:shd w:val="clear" w:color="auto" w:fill="auto"/>
              </w:rPr>
              <w:t>5</w:t>
            </w:r>
            <w:bookmarkEnd w:id="107"/>
          </w:p>
        </w:tc>
      </w:tr>
      <w:tr>
        <w:trPr>
          <w:trHeight w:val="312" w:hRule="atLeast"/>
          <w:jc w:val="center"/>
        </w:trPr>
        <w:tc>
          <w:tcPr>
            <w:tcW w:w="12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68" w:type="dxa"/>
            <w:gridSpan w:val="2"/>
            <w:vAlign w:val="center"/>
          </w:tcPr>
          <w:p>
            <w:pPr>
              <w:shd w:val="clear" w:color="auto" w:fill="auto"/>
              <w:snapToGrid w:val="0"/>
              <w:spacing w:before="0" w:beforeAutospacing="0" w:after="0" w:afterAutospacing="0" w:line="320" w:lineRule="exact"/>
              <w:ind w:left="0" w:right="0" w:firstLine="420"/>
              <w:jc w:val="center"/>
              <w:outlineLvl w:val="9"/>
              <w:rPr>
                <w:rFonts w:hint="default" w:ascii="Times New Roman" w:hAnsi="Times New Roman" w:cs="Times New Roman"/>
                <w:color w:val="auto"/>
                <w:sz w:val="20"/>
                <w:szCs w:val="20"/>
                <w:shd w:val="clear" w:color="auto" w:fill="auto"/>
              </w:rPr>
            </w:pPr>
            <w:bookmarkStart w:id="108" w:name="_Toc31289"/>
            <w:r>
              <w:rPr>
                <w:rFonts w:hint="default" w:ascii="Times New Roman" w:hAnsi="Times New Roman" w:cs="Times New Roman"/>
                <w:color w:val="auto"/>
                <w:sz w:val="20"/>
                <w:szCs w:val="20"/>
                <w:shd w:val="clear" w:color="auto" w:fill="auto"/>
              </w:rPr>
              <w:t>未依法取得排污许可证或者违反排污许可证的规定排放水污染物的</w:t>
            </w:r>
            <w:bookmarkEnd w:id="108"/>
          </w:p>
        </w:tc>
      </w:tr>
      <w:tr>
        <w:trPr>
          <w:trHeight w:val="2970" w:hRule="atLeast"/>
          <w:jc w:val="center"/>
        </w:trPr>
        <w:tc>
          <w:tcPr>
            <w:tcW w:w="12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68"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《中华人民共和国水污染防治法》第二十一条</w:t>
            </w:r>
            <w:r>
              <w:rPr>
                <w:rFonts w:hint="default" w:ascii="Times New Roman" w:hAnsi="Times New Roman" w:cs="Times New Roman"/>
                <w:color w:val="auto"/>
                <w:sz w:val="20"/>
                <w:szCs w:val="20"/>
                <w:shd w:val="clear" w:color="auto" w:fill="auto"/>
              </w:rPr>
              <w:t xml:space="preserve"> 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禁止企业事业单位和其他生产经营者无排污许可证或者违反排污许可证的规定向水体排放前款规定的废水、污水。</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《河南省水污染防治条例》第十六条第二款</w:t>
            </w:r>
            <w:r>
              <w:rPr>
                <w:rFonts w:hint="default" w:ascii="Times New Roman" w:hAnsi="Times New Roman" w:cs="Times New Roman"/>
                <w:color w:val="auto"/>
                <w:sz w:val="20"/>
                <w:szCs w:val="20"/>
                <w:shd w:val="clear" w:color="auto" w:fill="auto"/>
              </w:rPr>
              <w:t xml:space="preserve"> 禁止企业事业单位和其他生产经营者无排污许可证或者违反排污许可证的规定向水体排放前款规定的废水、污水。</w:t>
            </w:r>
          </w:p>
        </w:tc>
      </w:tr>
      <w:tr>
        <w:trPr>
          <w:trHeight w:val="3070" w:hRule="atLeast"/>
          <w:jc w:val="center"/>
        </w:trPr>
        <w:tc>
          <w:tcPr>
            <w:tcW w:w="12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68"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《中华人民共和国水污染防治法》第八十三条第（一）项</w:t>
            </w:r>
            <w:r>
              <w:rPr>
                <w:rFonts w:hint="default" w:ascii="Times New Roman" w:hAnsi="Times New Roman" w:cs="Times New Roman"/>
                <w:color w:val="auto"/>
                <w:sz w:val="20"/>
                <w:szCs w:val="20"/>
                <w:shd w:val="clear" w:color="auto" w:fill="auto"/>
              </w:rPr>
              <w:t xml:space="preserve"> 违反本法规定，有下列行为之一的，由县级以上人民政府环境保护主管部门责令改正或者责令限制生产、停产整治，并处十万元以上一百万元以下的罚款；情节严重的，报经有批准权的人民政府批准，责令停业、关闭：</w:t>
            </w:r>
          </w:p>
          <w:p>
            <w:pPr>
              <w:numPr>
                <w:ilvl w:val="0"/>
                <w:numId w:val="7"/>
              </w:num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未依法取得排污许可证排放水污染物的。</w:t>
            </w:r>
          </w:p>
          <w:p>
            <w:pPr>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《河南省水污染防治条例》第七十五条 </w:t>
            </w:r>
            <w:r>
              <w:rPr>
                <w:rFonts w:hint="default" w:ascii="Times New Roman" w:hAnsi="Times New Roman" w:cs="Times New Roman"/>
                <w:color w:val="auto"/>
                <w:sz w:val="20"/>
                <w:szCs w:val="20"/>
                <w:shd w:val="clear" w:color="auto" w:fill="auto"/>
              </w:rPr>
              <w:t>违反本条例第十六条第二款规定，无排污许可证或者违反排污许可证的规定向水体排放废水、污水的，由生态环境主管部门责令改正或者责令限制生产、停产整治，并处十万元以上一百万元以下罚款；情节严重的，由县级以上人民政府责令停业或者关闭。</w:t>
            </w:r>
          </w:p>
        </w:tc>
      </w:tr>
      <w:tr>
        <w:trPr>
          <w:trHeight w:val="312" w:hRule="atLeast"/>
          <w:jc w:val="center"/>
        </w:trPr>
        <w:tc>
          <w:tcPr>
            <w:tcW w:w="12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60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174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jc w:val="center"/>
        </w:trPr>
        <w:tc>
          <w:tcPr>
            <w:tcW w:w="129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★排污单位</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管理类别</w:t>
            </w:r>
          </w:p>
        </w:tc>
        <w:tc>
          <w:tcPr>
            <w:tcW w:w="60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简化管理</w:t>
            </w:r>
          </w:p>
        </w:tc>
        <w:tc>
          <w:tcPr>
            <w:tcW w:w="174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highlight w:val="none"/>
                <w:shd w:val="clear" w:color="auto" w:fill="auto"/>
              </w:rPr>
            </w:pPr>
            <w:r>
              <w:rPr>
                <w:rFonts w:hint="default" w:ascii="Times New Roman" w:hAnsi="Times New Roman" w:cs="Times New Roman"/>
                <w:color w:val="auto"/>
                <w:sz w:val="20"/>
                <w:szCs w:val="20"/>
                <w:highlight w:val="none"/>
                <w:shd w:val="clear" w:color="auto" w:fill="auto"/>
              </w:rPr>
              <w:t>3</w:t>
            </w:r>
          </w:p>
        </w:tc>
      </w:tr>
      <w:tr>
        <w:trPr>
          <w:trHeight w:val="397" w:hRule="atLeast"/>
          <w:jc w:val="center"/>
        </w:trPr>
        <w:tc>
          <w:tcPr>
            <w:tcW w:w="1292"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60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重点管理</w:t>
            </w:r>
          </w:p>
        </w:tc>
        <w:tc>
          <w:tcPr>
            <w:tcW w:w="174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highlight w:val="none"/>
                <w:shd w:val="clear" w:color="auto" w:fill="auto"/>
              </w:rPr>
            </w:pPr>
            <w:r>
              <w:rPr>
                <w:rFonts w:hint="default" w:ascii="Times New Roman" w:hAnsi="Times New Roman" w:cs="Times New Roman"/>
                <w:color w:val="auto"/>
                <w:sz w:val="20"/>
                <w:szCs w:val="20"/>
                <w:highlight w:val="none"/>
                <w:shd w:val="clear" w:color="auto" w:fill="auto"/>
              </w:rPr>
              <w:t>5</w:t>
            </w:r>
          </w:p>
        </w:tc>
      </w:tr>
      <w:tr>
        <w:trPr>
          <w:trHeight w:val="397" w:hRule="atLeast"/>
          <w:jc w:val="center"/>
        </w:trPr>
        <w:tc>
          <w:tcPr>
            <w:tcW w:w="1292" w:type="dxa"/>
            <w:vMerge w:val="restart"/>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60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微型企业</w:t>
            </w:r>
          </w:p>
        </w:tc>
        <w:tc>
          <w:tcPr>
            <w:tcW w:w="174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29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小型企业</w:t>
            </w:r>
          </w:p>
        </w:tc>
        <w:tc>
          <w:tcPr>
            <w:tcW w:w="174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29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中型企业</w:t>
            </w:r>
          </w:p>
        </w:tc>
        <w:tc>
          <w:tcPr>
            <w:tcW w:w="174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29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大型企业</w:t>
            </w:r>
          </w:p>
        </w:tc>
        <w:tc>
          <w:tcPr>
            <w:tcW w:w="174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292" w:type="dxa"/>
            <w:vMerge w:val="restart"/>
            <w:vAlign w:val="center"/>
          </w:tcPr>
          <w:p>
            <w:pPr>
              <w:shd w:val="clear" w:color="auto" w:fill="auto"/>
              <w:snapToGrid w:val="0"/>
              <w:spacing w:before="0" w:beforeAutospacing="0" w:after="0" w:afterAutospacing="0" w:line="320" w:lineRule="exact"/>
              <w:ind w:left="0" w:right="0" w:firstLine="0" w:firstLineChars="0"/>
              <w:jc w:val="both"/>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污染防治设施建设情况</w:t>
            </w:r>
          </w:p>
        </w:tc>
        <w:tc>
          <w:tcPr>
            <w:tcW w:w="60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配套污染防治设施已建成的</w:t>
            </w:r>
          </w:p>
        </w:tc>
        <w:tc>
          <w:tcPr>
            <w:tcW w:w="174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29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配套污染防治设施正在建设的</w:t>
            </w:r>
          </w:p>
        </w:tc>
        <w:tc>
          <w:tcPr>
            <w:tcW w:w="174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29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配套污染防治设施尚未建设的</w:t>
            </w:r>
          </w:p>
        </w:tc>
        <w:tc>
          <w:tcPr>
            <w:tcW w:w="174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5</w:t>
            </w:r>
          </w:p>
        </w:tc>
      </w:tr>
      <w:tr>
        <w:trPr>
          <w:trHeight w:val="397" w:hRule="atLeast"/>
          <w:jc w:val="center"/>
        </w:trPr>
        <w:tc>
          <w:tcPr>
            <w:tcW w:w="1292"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602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174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jc w:val="center"/>
        </w:trPr>
        <w:tc>
          <w:tcPr>
            <w:tcW w:w="129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p>
        </w:tc>
        <w:tc>
          <w:tcPr>
            <w:tcW w:w="602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174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jc w:val="center"/>
        </w:trPr>
        <w:tc>
          <w:tcPr>
            <w:tcW w:w="129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p>
        </w:tc>
        <w:tc>
          <w:tcPr>
            <w:tcW w:w="602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174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jc w:val="center"/>
        </w:trPr>
        <w:tc>
          <w:tcPr>
            <w:tcW w:w="129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p>
        </w:tc>
        <w:tc>
          <w:tcPr>
            <w:tcW w:w="602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174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jc w:val="center"/>
        </w:trPr>
        <w:tc>
          <w:tcPr>
            <w:tcW w:w="129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p>
        </w:tc>
        <w:tc>
          <w:tcPr>
            <w:tcW w:w="602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174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29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废水类别</w:t>
            </w:r>
          </w:p>
        </w:tc>
        <w:tc>
          <w:tcPr>
            <w:tcW w:w="60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生活废水</w:t>
            </w:r>
            <w:r>
              <w:rPr>
                <w:rFonts w:hint="eastAsia" w:ascii="Times New Roman" w:hAnsi="Times New Roman" w:cs="Times New Roman"/>
                <w:color w:val="auto"/>
                <w:sz w:val="20"/>
                <w:szCs w:val="20"/>
                <w:shd w:val="clear" w:color="auto" w:fill="auto"/>
                <w:lang w:val="en-US" w:eastAsia="zh-CN"/>
              </w:rPr>
              <w:t>/规模以下畜禽养殖废水</w:t>
            </w:r>
          </w:p>
        </w:tc>
        <w:tc>
          <w:tcPr>
            <w:tcW w:w="174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92"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60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服务业废水</w:t>
            </w:r>
            <w:r>
              <w:rPr>
                <w:rFonts w:hint="eastAsia" w:ascii="Times New Roman" w:hAnsi="Times New Roman" w:cs="Times New Roman"/>
                <w:color w:val="auto"/>
                <w:sz w:val="20"/>
                <w:szCs w:val="20"/>
                <w:shd w:val="clear" w:color="auto" w:fill="auto"/>
                <w:lang w:val="en-US" w:eastAsia="zh-CN"/>
              </w:rPr>
              <w:t>/规模化畜禽养殖废水</w:t>
            </w:r>
          </w:p>
        </w:tc>
        <w:tc>
          <w:tcPr>
            <w:tcW w:w="174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292"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60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一般工业废水</w:t>
            </w:r>
          </w:p>
        </w:tc>
        <w:tc>
          <w:tcPr>
            <w:tcW w:w="174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92"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60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含其他有毒有害物质的废水、医疗废水</w:t>
            </w:r>
          </w:p>
        </w:tc>
        <w:tc>
          <w:tcPr>
            <w:tcW w:w="174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292"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60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含一类污染物或重金属、病原体、放射性物质的废水</w:t>
            </w:r>
          </w:p>
        </w:tc>
        <w:tc>
          <w:tcPr>
            <w:tcW w:w="174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92" w:type="dxa"/>
            <w:vMerge w:val="restart"/>
            <w:vAlign w:val="center"/>
          </w:tcPr>
          <w:p>
            <w:pPr>
              <w:widowControl/>
              <w:shd w:val="clear" w:color="auto" w:fill="auto"/>
              <w:spacing w:before="0" w:beforeAutospacing="0" w:after="0" w:afterAutospacing="0" w:line="320" w:lineRule="exact"/>
              <w:ind w:left="0" w:right="0"/>
              <w:jc w:val="center"/>
              <w:textAlignment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水日排放量</w:t>
            </w:r>
          </w:p>
        </w:tc>
        <w:tc>
          <w:tcPr>
            <w:tcW w:w="60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10吨</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（一般排污单位）/</w:t>
            </w:r>
            <w:r>
              <w:rPr>
                <w:rFonts w:hint="eastAsia" w:ascii="Times New Roman" w:hAnsi="Times New Roman" w:cs="Times New Roman"/>
                <w:color w:val="auto"/>
                <w:sz w:val="20"/>
                <w:szCs w:val="20"/>
                <w:shd w:val="clear" w:color="auto" w:fill="auto"/>
                <w:lang w:val="en-US" w:eastAsia="zh-CN"/>
              </w:rPr>
              <w:t>2</w:t>
            </w:r>
            <w:r>
              <w:rPr>
                <w:rFonts w:hint="default" w:ascii="Times New Roman" w:hAnsi="Times New Roman" w:cs="Times New Roman"/>
                <w:color w:val="auto"/>
                <w:sz w:val="20"/>
                <w:szCs w:val="20"/>
                <w:shd w:val="clear" w:color="auto" w:fill="auto"/>
              </w:rPr>
              <w:t>万吨</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集中式</w:t>
            </w:r>
            <w:r>
              <w:rPr>
                <w:rFonts w:hint="default" w:ascii="Times New Roman" w:hAnsi="Times New Roman" w:cs="Times New Roman"/>
                <w:color w:val="auto"/>
                <w:sz w:val="20"/>
                <w:szCs w:val="20"/>
                <w:shd w:val="clear" w:color="auto" w:fill="auto"/>
              </w:rPr>
              <w:t>污水处理厂）</w:t>
            </w:r>
          </w:p>
        </w:tc>
        <w:tc>
          <w:tcPr>
            <w:tcW w:w="1740" w:type="dxa"/>
            <w:vAlign w:val="center"/>
          </w:tcPr>
          <w:p>
            <w:pPr>
              <w:widowControl/>
              <w:shd w:val="clear" w:color="auto" w:fill="auto"/>
              <w:spacing w:before="0" w:beforeAutospacing="0" w:after="0" w:afterAutospacing="0" w:line="320" w:lineRule="exact"/>
              <w:ind w:left="0" w:right="0"/>
              <w:jc w:val="center"/>
              <w:textAlignment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1</w:t>
            </w:r>
          </w:p>
        </w:tc>
      </w:tr>
      <w:tr>
        <w:trPr>
          <w:trHeight w:val="397" w:hRule="atLeast"/>
          <w:jc w:val="center"/>
        </w:trPr>
        <w:tc>
          <w:tcPr>
            <w:tcW w:w="1292"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60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10吨以上100吨</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（一般排污单位）</w:t>
            </w:r>
            <w:r>
              <w:rPr>
                <w:rFonts w:hint="eastAsia" w:ascii="Times New Roman" w:hAnsi="Times New Roman" w:cs="Times New Roman"/>
                <w:color w:val="auto"/>
                <w:sz w:val="20"/>
                <w:szCs w:val="20"/>
                <w:shd w:val="clear" w:color="auto" w:fill="auto"/>
                <w:lang w:val="en-US" w:eastAsia="zh-CN"/>
              </w:rPr>
              <w:t>/</w:t>
            </w:r>
            <w:r>
              <w:rPr>
                <w:rFonts w:hint="eastAsia" w:ascii="Times New Roman" w:hAnsi="Times New Roman" w:cs="Times New Roman"/>
                <w:color w:val="auto"/>
                <w:sz w:val="20"/>
                <w:szCs w:val="20"/>
                <w:shd w:val="clear" w:color="auto" w:fill="auto"/>
                <w:lang w:eastAsia="zh-CN"/>
              </w:rPr>
              <w:t>2</w:t>
            </w:r>
            <w:r>
              <w:rPr>
                <w:rFonts w:hint="default" w:ascii="Times New Roman" w:hAnsi="Times New Roman" w:cs="Times New Roman"/>
                <w:color w:val="auto"/>
                <w:sz w:val="20"/>
                <w:szCs w:val="20"/>
                <w:shd w:val="clear" w:color="auto" w:fill="auto"/>
              </w:rPr>
              <w:t>万吨以上</w:t>
            </w:r>
            <w:r>
              <w:rPr>
                <w:rFonts w:hint="eastAsia" w:ascii="Times New Roman" w:hAnsi="Times New Roman" w:cs="Times New Roman"/>
                <w:color w:val="auto"/>
                <w:sz w:val="20"/>
                <w:szCs w:val="20"/>
                <w:shd w:val="clear" w:color="auto" w:fill="auto"/>
                <w:lang w:eastAsia="zh-CN"/>
              </w:rPr>
              <w:t>3</w:t>
            </w:r>
            <w:r>
              <w:rPr>
                <w:rFonts w:hint="default" w:ascii="Times New Roman" w:hAnsi="Times New Roman" w:cs="Times New Roman"/>
                <w:color w:val="auto"/>
                <w:sz w:val="20"/>
                <w:szCs w:val="20"/>
                <w:shd w:val="clear" w:color="auto" w:fill="auto"/>
              </w:rPr>
              <w:t>万吨</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集中式</w:t>
            </w:r>
            <w:r>
              <w:rPr>
                <w:rFonts w:hint="default" w:ascii="Times New Roman" w:hAnsi="Times New Roman" w:cs="Times New Roman"/>
                <w:color w:val="auto"/>
                <w:sz w:val="20"/>
                <w:szCs w:val="20"/>
                <w:shd w:val="clear" w:color="auto" w:fill="auto"/>
              </w:rPr>
              <w:t>污水处理厂）</w:t>
            </w:r>
          </w:p>
        </w:tc>
        <w:tc>
          <w:tcPr>
            <w:tcW w:w="174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2</w:t>
            </w:r>
          </w:p>
        </w:tc>
      </w:tr>
      <w:tr>
        <w:trPr>
          <w:trHeight w:val="397" w:hRule="atLeast"/>
          <w:jc w:val="center"/>
        </w:trPr>
        <w:tc>
          <w:tcPr>
            <w:tcW w:w="1292"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60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100吨以上500吨</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（一般排污单位）/</w:t>
            </w:r>
            <w:r>
              <w:rPr>
                <w:rFonts w:hint="eastAsia" w:ascii="Times New Roman" w:hAnsi="Times New Roman" w:cs="Times New Roman"/>
                <w:color w:val="auto"/>
                <w:sz w:val="20"/>
                <w:szCs w:val="20"/>
                <w:shd w:val="clear" w:color="auto" w:fill="auto"/>
                <w:lang w:eastAsia="zh-CN"/>
              </w:rPr>
              <w:t>3</w:t>
            </w:r>
            <w:r>
              <w:rPr>
                <w:rFonts w:hint="default" w:ascii="Times New Roman" w:hAnsi="Times New Roman" w:cs="Times New Roman"/>
                <w:color w:val="auto"/>
                <w:sz w:val="20"/>
                <w:szCs w:val="20"/>
                <w:shd w:val="clear" w:color="auto" w:fill="auto"/>
              </w:rPr>
              <w:t>万吨以上</w:t>
            </w:r>
            <w:r>
              <w:rPr>
                <w:rFonts w:hint="eastAsia" w:ascii="Times New Roman" w:hAnsi="Times New Roman" w:cs="Times New Roman"/>
                <w:color w:val="auto"/>
                <w:sz w:val="20"/>
                <w:szCs w:val="20"/>
                <w:shd w:val="clear" w:color="auto" w:fill="auto"/>
                <w:lang w:eastAsia="zh-CN"/>
              </w:rPr>
              <w:t>5</w:t>
            </w:r>
            <w:r>
              <w:rPr>
                <w:rFonts w:hint="default" w:ascii="Times New Roman" w:hAnsi="Times New Roman" w:cs="Times New Roman"/>
                <w:color w:val="auto"/>
                <w:sz w:val="20"/>
                <w:szCs w:val="20"/>
                <w:shd w:val="clear" w:color="auto" w:fill="auto"/>
              </w:rPr>
              <w:t>万吨</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集中式</w:t>
            </w:r>
            <w:r>
              <w:rPr>
                <w:rFonts w:hint="default" w:ascii="Times New Roman" w:hAnsi="Times New Roman" w:cs="Times New Roman"/>
                <w:color w:val="auto"/>
                <w:sz w:val="20"/>
                <w:szCs w:val="20"/>
                <w:shd w:val="clear" w:color="auto" w:fill="auto"/>
              </w:rPr>
              <w:t>污水处理厂）</w:t>
            </w:r>
          </w:p>
        </w:tc>
        <w:tc>
          <w:tcPr>
            <w:tcW w:w="174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3</w:t>
            </w:r>
          </w:p>
        </w:tc>
      </w:tr>
      <w:tr>
        <w:trPr>
          <w:trHeight w:val="397" w:hRule="atLeast"/>
          <w:jc w:val="center"/>
        </w:trPr>
        <w:tc>
          <w:tcPr>
            <w:tcW w:w="1292"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60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500吨以上1000吨</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（一般排污单位）/</w:t>
            </w:r>
            <w:r>
              <w:rPr>
                <w:rFonts w:hint="eastAsia" w:ascii="Times New Roman" w:hAnsi="Times New Roman" w:cs="Times New Roman"/>
                <w:color w:val="auto"/>
                <w:sz w:val="20"/>
                <w:szCs w:val="20"/>
                <w:shd w:val="clear" w:color="auto" w:fill="auto"/>
                <w:lang w:eastAsia="zh-CN"/>
              </w:rPr>
              <w:t>5</w:t>
            </w:r>
            <w:r>
              <w:rPr>
                <w:rFonts w:hint="default" w:ascii="Times New Roman" w:hAnsi="Times New Roman" w:cs="Times New Roman"/>
                <w:color w:val="auto"/>
                <w:sz w:val="20"/>
                <w:szCs w:val="20"/>
                <w:shd w:val="clear" w:color="auto" w:fill="auto"/>
              </w:rPr>
              <w:t>万吨以上</w:t>
            </w:r>
            <w:r>
              <w:rPr>
                <w:rFonts w:hint="eastAsia" w:ascii="Times New Roman" w:hAnsi="Times New Roman" w:cs="Times New Roman"/>
                <w:color w:val="auto"/>
                <w:sz w:val="20"/>
                <w:szCs w:val="20"/>
                <w:shd w:val="clear" w:color="auto" w:fill="auto"/>
                <w:lang w:eastAsia="zh-CN"/>
              </w:rPr>
              <w:t>1</w:t>
            </w:r>
            <w:r>
              <w:rPr>
                <w:rFonts w:hint="eastAsia" w:ascii="Times New Roman" w:hAnsi="Times New Roman" w:cs="Times New Roman"/>
                <w:color w:val="auto"/>
                <w:sz w:val="20"/>
                <w:szCs w:val="20"/>
                <w:shd w:val="clear" w:color="auto" w:fill="auto"/>
                <w:lang w:val="en-US" w:eastAsia="zh-CN"/>
              </w:rPr>
              <w:t>0</w:t>
            </w:r>
            <w:r>
              <w:rPr>
                <w:rFonts w:hint="default" w:ascii="Times New Roman" w:hAnsi="Times New Roman" w:cs="Times New Roman"/>
                <w:color w:val="auto"/>
                <w:sz w:val="20"/>
                <w:szCs w:val="20"/>
                <w:shd w:val="clear" w:color="auto" w:fill="auto"/>
              </w:rPr>
              <w:t>万吨</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集中式</w:t>
            </w:r>
            <w:r>
              <w:rPr>
                <w:rFonts w:hint="default" w:ascii="Times New Roman" w:hAnsi="Times New Roman" w:cs="Times New Roman"/>
                <w:color w:val="auto"/>
                <w:sz w:val="20"/>
                <w:szCs w:val="20"/>
                <w:shd w:val="clear" w:color="auto" w:fill="auto"/>
              </w:rPr>
              <w:t>污水处理厂）</w:t>
            </w:r>
          </w:p>
        </w:tc>
        <w:tc>
          <w:tcPr>
            <w:tcW w:w="174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4</w:t>
            </w:r>
          </w:p>
        </w:tc>
      </w:tr>
      <w:tr>
        <w:trPr>
          <w:trHeight w:val="397" w:hRule="atLeast"/>
          <w:jc w:val="center"/>
        </w:trPr>
        <w:tc>
          <w:tcPr>
            <w:tcW w:w="1292"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60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1000吨以上（一般排污单位）/</w:t>
            </w:r>
            <w:r>
              <w:rPr>
                <w:rFonts w:hint="eastAsia" w:ascii="Times New Roman" w:hAnsi="Times New Roman" w:cs="Times New Roman"/>
                <w:color w:val="auto"/>
                <w:sz w:val="20"/>
                <w:szCs w:val="20"/>
                <w:shd w:val="clear" w:color="auto" w:fill="auto"/>
                <w:lang w:eastAsia="zh-CN"/>
              </w:rPr>
              <w:t>1</w:t>
            </w:r>
            <w:r>
              <w:rPr>
                <w:rFonts w:hint="eastAsia" w:ascii="Times New Roman" w:hAnsi="Times New Roman" w:cs="Times New Roman"/>
                <w:color w:val="auto"/>
                <w:sz w:val="20"/>
                <w:szCs w:val="20"/>
                <w:shd w:val="clear" w:color="auto" w:fill="auto"/>
                <w:lang w:val="en-US" w:eastAsia="zh-CN"/>
              </w:rPr>
              <w:t>0</w:t>
            </w:r>
            <w:r>
              <w:rPr>
                <w:rFonts w:hint="default" w:ascii="Times New Roman" w:hAnsi="Times New Roman" w:cs="Times New Roman"/>
                <w:color w:val="auto"/>
                <w:sz w:val="20"/>
                <w:szCs w:val="20"/>
                <w:shd w:val="clear" w:color="auto" w:fill="auto"/>
              </w:rPr>
              <w:t>万吨以上（</w:t>
            </w:r>
            <w:r>
              <w:rPr>
                <w:rFonts w:hint="eastAsia" w:ascii="Times New Roman" w:hAnsi="Times New Roman" w:cs="Times New Roman"/>
                <w:color w:val="auto"/>
                <w:sz w:val="20"/>
                <w:szCs w:val="20"/>
                <w:shd w:val="clear" w:color="auto" w:fill="auto"/>
                <w:lang w:eastAsia="zh-CN"/>
              </w:rPr>
              <w:t>集中式</w:t>
            </w:r>
            <w:r>
              <w:rPr>
                <w:rFonts w:hint="default" w:ascii="Times New Roman" w:hAnsi="Times New Roman" w:cs="Times New Roman"/>
                <w:color w:val="auto"/>
                <w:sz w:val="20"/>
                <w:szCs w:val="20"/>
                <w:shd w:val="clear" w:color="auto" w:fill="auto"/>
              </w:rPr>
              <w:t>污水处理厂）</w:t>
            </w:r>
          </w:p>
        </w:tc>
        <w:tc>
          <w:tcPr>
            <w:tcW w:w="174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5</w:t>
            </w:r>
          </w:p>
        </w:tc>
      </w:tr>
      <w:tr>
        <w:trPr>
          <w:trHeight w:val="397" w:hRule="atLeast"/>
          <w:jc w:val="center"/>
        </w:trPr>
        <w:tc>
          <w:tcPr>
            <w:tcW w:w="129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602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174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9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602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174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29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602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174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29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602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174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68"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widowControl/>
        <w:shd w:val="clear" w:color="auto" w:fill="auto"/>
        <w:snapToGrid w:val="0"/>
        <w:spacing w:line="312" w:lineRule="auto"/>
        <w:ind w:firstLine="420" w:firstLineChars="200"/>
        <w:jc w:val="left"/>
        <w:rPr>
          <w:rFonts w:ascii="Times New Roman" w:hAnsi="Times New Roman" w:cs="Times New Roman"/>
          <w:color w:val="auto"/>
          <w:shd w:val="clear" w:color="auto" w:fill="auto"/>
        </w:rPr>
      </w:pPr>
    </w:p>
    <w:p>
      <w:pPr>
        <w:widowControl/>
        <w:shd w:val="clear" w:color="auto" w:fill="auto"/>
        <w:snapToGrid w:val="0"/>
        <w:spacing w:line="200" w:lineRule="exact"/>
        <w:ind w:firstLine="420" w:firstLineChars="200"/>
        <w:jc w:val="left"/>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6018"/>
        <w:gridCol w:w="1445"/>
      </w:tblGrid>
      <w:tr>
        <w:trPr>
          <w:trHeight w:val="369" w:hRule="atLeast"/>
          <w:jc w:val="center"/>
        </w:trPr>
        <w:tc>
          <w:tcPr>
            <w:tcW w:w="9060" w:type="dxa"/>
            <w:gridSpan w:val="3"/>
            <w:vAlign w:val="top"/>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（三）水污染防治类</w:t>
            </w:r>
          </w:p>
        </w:tc>
      </w:tr>
      <w:tr>
        <w:trPr>
          <w:trHeight w:val="369" w:hRule="atLeast"/>
          <w:jc w:val="center"/>
        </w:trPr>
        <w:tc>
          <w:tcPr>
            <w:tcW w:w="159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463" w:type="dxa"/>
            <w:gridSpan w:val="2"/>
            <w:vAlign w:val="center"/>
          </w:tcPr>
          <w:p>
            <w:pPr>
              <w:shd w:val="clear" w:color="auto" w:fill="auto"/>
              <w:snapToGrid w:val="0"/>
              <w:spacing w:before="0" w:beforeAutospacing="0" w:after="0" w:afterAutospacing="0" w:line="300" w:lineRule="exact"/>
              <w:ind w:left="0" w:right="0"/>
              <w:jc w:val="center"/>
              <w:outlineLvl w:val="9"/>
              <w:rPr>
                <w:rFonts w:hint="default" w:ascii="Times New Roman" w:hAnsi="Times New Roman" w:cs="Times New Roman"/>
                <w:color w:val="auto"/>
                <w:sz w:val="20"/>
                <w:szCs w:val="20"/>
                <w:shd w:val="clear" w:color="auto" w:fill="auto"/>
              </w:rPr>
            </w:pPr>
            <w:bookmarkStart w:id="109" w:name="_Toc12736"/>
            <w:r>
              <w:rPr>
                <w:rFonts w:hint="default" w:ascii="Times New Roman" w:hAnsi="Times New Roman" w:cs="Times New Roman"/>
                <w:color w:val="auto"/>
                <w:sz w:val="20"/>
                <w:szCs w:val="20"/>
                <w:shd w:val="clear" w:color="auto" w:fill="auto"/>
              </w:rPr>
              <w:t>6</w:t>
            </w:r>
            <w:bookmarkEnd w:id="109"/>
          </w:p>
        </w:tc>
      </w:tr>
      <w:tr>
        <w:trPr>
          <w:trHeight w:val="369" w:hRule="atLeast"/>
          <w:jc w:val="center"/>
        </w:trPr>
        <w:tc>
          <w:tcPr>
            <w:tcW w:w="159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463" w:type="dxa"/>
            <w:gridSpan w:val="2"/>
            <w:vAlign w:val="center"/>
          </w:tcPr>
          <w:p>
            <w:pPr>
              <w:shd w:val="clear" w:color="auto" w:fill="auto"/>
              <w:snapToGrid w:val="0"/>
              <w:spacing w:before="0" w:beforeAutospacing="0" w:after="0" w:afterAutospacing="0" w:line="300" w:lineRule="exact"/>
              <w:ind w:left="0" w:right="0"/>
              <w:jc w:val="center"/>
              <w:outlineLvl w:val="9"/>
              <w:rPr>
                <w:rFonts w:hint="default" w:ascii="Times New Roman" w:hAnsi="Times New Roman" w:cs="Times New Roman"/>
                <w:color w:val="auto"/>
                <w:sz w:val="20"/>
                <w:szCs w:val="20"/>
                <w:shd w:val="clear" w:color="auto" w:fill="auto"/>
              </w:rPr>
            </w:pPr>
            <w:bookmarkStart w:id="110" w:name="_Toc29909"/>
            <w:r>
              <w:rPr>
                <w:rFonts w:hint="default" w:ascii="Times New Roman" w:hAnsi="Times New Roman" w:cs="Times New Roman"/>
                <w:color w:val="auto"/>
                <w:sz w:val="20"/>
                <w:szCs w:val="20"/>
                <w:shd w:val="clear" w:color="auto" w:fill="auto"/>
              </w:rPr>
              <w:t>超过水污染物排放标准排放水污染物的</w:t>
            </w:r>
            <w:bookmarkEnd w:id="110"/>
          </w:p>
        </w:tc>
      </w:tr>
      <w:tr>
        <w:trPr>
          <w:trHeight w:val="369" w:hRule="atLeast"/>
          <w:jc w:val="center"/>
        </w:trPr>
        <w:tc>
          <w:tcPr>
            <w:tcW w:w="159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463" w:type="dxa"/>
            <w:gridSpan w:val="2"/>
            <w:vAlign w:val="top"/>
          </w:tcPr>
          <w:p>
            <w:pPr>
              <w:pStyle w:val="19"/>
              <w:shd w:val="clear" w:color="auto" w:fill="auto"/>
              <w:snapToGrid w:val="0"/>
              <w:spacing w:before="0" w:beforeAutospacing="0" w:after="0" w:afterAutospacing="0" w:line="300" w:lineRule="exact"/>
              <w:ind w:left="0" w:right="0" w:firstLine="357"/>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w:t>
            </w:r>
            <w:r>
              <w:rPr>
                <w:rFonts w:hint="default" w:ascii="Times New Roman" w:hAnsi="Times New Roman" w:cs="Times New Roman"/>
                <w:b/>
                <w:bCs/>
                <w:color w:val="auto"/>
                <w:kern w:val="2"/>
                <w:sz w:val="21"/>
                <w:szCs w:val="21"/>
                <w:shd w:val="clear" w:color="auto" w:fill="auto"/>
              </w:rPr>
              <w:t>中华人民共和国水污染防治法》第十条</w:t>
            </w:r>
            <w:r>
              <w:rPr>
                <w:rFonts w:hint="default" w:ascii="Times New Roman" w:hAnsi="Times New Roman" w:cs="Times New Roman"/>
                <w:color w:val="auto"/>
                <w:kern w:val="2"/>
                <w:sz w:val="21"/>
                <w:szCs w:val="21"/>
                <w:shd w:val="clear" w:color="auto" w:fill="auto"/>
              </w:rPr>
              <w:t xml:space="preserve"> 排放水污染物，不得超过国家或者地方规定的水污染物排放标准和重点水污染物排放总量控制指标。</w:t>
            </w:r>
          </w:p>
        </w:tc>
      </w:tr>
      <w:tr>
        <w:trPr>
          <w:trHeight w:val="369" w:hRule="atLeast"/>
          <w:jc w:val="center"/>
        </w:trPr>
        <w:tc>
          <w:tcPr>
            <w:tcW w:w="159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463" w:type="dxa"/>
            <w:gridSpan w:val="2"/>
            <w:vAlign w:val="top"/>
          </w:tcPr>
          <w:p>
            <w:pPr>
              <w:shd w:val="clear" w:color="auto" w:fill="auto"/>
              <w:snapToGrid w:val="0"/>
              <w:spacing w:before="0" w:beforeAutospacing="0" w:after="0" w:afterAutospacing="0" w:line="30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《中华人民共和国水污染防治法》第八十三条第（二）项</w:t>
            </w:r>
            <w:r>
              <w:rPr>
                <w:rFonts w:hint="default" w:ascii="Times New Roman" w:hAnsi="Times New Roman" w:cs="Times New Roman"/>
                <w:color w:val="auto"/>
                <w:sz w:val="20"/>
                <w:szCs w:val="20"/>
                <w:shd w:val="clear" w:color="auto" w:fill="auto"/>
              </w:rPr>
              <w:t xml:space="preserve"> 违反本法规定，有下列行为之一的，由县级以上人民政府环境保护主管部门责令改正或者责令限制生产、停产整治，并处十万元以上一百万元以下的罚款；情节严重的，报经有批准权的人民政府批准，责令停业、关闭：</w:t>
            </w:r>
          </w:p>
          <w:p>
            <w:pPr>
              <w:shd w:val="clear" w:color="auto" w:fill="auto"/>
              <w:snapToGrid w:val="0"/>
              <w:spacing w:before="0" w:beforeAutospacing="0" w:after="0" w:afterAutospacing="0" w:line="30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（二）超过水污染物排放标准或者超过重点水污染物排放总量控制指标排放水污染物的。</w:t>
            </w:r>
          </w:p>
        </w:tc>
      </w:tr>
      <w:tr>
        <w:trPr>
          <w:trHeight w:val="369" w:hRule="atLeast"/>
          <w:jc w:val="center"/>
        </w:trPr>
        <w:tc>
          <w:tcPr>
            <w:tcW w:w="159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601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1445" w:type="dxa"/>
            <w:vAlign w:val="center"/>
          </w:tcPr>
          <w:p>
            <w:pPr>
              <w:shd w:val="clear" w:color="auto" w:fill="auto"/>
              <w:snapToGrid w:val="0"/>
              <w:spacing w:before="0" w:beforeAutospacing="0" w:after="0" w:afterAutospacing="0" w:line="300" w:lineRule="exact"/>
              <w:ind w:left="0" w:right="0" w:firstLine="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jc w:val="center"/>
        </w:trPr>
        <w:tc>
          <w:tcPr>
            <w:tcW w:w="1597" w:type="dxa"/>
            <w:vMerge w:val="restart"/>
            <w:vAlign w:val="center"/>
          </w:tcPr>
          <w:p>
            <w:pPr>
              <w:widowControl w:val="0"/>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★排污超标</w:t>
            </w:r>
          </w:p>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状况</w:t>
            </w:r>
          </w:p>
        </w:tc>
        <w:tc>
          <w:tcPr>
            <w:tcW w:w="6018"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超标0.5倍以下</w:t>
            </w:r>
          </w:p>
        </w:tc>
        <w:tc>
          <w:tcPr>
            <w:tcW w:w="1445"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jc w:val="center"/>
        </w:trPr>
        <w:tc>
          <w:tcPr>
            <w:tcW w:w="1597" w:type="dxa"/>
            <w:vMerge w:val="continue"/>
            <w:vAlign w:val="center"/>
          </w:tcPr>
          <w:p>
            <w:pPr>
              <w:widowControl w:val="0"/>
              <w:shd w:val="clear" w:color="auto" w:fill="auto"/>
              <w:snapToGrid w:val="0"/>
              <w:spacing w:before="0" w:beforeAutospacing="0" w:after="0" w:afterAutospacing="0" w:line="30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6018"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超标0.5倍以上1倍以下（pH值9-10或pH值5-6）</w:t>
            </w:r>
          </w:p>
        </w:tc>
        <w:tc>
          <w:tcPr>
            <w:tcW w:w="1445"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jc w:val="center"/>
        </w:trPr>
        <w:tc>
          <w:tcPr>
            <w:tcW w:w="1597" w:type="dxa"/>
            <w:vMerge w:val="continue"/>
            <w:vAlign w:val="center"/>
          </w:tcPr>
          <w:p>
            <w:pPr>
              <w:widowControl w:val="0"/>
              <w:shd w:val="clear" w:color="auto" w:fill="auto"/>
              <w:snapToGrid w:val="0"/>
              <w:spacing w:before="0" w:beforeAutospacing="0" w:after="0" w:afterAutospacing="0" w:line="30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6018"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超标1倍以上2倍以下（pH值10-11或pH值4-5）</w:t>
            </w:r>
          </w:p>
        </w:tc>
        <w:tc>
          <w:tcPr>
            <w:tcW w:w="1445"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jc w:val="center"/>
        </w:trPr>
        <w:tc>
          <w:tcPr>
            <w:tcW w:w="1597" w:type="dxa"/>
            <w:vMerge w:val="continue"/>
            <w:vAlign w:val="center"/>
          </w:tcPr>
          <w:p>
            <w:pPr>
              <w:widowControl w:val="0"/>
              <w:shd w:val="clear" w:color="auto" w:fill="auto"/>
              <w:snapToGrid w:val="0"/>
              <w:spacing w:before="0" w:beforeAutospacing="0" w:after="0" w:afterAutospacing="0" w:line="30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6018"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超标2倍以上3倍以下（pH值11-12.5或pH值2-4）</w:t>
            </w:r>
          </w:p>
        </w:tc>
        <w:tc>
          <w:tcPr>
            <w:tcW w:w="1445"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jc w:val="center"/>
        </w:trPr>
        <w:tc>
          <w:tcPr>
            <w:tcW w:w="1597" w:type="dxa"/>
            <w:vMerge w:val="continue"/>
            <w:vAlign w:val="center"/>
          </w:tcPr>
          <w:p>
            <w:pPr>
              <w:widowControl w:val="0"/>
              <w:shd w:val="clear" w:color="auto" w:fill="auto"/>
              <w:snapToGrid w:val="0"/>
              <w:spacing w:before="0" w:beforeAutospacing="0" w:after="0" w:afterAutospacing="0" w:line="30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6018"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超标3倍以上（pH值12.5以上或pH值2以下）</w:t>
            </w:r>
          </w:p>
        </w:tc>
        <w:tc>
          <w:tcPr>
            <w:tcW w:w="1445"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69" w:hRule="atLeast"/>
          <w:jc w:val="center"/>
        </w:trPr>
        <w:tc>
          <w:tcPr>
            <w:tcW w:w="1597"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废水类别</w:t>
            </w:r>
          </w:p>
        </w:tc>
        <w:tc>
          <w:tcPr>
            <w:tcW w:w="601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生活废水</w:t>
            </w:r>
            <w:r>
              <w:rPr>
                <w:rFonts w:hint="eastAsia" w:ascii="Times New Roman" w:hAnsi="Times New Roman" w:cs="Times New Roman"/>
                <w:color w:val="auto"/>
                <w:sz w:val="20"/>
                <w:szCs w:val="20"/>
                <w:shd w:val="clear" w:color="auto" w:fill="auto"/>
                <w:lang w:val="en-US" w:eastAsia="zh-CN"/>
              </w:rPr>
              <w:t>/规模以下畜禽养殖废水</w:t>
            </w:r>
          </w:p>
        </w:tc>
        <w:tc>
          <w:tcPr>
            <w:tcW w:w="14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597" w:type="dxa"/>
            <w:vMerge w:val="continue"/>
            <w:vAlign w:val="center"/>
          </w:tcPr>
          <w:p>
            <w:pPr>
              <w:shd w:val="clear" w:color="auto" w:fill="auto"/>
              <w:snapToGrid w:val="0"/>
              <w:spacing w:before="0" w:beforeAutospacing="0" w:after="0" w:afterAutospacing="0" w:line="300" w:lineRule="exact"/>
              <w:ind w:left="0" w:right="0" w:firstLine="420"/>
              <w:jc w:val="center"/>
              <w:rPr>
                <w:rFonts w:hint="default" w:ascii="Times New Roman" w:hAnsi="Times New Roman" w:cs="Times New Roman"/>
                <w:color w:val="auto"/>
                <w:sz w:val="20"/>
                <w:szCs w:val="20"/>
                <w:shd w:val="clear" w:color="auto" w:fill="auto"/>
              </w:rPr>
            </w:pPr>
          </w:p>
        </w:tc>
        <w:tc>
          <w:tcPr>
            <w:tcW w:w="6018" w:type="dxa"/>
            <w:vAlign w:val="center"/>
          </w:tcPr>
          <w:p>
            <w:pPr>
              <w:shd w:val="clear" w:color="auto" w:fill="auto"/>
              <w:snapToGrid w:val="0"/>
              <w:spacing w:before="0" w:beforeAutospacing="0" w:after="0" w:afterAutospacing="0" w:line="300" w:lineRule="exact"/>
              <w:ind w:left="0" w:right="0"/>
              <w:jc w:val="center"/>
              <w:rPr>
                <w:rFonts w:hint="eastAsia"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服务业废水</w:t>
            </w:r>
            <w:r>
              <w:rPr>
                <w:rFonts w:hint="eastAsia" w:ascii="Times New Roman" w:hAnsi="Times New Roman" w:cs="Times New Roman"/>
                <w:color w:val="auto"/>
                <w:sz w:val="20"/>
                <w:szCs w:val="20"/>
                <w:shd w:val="clear" w:color="auto" w:fill="auto"/>
                <w:lang w:val="en-US" w:eastAsia="zh-CN"/>
              </w:rPr>
              <w:t>/规模化畜禽养殖废水</w:t>
            </w:r>
          </w:p>
        </w:tc>
        <w:tc>
          <w:tcPr>
            <w:tcW w:w="14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597" w:type="dxa"/>
            <w:vMerge w:val="continue"/>
            <w:vAlign w:val="center"/>
          </w:tcPr>
          <w:p>
            <w:pPr>
              <w:shd w:val="clear" w:color="auto" w:fill="auto"/>
              <w:snapToGrid w:val="0"/>
              <w:spacing w:before="0" w:beforeAutospacing="0" w:after="0" w:afterAutospacing="0" w:line="300" w:lineRule="exact"/>
              <w:ind w:left="0" w:right="0" w:firstLine="420"/>
              <w:jc w:val="center"/>
              <w:rPr>
                <w:rFonts w:hint="default" w:ascii="Times New Roman" w:hAnsi="Times New Roman" w:cs="Times New Roman"/>
                <w:color w:val="auto"/>
                <w:sz w:val="20"/>
                <w:szCs w:val="20"/>
                <w:shd w:val="clear" w:color="auto" w:fill="auto"/>
              </w:rPr>
            </w:pPr>
          </w:p>
        </w:tc>
        <w:tc>
          <w:tcPr>
            <w:tcW w:w="601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一般工业废水</w:t>
            </w:r>
          </w:p>
        </w:tc>
        <w:tc>
          <w:tcPr>
            <w:tcW w:w="14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597" w:type="dxa"/>
            <w:vMerge w:val="continue"/>
            <w:vAlign w:val="center"/>
          </w:tcPr>
          <w:p>
            <w:pPr>
              <w:shd w:val="clear" w:color="auto" w:fill="auto"/>
              <w:snapToGrid w:val="0"/>
              <w:spacing w:before="0" w:beforeAutospacing="0" w:after="0" w:afterAutospacing="0" w:line="300" w:lineRule="exact"/>
              <w:ind w:left="0" w:right="0" w:firstLine="420"/>
              <w:jc w:val="center"/>
              <w:rPr>
                <w:rFonts w:hint="default" w:ascii="Times New Roman" w:hAnsi="Times New Roman" w:cs="Times New Roman"/>
                <w:color w:val="auto"/>
                <w:sz w:val="20"/>
                <w:szCs w:val="20"/>
                <w:shd w:val="clear" w:color="auto" w:fill="auto"/>
              </w:rPr>
            </w:pPr>
          </w:p>
        </w:tc>
        <w:tc>
          <w:tcPr>
            <w:tcW w:w="601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含其他有毒有害物质的废水、医疗废水</w:t>
            </w:r>
          </w:p>
        </w:tc>
        <w:tc>
          <w:tcPr>
            <w:tcW w:w="14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597" w:type="dxa"/>
            <w:vMerge w:val="continue"/>
            <w:vAlign w:val="center"/>
          </w:tcPr>
          <w:p>
            <w:pPr>
              <w:shd w:val="clear" w:color="auto" w:fill="auto"/>
              <w:snapToGrid w:val="0"/>
              <w:spacing w:before="0" w:beforeAutospacing="0" w:after="0" w:afterAutospacing="0" w:line="300" w:lineRule="exact"/>
              <w:ind w:left="0" w:right="0" w:firstLine="420"/>
              <w:jc w:val="center"/>
              <w:rPr>
                <w:rFonts w:hint="default" w:ascii="Times New Roman" w:hAnsi="Times New Roman" w:cs="Times New Roman"/>
                <w:color w:val="auto"/>
                <w:sz w:val="20"/>
                <w:szCs w:val="20"/>
                <w:shd w:val="clear" w:color="auto" w:fill="auto"/>
              </w:rPr>
            </w:pPr>
          </w:p>
        </w:tc>
        <w:tc>
          <w:tcPr>
            <w:tcW w:w="601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含一类污染物或重金属、病原体、放射性物质的废水</w:t>
            </w:r>
          </w:p>
        </w:tc>
        <w:tc>
          <w:tcPr>
            <w:tcW w:w="14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597"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超标因子</w:t>
            </w:r>
          </w:p>
        </w:tc>
        <w:tc>
          <w:tcPr>
            <w:tcW w:w="601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w:t>
            </w:r>
          </w:p>
        </w:tc>
        <w:tc>
          <w:tcPr>
            <w:tcW w:w="14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597" w:type="dxa"/>
            <w:vMerge w:val="continue"/>
            <w:vAlign w:val="center"/>
          </w:tcPr>
          <w:p>
            <w:pPr>
              <w:shd w:val="clear" w:color="auto" w:fill="auto"/>
              <w:snapToGrid w:val="0"/>
              <w:spacing w:before="0" w:beforeAutospacing="0" w:after="0" w:afterAutospacing="0" w:line="300" w:lineRule="exact"/>
              <w:ind w:left="0" w:right="0" w:firstLine="420"/>
              <w:jc w:val="center"/>
              <w:rPr>
                <w:rFonts w:hint="default" w:ascii="Times New Roman" w:hAnsi="Times New Roman" w:cs="Times New Roman"/>
                <w:color w:val="auto"/>
                <w:sz w:val="20"/>
                <w:szCs w:val="20"/>
                <w:shd w:val="clear" w:color="auto" w:fill="auto"/>
              </w:rPr>
            </w:pPr>
          </w:p>
        </w:tc>
        <w:tc>
          <w:tcPr>
            <w:tcW w:w="601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2个</w:t>
            </w:r>
          </w:p>
        </w:tc>
        <w:tc>
          <w:tcPr>
            <w:tcW w:w="14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597" w:type="dxa"/>
            <w:vMerge w:val="continue"/>
            <w:vAlign w:val="center"/>
          </w:tcPr>
          <w:p>
            <w:pPr>
              <w:shd w:val="clear" w:color="auto" w:fill="auto"/>
              <w:snapToGrid w:val="0"/>
              <w:spacing w:before="0" w:beforeAutospacing="0" w:after="0" w:afterAutospacing="0" w:line="300" w:lineRule="exact"/>
              <w:ind w:left="0" w:right="0" w:firstLine="420"/>
              <w:jc w:val="center"/>
              <w:rPr>
                <w:rFonts w:hint="default" w:ascii="Times New Roman" w:hAnsi="Times New Roman" w:cs="Times New Roman"/>
                <w:color w:val="auto"/>
                <w:sz w:val="20"/>
                <w:szCs w:val="20"/>
                <w:shd w:val="clear" w:color="auto" w:fill="auto"/>
              </w:rPr>
            </w:pPr>
          </w:p>
        </w:tc>
        <w:tc>
          <w:tcPr>
            <w:tcW w:w="6018" w:type="dxa"/>
            <w:vAlign w:val="center"/>
          </w:tcPr>
          <w:p>
            <w:pPr>
              <w:shd w:val="clear" w:color="auto" w:fill="auto"/>
              <w:snapToGrid w:val="0"/>
              <w:spacing w:before="0" w:beforeAutospacing="0" w:after="0" w:afterAutospacing="0" w:line="300" w:lineRule="exact"/>
              <w:ind w:left="0" w:right="0"/>
              <w:jc w:val="center"/>
              <w:rPr>
                <w:rFonts w:hint="eastAsia"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3个</w:t>
            </w:r>
            <w:r>
              <w:rPr>
                <w:rFonts w:hint="eastAsia" w:ascii="Times New Roman" w:hAnsi="Times New Roman" w:cs="Times New Roman"/>
                <w:color w:val="auto"/>
                <w:sz w:val="20"/>
                <w:szCs w:val="20"/>
                <w:shd w:val="clear" w:color="auto" w:fill="auto"/>
                <w:lang w:eastAsia="zh-CN"/>
              </w:rPr>
              <w:t>以上</w:t>
            </w:r>
          </w:p>
        </w:tc>
        <w:tc>
          <w:tcPr>
            <w:tcW w:w="14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597" w:type="dxa"/>
            <w:vMerge w:val="restart"/>
            <w:vAlign w:val="center"/>
          </w:tcPr>
          <w:p>
            <w:pPr>
              <w:widowControl/>
              <w:shd w:val="clear" w:color="auto" w:fill="auto"/>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水日排放量</w:t>
            </w:r>
          </w:p>
        </w:tc>
        <w:tc>
          <w:tcPr>
            <w:tcW w:w="601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10吨</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（一般排污单位）/</w:t>
            </w:r>
            <w:r>
              <w:rPr>
                <w:rFonts w:hint="eastAsia" w:ascii="Times New Roman" w:hAnsi="Times New Roman" w:cs="Times New Roman"/>
                <w:color w:val="auto"/>
                <w:sz w:val="20"/>
                <w:szCs w:val="20"/>
                <w:shd w:val="clear" w:color="auto" w:fill="auto"/>
                <w:lang w:eastAsia="zh-CN"/>
              </w:rPr>
              <w:t>2</w:t>
            </w:r>
            <w:r>
              <w:rPr>
                <w:rFonts w:hint="default" w:ascii="Times New Roman" w:hAnsi="Times New Roman" w:cs="Times New Roman"/>
                <w:color w:val="auto"/>
                <w:sz w:val="20"/>
                <w:szCs w:val="20"/>
                <w:shd w:val="clear" w:color="auto" w:fill="auto"/>
              </w:rPr>
              <w:t>万吨</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集中式</w:t>
            </w:r>
            <w:r>
              <w:rPr>
                <w:rFonts w:hint="default" w:ascii="Times New Roman" w:hAnsi="Times New Roman" w:cs="Times New Roman"/>
                <w:color w:val="auto"/>
                <w:sz w:val="20"/>
                <w:szCs w:val="20"/>
                <w:shd w:val="clear" w:color="auto" w:fill="auto"/>
              </w:rPr>
              <w:t>污水处厂</w:t>
            </w:r>
          </w:p>
        </w:tc>
        <w:tc>
          <w:tcPr>
            <w:tcW w:w="1445" w:type="dxa"/>
            <w:vAlign w:val="center"/>
          </w:tcPr>
          <w:p>
            <w:pPr>
              <w:widowControl/>
              <w:shd w:val="clear" w:color="auto" w:fill="auto"/>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1</w:t>
            </w:r>
          </w:p>
        </w:tc>
      </w:tr>
      <w:tr>
        <w:trPr>
          <w:trHeight w:val="369" w:hRule="atLeast"/>
          <w:jc w:val="center"/>
        </w:trPr>
        <w:tc>
          <w:tcPr>
            <w:tcW w:w="1597" w:type="dxa"/>
            <w:vMerge w:val="continue"/>
            <w:vAlign w:val="center"/>
          </w:tcPr>
          <w:p>
            <w:pPr>
              <w:shd w:val="clear" w:color="auto" w:fill="auto"/>
              <w:snapToGrid w:val="0"/>
              <w:spacing w:before="0" w:beforeAutospacing="0" w:after="0" w:afterAutospacing="0" w:line="300" w:lineRule="exact"/>
              <w:ind w:left="0" w:right="0" w:firstLine="420"/>
              <w:jc w:val="center"/>
              <w:rPr>
                <w:rFonts w:hint="default" w:ascii="Times New Roman" w:hAnsi="Times New Roman" w:cs="Times New Roman"/>
                <w:color w:val="auto"/>
                <w:sz w:val="20"/>
                <w:szCs w:val="20"/>
                <w:shd w:val="clear" w:color="auto" w:fill="auto"/>
              </w:rPr>
            </w:pPr>
          </w:p>
        </w:tc>
        <w:tc>
          <w:tcPr>
            <w:tcW w:w="601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10吨以上100吨</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（一般排污单位）</w:t>
            </w:r>
            <w:r>
              <w:rPr>
                <w:rFonts w:hint="eastAsia" w:ascii="Times New Roman" w:hAnsi="Times New Roman" w:cs="Times New Roman"/>
                <w:color w:val="auto"/>
                <w:sz w:val="20"/>
                <w:szCs w:val="20"/>
                <w:shd w:val="clear" w:color="auto" w:fill="auto"/>
                <w:lang w:val="en-US" w:eastAsia="zh-CN"/>
              </w:rPr>
              <w:t>/</w:t>
            </w:r>
            <w:r>
              <w:rPr>
                <w:rFonts w:hint="eastAsia" w:ascii="Times New Roman" w:hAnsi="Times New Roman" w:cs="Times New Roman"/>
                <w:color w:val="auto"/>
                <w:sz w:val="20"/>
                <w:szCs w:val="20"/>
                <w:shd w:val="clear" w:color="auto" w:fill="auto"/>
                <w:lang w:eastAsia="zh-CN"/>
              </w:rPr>
              <w:t>2</w:t>
            </w:r>
            <w:r>
              <w:rPr>
                <w:rFonts w:hint="default" w:ascii="Times New Roman" w:hAnsi="Times New Roman" w:cs="Times New Roman"/>
                <w:color w:val="auto"/>
                <w:sz w:val="20"/>
                <w:szCs w:val="20"/>
                <w:shd w:val="clear" w:color="auto" w:fill="auto"/>
              </w:rPr>
              <w:t>万吨以上</w:t>
            </w:r>
            <w:r>
              <w:rPr>
                <w:rFonts w:hint="eastAsia" w:ascii="Times New Roman" w:hAnsi="Times New Roman" w:cs="Times New Roman"/>
                <w:color w:val="auto"/>
                <w:sz w:val="20"/>
                <w:szCs w:val="20"/>
                <w:shd w:val="clear" w:color="auto" w:fill="auto"/>
                <w:lang w:eastAsia="zh-CN"/>
              </w:rPr>
              <w:t>3</w:t>
            </w:r>
            <w:r>
              <w:rPr>
                <w:rFonts w:hint="default" w:ascii="Times New Roman" w:hAnsi="Times New Roman" w:cs="Times New Roman"/>
                <w:color w:val="auto"/>
                <w:sz w:val="20"/>
                <w:szCs w:val="20"/>
                <w:shd w:val="clear" w:color="auto" w:fill="auto"/>
              </w:rPr>
              <w:t>万吨</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集中式</w:t>
            </w:r>
            <w:r>
              <w:rPr>
                <w:rFonts w:hint="default" w:ascii="Times New Roman" w:hAnsi="Times New Roman" w:cs="Times New Roman"/>
                <w:color w:val="auto"/>
                <w:sz w:val="20"/>
                <w:szCs w:val="20"/>
                <w:shd w:val="clear" w:color="auto" w:fill="auto"/>
              </w:rPr>
              <w:t>污水处理厂）</w:t>
            </w:r>
          </w:p>
        </w:tc>
        <w:tc>
          <w:tcPr>
            <w:tcW w:w="14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2</w:t>
            </w:r>
          </w:p>
        </w:tc>
      </w:tr>
      <w:tr>
        <w:trPr>
          <w:trHeight w:val="369" w:hRule="atLeast"/>
          <w:jc w:val="center"/>
        </w:trPr>
        <w:tc>
          <w:tcPr>
            <w:tcW w:w="1597" w:type="dxa"/>
            <w:vMerge w:val="continue"/>
            <w:vAlign w:val="center"/>
          </w:tcPr>
          <w:p>
            <w:pPr>
              <w:shd w:val="clear" w:color="auto" w:fill="auto"/>
              <w:snapToGrid w:val="0"/>
              <w:spacing w:before="0" w:beforeAutospacing="0" w:after="0" w:afterAutospacing="0" w:line="300" w:lineRule="exact"/>
              <w:ind w:left="0" w:right="0" w:firstLine="420"/>
              <w:jc w:val="center"/>
              <w:rPr>
                <w:rFonts w:hint="default" w:ascii="Times New Roman" w:hAnsi="Times New Roman" w:cs="Times New Roman"/>
                <w:color w:val="auto"/>
                <w:sz w:val="20"/>
                <w:szCs w:val="20"/>
                <w:shd w:val="clear" w:color="auto" w:fill="auto"/>
              </w:rPr>
            </w:pPr>
          </w:p>
        </w:tc>
        <w:tc>
          <w:tcPr>
            <w:tcW w:w="601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100吨以上500吨</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（一般排污单位）/</w:t>
            </w:r>
            <w:r>
              <w:rPr>
                <w:rFonts w:hint="eastAsia" w:ascii="Times New Roman" w:hAnsi="Times New Roman" w:cs="Times New Roman"/>
                <w:color w:val="auto"/>
                <w:sz w:val="20"/>
                <w:szCs w:val="20"/>
                <w:shd w:val="clear" w:color="auto" w:fill="auto"/>
                <w:lang w:eastAsia="zh-CN"/>
              </w:rPr>
              <w:t>3</w:t>
            </w:r>
            <w:r>
              <w:rPr>
                <w:rFonts w:hint="default" w:ascii="Times New Roman" w:hAnsi="Times New Roman" w:cs="Times New Roman"/>
                <w:color w:val="auto"/>
                <w:sz w:val="20"/>
                <w:szCs w:val="20"/>
                <w:shd w:val="clear" w:color="auto" w:fill="auto"/>
              </w:rPr>
              <w:t>万吨以上</w:t>
            </w:r>
            <w:r>
              <w:rPr>
                <w:rFonts w:hint="eastAsia" w:ascii="Times New Roman" w:hAnsi="Times New Roman" w:cs="Times New Roman"/>
                <w:color w:val="auto"/>
                <w:sz w:val="20"/>
                <w:szCs w:val="20"/>
                <w:shd w:val="clear" w:color="auto" w:fill="auto"/>
                <w:lang w:eastAsia="zh-CN"/>
              </w:rPr>
              <w:t>5</w:t>
            </w:r>
            <w:r>
              <w:rPr>
                <w:rFonts w:hint="default" w:ascii="Times New Roman" w:hAnsi="Times New Roman" w:cs="Times New Roman"/>
                <w:color w:val="auto"/>
                <w:sz w:val="20"/>
                <w:szCs w:val="20"/>
                <w:shd w:val="clear" w:color="auto" w:fill="auto"/>
              </w:rPr>
              <w:t>万吨</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集中式</w:t>
            </w:r>
            <w:r>
              <w:rPr>
                <w:rFonts w:hint="default" w:ascii="Times New Roman" w:hAnsi="Times New Roman" w:cs="Times New Roman"/>
                <w:color w:val="auto"/>
                <w:sz w:val="20"/>
                <w:szCs w:val="20"/>
                <w:shd w:val="clear" w:color="auto" w:fill="auto"/>
              </w:rPr>
              <w:t>污水处理厂）</w:t>
            </w:r>
          </w:p>
        </w:tc>
        <w:tc>
          <w:tcPr>
            <w:tcW w:w="14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3</w:t>
            </w:r>
          </w:p>
        </w:tc>
      </w:tr>
      <w:tr>
        <w:trPr>
          <w:trHeight w:val="369" w:hRule="atLeast"/>
          <w:jc w:val="center"/>
        </w:trPr>
        <w:tc>
          <w:tcPr>
            <w:tcW w:w="1597" w:type="dxa"/>
            <w:vMerge w:val="continue"/>
            <w:vAlign w:val="center"/>
          </w:tcPr>
          <w:p>
            <w:pPr>
              <w:shd w:val="clear" w:color="auto" w:fill="auto"/>
              <w:snapToGrid w:val="0"/>
              <w:spacing w:before="0" w:beforeAutospacing="0" w:after="0" w:afterAutospacing="0" w:line="300" w:lineRule="exact"/>
              <w:ind w:left="0" w:right="0" w:firstLine="420"/>
              <w:jc w:val="center"/>
              <w:rPr>
                <w:rFonts w:hint="default" w:ascii="Times New Roman" w:hAnsi="Times New Roman" w:cs="Times New Roman"/>
                <w:color w:val="auto"/>
                <w:sz w:val="20"/>
                <w:szCs w:val="20"/>
                <w:shd w:val="clear" w:color="auto" w:fill="auto"/>
              </w:rPr>
            </w:pPr>
          </w:p>
        </w:tc>
        <w:tc>
          <w:tcPr>
            <w:tcW w:w="601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500吨以上1000吨</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（一般排污单位）/</w:t>
            </w:r>
            <w:r>
              <w:rPr>
                <w:rFonts w:hint="eastAsia" w:ascii="Times New Roman" w:hAnsi="Times New Roman" w:cs="Times New Roman"/>
                <w:color w:val="auto"/>
                <w:sz w:val="20"/>
                <w:szCs w:val="20"/>
                <w:shd w:val="clear" w:color="auto" w:fill="auto"/>
                <w:lang w:eastAsia="zh-CN"/>
              </w:rPr>
              <w:t>5</w:t>
            </w:r>
            <w:r>
              <w:rPr>
                <w:rFonts w:hint="default" w:ascii="Times New Roman" w:hAnsi="Times New Roman" w:cs="Times New Roman"/>
                <w:color w:val="auto"/>
                <w:sz w:val="20"/>
                <w:szCs w:val="20"/>
                <w:shd w:val="clear" w:color="auto" w:fill="auto"/>
              </w:rPr>
              <w:t>万吨以上</w:t>
            </w:r>
            <w:r>
              <w:rPr>
                <w:rFonts w:hint="eastAsia" w:ascii="Times New Roman" w:hAnsi="Times New Roman" w:cs="Times New Roman"/>
                <w:color w:val="auto"/>
                <w:sz w:val="20"/>
                <w:szCs w:val="20"/>
                <w:shd w:val="clear" w:color="auto" w:fill="auto"/>
                <w:lang w:eastAsia="zh-CN"/>
              </w:rPr>
              <w:t>1</w:t>
            </w:r>
            <w:r>
              <w:rPr>
                <w:rFonts w:hint="eastAsia" w:ascii="Times New Roman" w:hAnsi="Times New Roman" w:cs="Times New Roman"/>
                <w:color w:val="auto"/>
                <w:sz w:val="20"/>
                <w:szCs w:val="20"/>
                <w:shd w:val="clear" w:color="auto" w:fill="auto"/>
                <w:lang w:val="en-US" w:eastAsia="zh-CN"/>
              </w:rPr>
              <w:t>0</w:t>
            </w:r>
            <w:r>
              <w:rPr>
                <w:rFonts w:hint="default" w:ascii="Times New Roman" w:hAnsi="Times New Roman" w:cs="Times New Roman"/>
                <w:color w:val="auto"/>
                <w:sz w:val="20"/>
                <w:szCs w:val="20"/>
                <w:shd w:val="clear" w:color="auto" w:fill="auto"/>
              </w:rPr>
              <w:t>万吨</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集中式</w:t>
            </w:r>
            <w:r>
              <w:rPr>
                <w:rFonts w:hint="default" w:ascii="Times New Roman" w:hAnsi="Times New Roman" w:cs="Times New Roman"/>
                <w:color w:val="auto"/>
                <w:sz w:val="20"/>
                <w:szCs w:val="20"/>
                <w:shd w:val="clear" w:color="auto" w:fill="auto"/>
              </w:rPr>
              <w:t>污水处理厂）</w:t>
            </w:r>
          </w:p>
        </w:tc>
        <w:tc>
          <w:tcPr>
            <w:tcW w:w="14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4</w:t>
            </w:r>
          </w:p>
        </w:tc>
      </w:tr>
      <w:tr>
        <w:trPr>
          <w:trHeight w:val="369" w:hRule="atLeast"/>
          <w:jc w:val="center"/>
        </w:trPr>
        <w:tc>
          <w:tcPr>
            <w:tcW w:w="1597" w:type="dxa"/>
            <w:vMerge w:val="continue"/>
            <w:vAlign w:val="center"/>
          </w:tcPr>
          <w:p>
            <w:pPr>
              <w:shd w:val="clear" w:color="auto" w:fill="auto"/>
              <w:snapToGrid w:val="0"/>
              <w:spacing w:before="0" w:beforeAutospacing="0" w:after="0" w:afterAutospacing="0" w:line="300" w:lineRule="exact"/>
              <w:ind w:left="0" w:right="0" w:firstLine="420"/>
              <w:jc w:val="center"/>
              <w:rPr>
                <w:rFonts w:hint="default" w:ascii="Times New Roman" w:hAnsi="Times New Roman" w:cs="Times New Roman"/>
                <w:color w:val="auto"/>
                <w:sz w:val="20"/>
                <w:szCs w:val="20"/>
                <w:shd w:val="clear" w:color="auto" w:fill="auto"/>
              </w:rPr>
            </w:pPr>
          </w:p>
        </w:tc>
        <w:tc>
          <w:tcPr>
            <w:tcW w:w="601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1000吨以上（一般排污单位）/</w:t>
            </w:r>
            <w:r>
              <w:rPr>
                <w:rFonts w:hint="eastAsia" w:ascii="Times New Roman" w:hAnsi="Times New Roman" w:cs="Times New Roman"/>
                <w:color w:val="auto"/>
                <w:sz w:val="20"/>
                <w:szCs w:val="20"/>
                <w:shd w:val="clear" w:color="auto" w:fill="auto"/>
                <w:lang w:eastAsia="zh-CN"/>
              </w:rPr>
              <w:t>1</w:t>
            </w:r>
            <w:r>
              <w:rPr>
                <w:rFonts w:hint="eastAsia" w:ascii="Times New Roman" w:hAnsi="Times New Roman" w:cs="Times New Roman"/>
                <w:color w:val="auto"/>
                <w:sz w:val="20"/>
                <w:szCs w:val="20"/>
                <w:shd w:val="clear" w:color="auto" w:fill="auto"/>
                <w:lang w:val="en-US" w:eastAsia="zh-CN"/>
              </w:rPr>
              <w:t>0</w:t>
            </w:r>
            <w:r>
              <w:rPr>
                <w:rFonts w:hint="default" w:ascii="Times New Roman" w:hAnsi="Times New Roman" w:cs="Times New Roman"/>
                <w:color w:val="auto"/>
                <w:sz w:val="20"/>
                <w:szCs w:val="20"/>
                <w:shd w:val="clear" w:color="auto" w:fill="auto"/>
              </w:rPr>
              <w:t>万吨以上（</w:t>
            </w:r>
            <w:r>
              <w:rPr>
                <w:rFonts w:hint="eastAsia" w:ascii="Times New Roman" w:hAnsi="Times New Roman" w:cs="Times New Roman"/>
                <w:color w:val="auto"/>
                <w:sz w:val="20"/>
                <w:szCs w:val="20"/>
                <w:shd w:val="clear" w:color="auto" w:fill="auto"/>
                <w:lang w:eastAsia="zh-CN"/>
              </w:rPr>
              <w:t>集中式</w:t>
            </w:r>
            <w:r>
              <w:rPr>
                <w:rFonts w:hint="default" w:ascii="Times New Roman" w:hAnsi="Times New Roman" w:cs="Times New Roman"/>
                <w:color w:val="auto"/>
                <w:sz w:val="20"/>
                <w:szCs w:val="20"/>
                <w:shd w:val="clear" w:color="auto" w:fill="auto"/>
              </w:rPr>
              <w:t>污水处理厂</w:t>
            </w:r>
          </w:p>
        </w:tc>
        <w:tc>
          <w:tcPr>
            <w:tcW w:w="14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5</w:t>
            </w:r>
          </w:p>
        </w:tc>
      </w:tr>
      <w:tr>
        <w:trPr>
          <w:trHeight w:val="369" w:hRule="atLeast"/>
          <w:jc w:val="center"/>
        </w:trPr>
        <w:tc>
          <w:tcPr>
            <w:tcW w:w="1597"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6018"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lang/>
              </w:rPr>
            </w:pPr>
            <w:r>
              <w:rPr>
                <w:rFonts w:hint="eastAsia" w:ascii="Times New Roman" w:hAnsi="Times New Roman" w:cs="Times New Roman"/>
                <w:color w:val="auto"/>
                <w:kern w:val="2"/>
                <w:sz w:val="21"/>
                <w:szCs w:val="21"/>
                <w:shd w:val="clear" w:color="auto" w:fill="auto"/>
                <w:lang w:eastAsia="zh-CN"/>
              </w:rPr>
              <w:t>限期改正</w:t>
            </w:r>
          </w:p>
        </w:tc>
        <w:tc>
          <w:tcPr>
            <w:tcW w:w="14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69" w:hRule="atLeast"/>
          <w:jc w:val="center"/>
        </w:trPr>
        <w:tc>
          <w:tcPr>
            <w:tcW w:w="159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601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14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59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p>
        </w:tc>
        <w:tc>
          <w:tcPr>
            <w:tcW w:w="601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3天以上7天以下</w:t>
            </w:r>
          </w:p>
        </w:tc>
        <w:tc>
          <w:tcPr>
            <w:tcW w:w="14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0"/>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69" w:hRule="atLeast"/>
          <w:jc w:val="center"/>
        </w:trPr>
        <w:tc>
          <w:tcPr>
            <w:tcW w:w="159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p>
        </w:tc>
        <w:tc>
          <w:tcPr>
            <w:tcW w:w="601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7天以上</w:t>
            </w:r>
          </w:p>
        </w:tc>
        <w:tc>
          <w:tcPr>
            <w:tcW w:w="14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0"/>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69" w:hRule="atLeast"/>
          <w:jc w:val="center"/>
        </w:trPr>
        <w:tc>
          <w:tcPr>
            <w:tcW w:w="1597"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601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144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jc w:val="center"/>
        </w:trPr>
        <w:tc>
          <w:tcPr>
            <w:tcW w:w="159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p>
        </w:tc>
        <w:tc>
          <w:tcPr>
            <w:tcW w:w="601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144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jc w:val="center"/>
        </w:trPr>
        <w:tc>
          <w:tcPr>
            <w:tcW w:w="159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p>
        </w:tc>
        <w:tc>
          <w:tcPr>
            <w:tcW w:w="601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144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jc w:val="center"/>
        </w:trPr>
        <w:tc>
          <w:tcPr>
            <w:tcW w:w="159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p>
        </w:tc>
        <w:tc>
          <w:tcPr>
            <w:tcW w:w="601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144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jc w:val="center"/>
        </w:trPr>
        <w:tc>
          <w:tcPr>
            <w:tcW w:w="159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p>
        </w:tc>
        <w:tc>
          <w:tcPr>
            <w:tcW w:w="601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144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69" w:hRule="atLeast"/>
          <w:jc w:val="center"/>
        </w:trPr>
        <w:tc>
          <w:tcPr>
            <w:tcW w:w="1597" w:type="dxa"/>
            <w:vMerge w:val="restart"/>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601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微型企业</w:t>
            </w:r>
          </w:p>
        </w:tc>
        <w:tc>
          <w:tcPr>
            <w:tcW w:w="144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369" w:hRule="atLeast"/>
          <w:jc w:val="center"/>
        </w:trPr>
        <w:tc>
          <w:tcPr>
            <w:tcW w:w="1597"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601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小型企业</w:t>
            </w:r>
          </w:p>
        </w:tc>
        <w:tc>
          <w:tcPr>
            <w:tcW w:w="144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597"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601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中型企业</w:t>
            </w:r>
          </w:p>
        </w:tc>
        <w:tc>
          <w:tcPr>
            <w:tcW w:w="144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59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1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大型企业</w:t>
            </w:r>
          </w:p>
        </w:tc>
        <w:tc>
          <w:tcPr>
            <w:tcW w:w="144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59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管理类别</w:t>
            </w:r>
          </w:p>
        </w:tc>
        <w:tc>
          <w:tcPr>
            <w:tcW w:w="601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登记管理</w:t>
            </w:r>
          </w:p>
        </w:tc>
        <w:tc>
          <w:tcPr>
            <w:tcW w:w="14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69" w:hRule="atLeast"/>
          <w:jc w:val="center"/>
        </w:trPr>
        <w:tc>
          <w:tcPr>
            <w:tcW w:w="159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1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简化管理</w:t>
            </w:r>
          </w:p>
        </w:tc>
        <w:tc>
          <w:tcPr>
            <w:tcW w:w="14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59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1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重点管理</w:t>
            </w:r>
          </w:p>
        </w:tc>
        <w:tc>
          <w:tcPr>
            <w:tcW w:w="14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597" w:type="dxa"/>
            <w:vMerge w:val="restart"/>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污染防治设施建设情况</w:t>
            </w:r>
          </w:p>
        </w:tc>
        <w:tc>
          <w:tcPr>
            <w:tcW w:w="601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配套污染防治设施已建成的</w:t>
            </w:r>
          </w:p>
        </w:tc>
        <w:tc>
          <w:tcPr>
            <w:tcW w:w="144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369" w:hRule="atLeast"/>
          <w:jc w:val="center"/>
        </w:trPr>
        <w:tc>
          <w:tcPr>
            <w:tcW w:w="159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1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配套污染防治设施正在建设的</w:t>
            </w:r>
          </w:p>
        </w:tc>
        <w:tc>
          <w:tcPr>
            <w:tcW w:w="144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59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1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配套污染防治设施尚未建设的</w:t>
            </w:r>
          </w:p>
        </w:tc>
        <w:tc>
          <w:tcPr>
            <w:tcW w:w="144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59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受处罚</w:t>
            </w:r>
            <w:r>
              <w:rPr>
                <w:rFonts w:hint="default" w:ascii="Times New Roman" w:hAnsi="Times New Roman" w:cs="Times New Roman"/>
                <w:b/>
                <w:bCs/>
                <w:color w:val="auto"/>
                <w:sz w:val="20"/>
                <w:szCs w:val="20"/>
                <w:shd w:val="clear" w:color="auto" w:fill="auto"/>
              </w:rPr>
              <w:t>次数</w:t>
            </w:r>
          </w:p>
        </w:tc>
        <w:tc>
          <w:tcPr>
            <w:tcW w:w="601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144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59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1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144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59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01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144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59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601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14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59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601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14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59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601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14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59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601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14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59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463" w:type="dxa"/>
            <w:gridSpan w:val="2"/>
            <w:vAlign w:val="top"/>
          </w:tcPr>
          <w:p>
            <w:pPr>
              <w:shd w:val="clear" w:color="auto" w:fill="auto"/>
              <w:snapToGrid w:val="0"/>
              <w:spacing w:before="0" w:beforeAutospacing="0" w:after="0" w:afterAutospacing="0" w:line="320" w:lineRule="exact"/>
              <w:ind w:left="0" w:right="0" w:firstLine="420" w:firstLineChars="200"/>
              <w:rPr>
                <w:rFonts w:hint="default" w:ascii="Times New Roman" w:hAnsi="Times New Roman" w:cs="Times New Roman"/>
                <w:color w:val="auto"/>
                <w:sz w:val="20"/>
                <w:szCs w:val="20"/>
                <w:shd w:val="clear" w:color="auto" w:fill="auto"/>
              </w:rPr>
            </w:pPr>
          </w:p>
        </w:tc>
      </w:tr>
    </w:tbl>
    <w:p>
      <w:pPr>
        <w:widowControl/>
        <w:shd w:val="clear" w:color="auto" w:fill="auto"/>
        <w:snapToGrid w:val="0"/>
        <w:spacing w:line="312" w:lineRule="auto"/>
        <w:jc w:val="left"/>
        <w:rPr>
          <w:rFonts w:hint="default" w:ascii="Times New Roman" w:hAnsi="Times New Roman" w:cs="Times New Roman"/>
          <w:color w:val="auto"/>
          <w:shd w:val="clear" w:color="auto" w:fill="auto"/>
        </w:rPr>
      </w:pPr>
    </w:p>
    <w:p>
      <w:pPr>
        <w:widowControl/>
        <w:shd w:val="clear" w:color="auto" w:fill="auto"/>
        <w:snapToGrid w:val="0"/>
        <w:spacing w:line="312" w:lineRule="auto"/>
        <w:ind w:firstLine="420" w:firstLineChars="200"/>
        <w:jc w:val="left"/>
        <w:rPr>
          <w:rFonts w:hint="default"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5652"/>
        <w:gridCol w:w="2084"/>
      </w:tblGrid>
      <w:tr>
        <w:trPr>
          <w:trHeight w:val="369" w:hRule="atLeast"/>
          <w:jc w:val="center"/>
        </w:trPr>
        <w:tc>
          <w:tcPr>
            <w:tcW w:w="9060" w:type="dxa"/>
            <w:gridSpan w:val="3"/>
            <w:vAlign w:val="center"/>
          </w:tcPr>
          <w:p>
            <w:pPr>
              <w:widowControl/>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（三）水污染防治类</w:t>
            </w:r>
          </w:p>
        </w:tc>
      </w:tr>
      <w:tr>
        <w:trPr>
          <w:trHeight w:val="369" w:hRule="atLeast"/>
          <w:jc w:val="center"/>
        </w:trPr>
        <w:tc>
          <w:tcPr>
            <w:tcW w:w="132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36"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11" w:name="_Toc26507"/>
            <w:r>
              <w:rPr>
                <w:rFonts w:hint="default" w:ascii="Times New Roman" w:hAnsi="Times New Roman" w:cs="Times New Roman"/>
                <w:color w:val="auto"/>
                <w:sz w:val="20"/>
                <w:szCs w:val="20"/>
                <w:shd w:val="clear" w:color="auto" w:fill="auto"/>
              </w:rPr>
              <w:t>7</w:t>
            </w:r>
            <w:bookmarkEnd w:id="111"/>
          </w:p>
        </w:tc>
      </w:tr>
      <w:tr>
        <w:trPr>
          <w:trHeight w:val="369" w:hRule="atLeast"/>
          <w:jc w:val="center"/>
        </w:trPr>
        <w:tc>
          <w:tcPr>
            <w:tcW w:w="132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36"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12" w:name="_Toc12477"/>
            <w:r>
              <w:rPr>
                <w:rFonts w:hint="default" w:ascii="Times New Roman" w:hAnsi="Times New Roman" w:cs="Times New Roman"/>
                <w:color w:val="auto"/>
                <w:sz w:val="20"/>
                <w:szCs w:val="20"/>
                <w:shd w:val="clear" w:color="auto" w:fill="auto"/>
              </w:rPr>
              <w:t>超过重点水污染物排放总量控制指标排放水污染物的</w:t>
            </w:r>
            <w:bookmarkEnd w:id="112"/>
          </w:p>
        </w:tc>
      </w:tr>
      <w:tr>
        <w:trPr>
          <w:trHeight w:val="369" w:hRule="atLeast"/>
          <w:jc w:val="center"/>
        </w:trPr>
        <w:tc>
          <w:tcPr>
            <w:tcW w:w="132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36" w:type="dxa"/>
            <w:gridSpan w:val="2"/>
            <w:vAlign w:val="top"/>
          </w:tcPr>
          <w:p>
            <w:pPr>
              <w:pStyle w:val="19"/>
              <w:shd w:val="clear" w:color="auto" w:fill="auto"/>
              <w:snapToGrid w:val="0"/>
              <w:spacing w:before="0" w:beforeAutospacing="0" w:after="0" w:afterAutospacing="0" w:line="320" w:lineRule="exact"/>
              <w:ind w:left="0" w:right="0" w:firstLine="357"/>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w:t>
            </w:r>
            <w:r>
              <w:rPr>
                <w:rFonts w:hint="default" w:ascii="Times New Roman" w:hAnsi="Times New Roman" w:cs="Times New Roman"/>
                <w:b/>
                <w:bCs/>
                <w:color w:val="auto"/>
                <w:kern w:val="2"/>
                <w:sz w:val="21"/>
                <w:szCs w:val="21"/>
                <w:shd w:val="clear" w:color="auto" w:fill="auto"/>
              </w:rPr>
              <w:t>中华人民共和国水污染防治法》第十条</w:t>
            </w:r>
            <w:r>
              <w:rPr>
                <w:rFonts w:hint="default" w:ascii="Times New Roman" w:hAnsi="Times New Roman" w:cs="Times New Roman"/>
                <w:color w:val="auto"/>
                <w:kern w:val="2"/>
                <w:sz w:val="21"/>
                <w:szCs w:val="21"/>
                <w:shd w:val="clear" w:color="auto" w:fill="auto"/>
              </w:rPr>
              <w:t xml:space="preserve"> 排放水污染物，不得超过国家或者地方规定的水污染物排放标准和重点水污染物排放总量控制指标。</w:t>
            </w:r>
          </w:p>
        </w:tc>
      </w:tr>
      <w:tr>
        <w:trPr>
          <w:trHeight w:val="369" w:hRule="atLeast"/>
          <w:jc w:val="center"/>
        </w:trPr>
        <w:tc>
          <w:tcPr>
            <w:tcW w:w="132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36" w:type="dxa"/>
            <w:gridSpan w:val="2"/>
            <w:vAlign w:val="top"/>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《中华人民共和国水污染防治法》第八十三条第（二）项</w:t>
            </w:r>
            <w:r>
              <w:rPr>
                <w:rFonts w:hint="default" w:ascii="Times New Roman" w:hAnsi="Times New Roman" w:cs="Times New Roman"/>
                <w:color w:val="auto"/>
                <w:sz w:val="20"/>
                <w:szCs w:val="20"/>
                <w:shd w:val="clear" w:color="auto" w:fill="auto"/>
              </w:rPr>
              <w:t xml:space="preserve"> 违反本法规定，有下列行为之一的，由县级以上人民政府环境保护主管部门责令改正或者责令限制生产、停产整治，并处十万元以上一百万元以下的罚款；情节严重的，报经有批准权的人民政府批准，责令停业、关闭：</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（二）超过水污染物排放标准或者超过重点水污染物排放总量控制指标排放水污染物的。</w:t>
            </w:r>
          </w:p>
        </w:tc>
      </w:tr>
      <w:tr>
        <w:trPr>
          <w:trHeight w:val="386" w:hRule="atLeast"/>
          <w:jc w:val="center"/>
        </w:trPr>
        <w:tc>
          <w:tcPr>
            <w:tcW w:w="132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65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0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48" w:hRule="atLeast"/>
          <w:jc w:val="center"/>
        </w:trPr>
        <w:tc>
          <w:tcPr>
            <w:tcW w:w="132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违法事实</w:t>
            </w:r>
          </w:p>
        </w:tc>
        <w:tc>
          <w:tcPr>
            <w:tcW w:w="565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超总量5%</w:t>
            </w:r>
            <w:r>
              <w:rPr>
                <w:rFonts w:hint="default" w:ascii="Times New Roman" w:hAnsi="Times New Roman" w:cs="Times New Roman"/>
                <w:color w:val="auto"/>
                <w:sz w:val="20"/>
                <w:szCs w:val="20"/>
                <w:shd w:val="clear" w:color="auto" w:fill="auto"/>
                <w:lang w:eastAsia="zh-CN"/>
              </w:rPr>
              <w:t>以下</w:t>
            </w:r>
          </w:p>
        </w:tc>
        <w:tc>
          <w:tcPr>
            <w:tcW w:w="20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8" w:hRule="atLeast"/>
          <w:jc w:val="center"/>
        </w:trPr>
        <w:tc>
          <w:tcPr>
            <w:tcW w:w="132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5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超总量5%以上10%</w:t>
            </w:r>
            <w:r>
              <w:rPr>
                <w:rFonts w:hint="default" w:ascii="Times New Roman" w:hAnsi="Times New Roman" w:cs="Times New Roman"/>
                <w:color w:val="auto"/>
                <w:sz w:val="20"/>
                <w:szCs w:val="20"/>
                <w:shd w:val="clear" w:color="auto" w:fill="auto"/>
                <w:lang w:eastAsia="zh-CN"/>
              </w:rPr>
              <w:t>以下</w:t>
            </w:r>
          </w:p>
        </w:tc>
        <w:tc>
          <w:tcPr>
            <w:tcW w:w="20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48" w:hRule="atLeast"/>
          <w:jc w:val="center"/>
        </w:trPr>
        <w:tc>
          <w:tcPr>
            <w:tcW w:w="132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5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超总量10%以上15%</w:t>
            </w:r>
            <w:r>
              <w:rPr>
                <w:rFonts w:hint="default" w:ascii="Times New Roman" w:hAnsi="Times New Roman" w:cs="Times New Roman"/>
                <w:color w:val="auto"/>
                <w:sz w:val="20"/>
                <w:szCs w:val="20"/>
                <w:shd w:val="clear" w:color="auto" w:fill="auto"/>
                <w:lang w:eastAsia="zh-CN"/>
              </w:rPr>
              <w:t>以下</w:t>
            </w:r>
          </w:p>
        </w:tc>
        <w:tc>
          <w:tcPr>
            <w:tcW w:w="20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8" w:hRule="atLeast"/>
          <w:jc w:val="center"/>
        </w:trPr>
        <w:tc>
          <w:tcPr>
            <w:tcW w:w="132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5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超总量15%以上20%</w:t>
            </w:r>
            <w:r>
              <w:rPr>
                <w:rFonts w:hint="default" w:ascii="Times New Roman" w:hAnsi="Times New Roman" w:cs="Times New Roman"/>
                <w:color w:val="auto"/>
                <w:sz w:val="20"/>
                <w:szCs w:val="20"/>
                <w:shd w:val="clear" w:color="auto" w:fill="auto"/>
                <w:lang w:eastAsia="zh-CN"/>
              </w:rPr>
              <w:t>以下</w:t>
            </w:r>
          </w:p>
        </w:tc>
        <w:tc>
          <w:tcPr>
            <w:tcW w:w="20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48" w:hRule="atLeast"/>
          <w:jc w:val="center"/>
        </w:trPr>
        <w:tc>
          <w:tcPr>
            <w:tcW w:w="132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5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超总量20%以上</w:t>
            </w:r>
          </w:p>
        </w:tc>
        <w:tc>
          <w:tcPr>
            <w:tcW w:w="20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48" w:hRule="atLeast"/>
          <w:jc w:val="center"/>
        </w:trPr>
        <w:tc>
          <w:tcPr>
            <w:tcW w:w="132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废水类别</w:t>
            </w:r>
          </w:p>
        </w:tc>
        <w:tc>
          <w:tcPr>
            <w:tcW w:w="565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生活废水</w:t>
            </w:r>
            <w:r>
              <w:rPr>
                <w:rFonts w:hint="eastAsia" w:ascii="Times New Roman" w:hAnsi="Times New Roman" w:cs="Times New Roman"/>
                <w:color w:val="auto"/>
                <w:sz w:val="20"/>
                <w:szCs w:val="20"/>
                <w:shd w:val="clear" w:color="auto" w:fill="auto"/>
                <w:lang w:val="en-US" w:eastAsia="zh-CN"/>
              </w:rPr>
              <w:t>/规模以下畜禽养殖废水</w:t>
            </w:r>
          </w:p>
        </w:tc>
        <w:tc>
          <w:tcPr>
            <w:tcW w:w="20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8" w:hRule="atLeast"/>
          <w:jc w:val="center"/>
        </w:trPr>
        <w:tc>
          <w:tcPr>
            <w:tcW w:w="1324"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65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服务业废水</w:t>
            </w:r>
            <w:r>
              <w:rPr>
                <w:rFonts w:hint="eastAsia" w:ascii="Times New Roman" w:hAnsi="Times New Roman" w:cs="Times New Roman"/>
                <w:color w:val="auto"/>
                <w:sz w:val="20"/>
                <w:szCs w:val="20"/>
                <w:shd w:val="clear" w:color="auto" w:fill="auto"/>
                <w:lang w:val="en-US" w:eastAsia="zh-CN"/>
              </w:rPr>
              <w:t>/规模化畜禽养殖废水</w:t>
            </w:r>
          </w:p>
        </w:tc>
        <w:tc>
          <w:tcPr>
            <w:tcW w:w="20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48" w:hRule="atLeast"/>
          <w:jc w:val="center"/>
        </w:trPr>
        <w:tc>
          <w:tcPr>
            <w:tcW w:w="1324"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65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一般工业废水</w:t>
            </w:r>
          </w:p>
        </w:tc>
        <w:tc>
          <w:tcPr>
            <w:tcW w:w="20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8" w:hRule="atLeast"/>
          <w:jc w:val="center"/>
        </w:trPr>
        <w:tc>
          <w:tcPr>
            <w:tcW w:w="1324"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65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含其他有毒有害物质的废水、医疗废水</w:t>
            </w:r>
          </w:p>
        </w:tc>
        <w:tc>
          <w:tcPr>
            <w:tcW w:w="20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48" w:hRule="atLeast"/>
          <w:jc w:val="center"/>
        </w:trPr>
        <w:tc>
          <w:tcPr>
            <w:tcW w:w="1324"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65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含一类污染物或重金属、病原体、放射性物质的废水</w:t>
            </w:r>
          </w:p>
        </w:tc>
        <w:tc>
          <w:tcPr>
            <w:tcW w:w="20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48" w:hRule="atLeast"/>
          <w:jc w:val="center"/>
        </w:trPr>
        <w:tc>
          <w:tcPr>
            <w:tcW w:w="132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超总量因子</w:t>
            </w:r>
          </w:p>
        </w:tc>
        <w:tc>
          <w:tcPr>
            <w:tcW w:w="565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w:t>
            </w:r>
          </w:p>
        </w:tc>
        <w:tc>
          <w:tcPr>
            <w:tcW w:w="20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8" w:hRule="atLeast"/>
          <w:jc w:val="center"/>
        </w:trPr>
        <w:tc>
          <w:tcPr>
            <w:tcW w:w="1324"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65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2个</w:t>
            </w:r>
          </w:p>
        </w:tc>
        <w:tc>
          <w:tcPr>
            <w:tcW w:w="20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8" w:hRule="atLeast"/>
          <w:jc w:val="center"/>
        </w:trPr>
        <w:tc>
          <w:tcPr>
            <w:tcW w:w="1324"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652"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3个</w:t>
            </w:r>
            <w:r>
              <w:rPr>
                <w:rFonts w:hint="eastAsia" w:ascii="Times New Roman" w:hAnsi="Times New Roman" w:cs="Times New Roman"/>
                <w:color w:val="auto"/>
                <w:sz w:val="20"/>
                <w:szCs w:val="20"/>
                <w:shd w:val="clear" w:color="auto" w:fill="auto"/>
                <w:lang w:eastAsia="zh-CN"/>
              </w:rPr>
              <w:t>以上</w:t>
            </w:r>
          </w:p>
        </w:tc>
        <w:tc>
          <w:tcPr>
            <w:tcW w:w="20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48" w:hRule="atLeast"/>
          <w:jc w:val="center"/>
        </w:trPr>
        <w:tc>
          <w:tcPr>
            <w:tcW w:w="1324" w:type="dxa"/>
            <w:vMerge w:val="restart"/>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65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微型企业</w:t>
            </w:r>
          </w:p>
        </w:tc>
        <w:tc>
          <w:tcPr>
            <w:tcW w:w="20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448" w:hRule="atLeast"/>
          <w:jc w:val="center"/>
        </w:trPr>
        <w:tc>
          <w:tcPr>
            <w:tcW w:w="132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5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小型企业</w:t>
            </w:r>
          </w:p>
        </w:tc>
        <w:tc>
          <w:tcPr>
            <w:tcW w:w="20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48" w:hRule="atLeast"/>
          <w:jc w:val="center"/>
        </w:trPr>
        <w:tc>
          <w:tcPr>
            <w:tcW w:w="132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5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中型企业</w:t>
            </w:r>
          </w:p>
        </w:tc>
        <w:tc>
          <w:tcPr>
            <w:tcW w:w="20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48" w:hRule="atLeast"/>
          <w:jc w:val="center"/>
        </w:trPr>
        <w:tc>
          <w:tcPr>
            <w:tcW w:w="132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5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大型企业</w:t>
            </w:r>
          </w:p>
        </w:tc>
        <w:tc>
          <w:tcPr>
            <w:tcW w:w="20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4</w:t>
            </w:r>
          </w:p>
        </w:tc>
      </w:tr>
      <w:tr>
        <w:trPr>
          <w:trHeight w:val="448" w:hRule="atLeast"/>
          <w:jc w:val="center"/>
        </w:trPr>
        <w:tc>
          <w:tcPr>
            <w:tcW w:w="132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65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0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448" w:hRule="atLeast"/>
          <w:jc w:val="center"/>
        </w:trPr>
        <w:tc>
          <w:tcPr>
            <w:tcW w:w="132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5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0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448" w:hRule="atLeast"/>
          <w:jc w:val="center"/>
        </w:trPr>
        <w:tc>
          <w:tcPr>
            <w:tcW w:w="132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5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0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32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主观故意及整改情况</w:t>
            </w:r>
          </w:p>
        </w:tc>
        <w:tc>
          <w:tcPr>
            <w:tcW w:w="565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非主观故意超总量排污，</w:t>
            </w:r>
            <w:r>
              <w:rPr>
                <w:rFonts w:hint="default" w:ascii="Times New Roman" w:hAnsi="Times New Roman" w:cs="Times New Roman"/>
                <w:color w:val="auto"/>
                <w:sz w:val="20"/>
                <w:szCs w:val="20"/>
                <w:shd w:val="clear" w:color="auto" w:fill="auto"/>
              </w:rPr>
              <w:t>采取</w:t>
            </w:r>
            <w:r>
              <w:rPr>
                <w:rFonts w:hint="default" w:ascii="Times New Roman" w:hAnsi="Times New Roman" w:cs="Times New Roman"/>
                <w:color w:val="auto"/>
                <w:sz w:val="20"/>
                <w:szCs w:val="20"/>
                <w:shd w:val="clear" w:color="auto" w:fill="auto"/>
                <w:lang w:eastAsia="zh-CN"/>
              </w:rPr>
              <w:t>了</w:t>
            </w:r>
            <w:r>
              <w:rPr>
                <w:rFonts w:hint="default" w:ascii="Times New Roman" w:hAnsi="Times New Roman" w:cs="Times New Roman"/>
                <w:color w:val="auto"/>
                <w:sz w:val="20"/>
                <w:szCs w:val="20"/>
                <w:shd w:val="clear" w:color="auto" w:fill="auto"/>
              </w:rPr>
              <w:t>停产整治措施</w:t>
            </w:r>
            <w:r>
              <w:rPr>
                <w:rFonts w:hint="default" w:ascii="Times New Roman" w:hAnsi="Times New Roman" w:cs="Times New Roman"/>
                <w:color w:val="auto"/>
                <w:sz w:val="20"/>
                <w:szCs w:val="20"/>
                <w:shd w:val="clear" w:color="auto" w:fill="auto"/>
                <w:lang w:eastAsia="zh-CN"/>
              </w:rPr>
              <w:t>的</w:t>
            </w:r>
          </w:p>
        </w:tc>
        <w:tc>
          <w:tcPr>
            <w:tcW w:w="20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24"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65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非主观故意超总量排污，</w:t>
            </w:r>
            <w:r>
              <w:rPr>
                <w:rFonts w:hint="default" w:ascii="Times New Roman" w:hAnsi="Times New Roman" w:cs="Times New Roman"/>
                <w:color w:val="auto"/>
                <w:sz w:val="20"/>
                <w:szCs w:val="20"/>
                <w:shd w:val="clear" w:color="auto" w:fill="auto"/>
              </w:rPr>
              <w:t>采取了限产等部分整改措施</w:t>
            </w:r>
            <w:r>
              <w:rPr>
                <w:rFonts w:hint="default" w:ascii="Times New Roman" w:hAnsi="Times New Roman" w:cs="Times New Roman"/>
                <w:color w:val="auto"/>
                <w:sz w:val="20"/>
                <w:szCs w:val="20"/>
                <w:shd w:val="clear" w:color="auto" w:fill="auto"/>
                <w:lang w:eastAsia="zh-CN"/>
              </w:rPr>
              <w:t>的</w:t>
            </w:r>
          </w:p>
        </w:tc>
        <w:tc>
          <w:tcPr>
            <w:tcW w:w="20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324"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65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明知重点水污染物排放量已超控制指标，未采取限产或停产措施的</w:t>
            </w:r>
          </w:p>
        </w:tc>
        <w:tc>
          <w:tcPr>
            <w:tcW w:w="20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24"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65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明知重点水污染物排放量已超控制指标，还通过暗管、渗井等逃避监管方式排污的</w:t>
            </w:r>
          </w:p>
        </w:tc>
        <w:tc>
          <w:tcPr>
            <w:tcW w:w="20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5</w:t>
            </w:r>
          </w:p>
        </w:tc>
      </w:tr>
      <w:tr>
        <w:trPr>
          <w:trHeight w:val="369" w:hRule="atLeast"/>
          <w:jc w:val="center"/>
        </w:trPr>
        <w:tc>
          <w:tcPr>
            <w:tcW w:w="1324"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65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08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jc w:val="center"/>
        </w:trPr>
        <w:tc>
          <w:tcPr>
            <w:tcW w:w="132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65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08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jc w:val="center"/>
        </w:trPr>
        <w:tc>
          <w:tcPr>
            <w:tcW w:w="132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65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08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jc w:val="center"/>
        </w:trPr>
        <w:tc>
          <w:tcPr>
            <w:tcW w:w="132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65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08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jc w:val="center"/>
        </w:trPr>
        <w:tc>
          <w:tcPr>
            <w:tcW w:w="132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65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08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69" w:hRule="atLeast"/>
          <w:jc w:val="center"/>
        </w:trPr>
        <w:tc>
          <w:tcPr>
            <w:tcW w:w="132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改正时间</w:t>
            </w:r>
          </w:p>
        </w:tc>
        <w:tc>
          <w:tcPr>
            <w:tcW w:w="5652"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lang/>
              </w:rPr>
            </w:pPr>
            <w:r>
              <w:rPr>
                <w:rFonts w:hint="eastAsia" w:ascii="Times New Roman" w:hAnsi="Times New Roman" w:cs="Times New Roman"/>
                <w:color w:val="auto"/>
                <w:kern w:val="2"/>
                <w:sz w:val="21"/>
                <w:szCs w:val="21"/>
                <w:shd w:val="clear" w:color="auto" w:fill="auto"/>
                <w:lang w:eastAsia="zh-CN"/>
              </w:rPr>
              <w:t>限期改正</w:t>
            </w:r>
          </w:p>
        </w:tc>
        <w:tc>
          <w:tcPr>
            <w:tcW w:w="20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369" w:hRule="atLeast"/>
          <w:jc w:val="center"/>
        </w:trPr>
        <w:tc>
          <w:tcPr>
            <w:tcW w:w="132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p>
        </w:tc>
        <w:tc>
          <w:tcPr>
            <w:tcW w:w="565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3天以下</w:t>
            </w:r>
          </w:p>
        </w:tc>
        <w:tc>
          <w:tcPr>
            <w:tcW w:w="20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32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p>
        </w:tc>
        <w:tc>
          <w:tcPr>
            <w:tcW w:w="565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084" w:type="dxa"/>
            <w:vAlign w:val="center"/>
          </w:tcPr>
          <w:p>
            <w:pPr>
              <w:shd w:val="clear" w:color="auto" w:fill="auto"/>
              <w:snapToGrid w:val="0"/>
              <w:spacing w:before="0" w:beforeAutospacing="0" w:after="0" w:afterAutospacing="0" w:line="300" w:lineRule="exact"/>
              <w:ind w:left="0" w:right="0"/>
              <w:jc w:val="center"/>
              <w:rPr>
                <w:rFonts w:hint="eastAsia"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4</w:t>
            </w:r>
          </w:p>
        </w:tc>
      </w:tr>
      <w:tr>
        <w:trPr>
          <w:trHeight w:val="90" w:hRule="atLeast"/>
          <w:jc w:val="center"/>
        </w:trPr>
        <w:tc>
          <w:tcPr>
            <w:tcW w:w="132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p>
        </w:tc>
        <w:tc>
          <w:tcPr>
            <w:tcW w:w="565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7天以上</w:t>
            </w:r>
          </w:p>
        </w:tc>
        <w:tc>
          <w:tcPr>
            <w:tcW w:w="20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5</w:t>
            </w:r>
          </w:p>
        </w:tc>
      </w:tr>
      <w:tr>
        <w:trPr>
          <w:trHeight w:val="369" w:hRule="atLeast"/>
          <w:jc w:val="center"/>
        </w:trPr>
        <w:tc>
          <w:tcPr>
            <w:tcW w:w="1324" w:type="dxa"/>
            <w:vMerge w:val="restart"/>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受处罚次数</w:t>
            </w:r>
          </w:p>
        </w:tc>
        <w:tc>
          <w:tcPr>
            <w:tcW w:w="565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0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369" w:hRule="atLeast"/>
          <w:jc w:val="center"/>
        </w:trPr>
        <w:tc>
          <w:tcPr>
            <w:tcW w:w="132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5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20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32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5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20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5</w:t>
            </w:r>
          </w:p>
        </w:tc>
      </w:tr>
      <w:tr>
        <w:trPr>
          <w:trHeight w:val="369" w:hRule="atLeast"/>
          <w:jc w:val="center"/>
        </w:trPr>
        <w:tc>
          <w:tcPr>
            <w:tcW w:w="132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65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0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2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65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0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32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65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0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32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65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0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2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36"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r>
    </w:tbl>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5162"/>
        <w:gridCol w:w="2520"/>
      </w:tblGrid>
      <w:tr>
        <w:trPr>
          <w:trHeight w:val="283" w:hRule="atLeast"/>
          <w:jc w:val="center"/>
        </w:trPr>
        <w:tc>
          <w:tcPr>
            <w:tcW w:w="9060" w:type="dxa"/>
            <w:gridSpan w:val="3"/>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（三）水污染防治类</w:t>
            </w:r>
          </w:p>
        </w:tc>
      </w:tr>
      <w:tr>
        <w:trPr>
          <w:trHeight w:val="283" w:hRule="atLeast"/>
          <w:jc w:val="center"/>
        </w:trPr>
        <w:tc>
          <w:tcPr>
            <w:tcW w:w="137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82" w:type="dxa"/>
            <w:gridSpan w:val="2"/>
            <w:vAlign w:val="center"/>
          </w:tcPr>
          <w:p>
            <w:pPr>
              <w:shd w:val="clear" w:color="auto" w:fill="auto"/>
              <w:snapToGrid w:val="0"/>
              <w:spacing w:before="0" w:beforeAutospacing="0" w:after="0" w:afterAutospacing="0" w:line="300" w:lineRule="exact"/>
              <w:ind w:left="0" w:right="0"/>
              <w:jc w:val="center"/>
              <w:outlineLvl w:val="9"/>
              <w:rPr>
                <w:rFonts w:hint="default" w:ascii="Times New Roman" w:hAnsi="Times New Roman" w:cs="Times New Roman"/>
                <w:color w:val="auto"/>
                <w:sz w:val="20"/>
                <w:szCs w:val="20"/>
                <w:shd w:val="clear" w:color="auto" w:fill="auto"/>
              </w:rPr>
            </w:pPr>
            <w:bookmarkStart w:id="113" w:name="_Toc12693"/>
            <w:r>
              <w:rPr>
                <w:rFonts w:hint="default" w:ascii="Times New Roman" w:hAnsi="Times New Roman" w:cs="Times New Roman"/>
                <w:color w:val="auto"/>
                <w:sz w:val="20"/>
                <w:szCs w:val="20"/>
                <w:shd w:val="clear" w:color="auto" w:fill="auto"/>
              </w:rPr>
              <w:t>8</w:t>
            </w:r>
            <w:bookmarkEnd w:id="113"/>
          </w:p>
        </w:tc>
      </w:tr>
      <w:tr>
        <w:trPr>
          <w:trHeight w:val="283" w:hRule="atLeast"/>
          <w:jc w:val="center"/>
        </w:trPr>
        <w:tc>
          <w:tcPr>
            <w:tcW w:w="137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82" w:type="dxa"/>
            <w:gridSpan w:val="2"/>
            <w:vAlign w:val="top"/>
          </w:tcPr>
          <w:p>
            <w:pPr>
              <w:shd w:val="clear" w:color="auto" w:fill="auto"/>
              <w:snapToGrid w:val="0"/>
              <w:spacing w:before="0" w:beforeAutospacing="0" w:after="0" w:afterAutospacing="0" w:line="300" w:lineRule="exact"/>
              <w:ind w:left="0" w:right="0" w:firstLine="420"/>
              <w:outlineLvl w:val="9"/>
              <w:rPr>
                <w:rFonts w:hint="default" w:ascii="Times New Roman" w:hAnsi="Times New Roman" w:cs="Times New Roman"/>
                <w:color w:val="auto"/>
                <w:sz w:val="20"/>
                <w:szCs w:val="20"/>
                <w:shd w:val="clear" w:color="auto" w:fill="auto"/>
              </w:rPr>
            </w:pPr>
            <w:bookmarkStart w:id="114" w:name="_Toc6254"/>
            <w:r>
              <w:rPr>
                <w:rFonts w:hint="default" w:ascii="Times New Roman" w:hAnsi="Times New Roman" w:cs="Times New Roman"/>
                <w:color w:val="auto"/>
                <w:sz w:val="20"/>
                <w:szCs w:val="20"/>
                <w:shd w:val="clear" w:color="auto" w:fill="auto"/>
              </w:rPr>
              <w:t>利用渗井、渗坑、裂隙、溶洞，私设暗管，篡改、伪造监测数据，或者不正常运行水污染防治设施等逃避监管的方式排放水污染物的</w:t>
            </w:r>
            <w:bookmarkEnd w:id="114"/>
          </w:p>
        </w:tc>
      </w:tr>
      <w:tr>
        <w:trPr>
          <w:trHeight w:val="283" w:hRule="atLeast"/>
          <w:jc w:val="center"/>
        </w:trPr>
        <w:tc>
          <w:tcPr>
            <w:tcW w:w="137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82" w:type="dxa"/>
            <w:gridSpan w:val="2"/>
            <w:vAlign w:val="top"/>
          </w:tcPr>
          <w:p>
            <w:pPr>
              <w:pStyle w:val="19"/>
              <w:shd w:val="clear" w:color="auto" w:fill="auto"/>
              <w:snapToGrid w:val="0"/>
              <w:spacing w:before="0" w:beforeAutospacing="0" w:after="0" w:afterAutospacing="0" w:line="30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《中华人民共和国水污染防治法》第三十九条</w:t>
            </w:r>
            <w:r>
              <w:rPr>
                <w:rFonts w:hint="default" w:ascii="Times New Roman" w:hAnsi="Times New Roman" w:cs="Times New Roman"/>
                <w:color w:val="auto"/>
                <w:kern w:val="2"/>
                <w:sz w:val="21"/>
                <w:szCs w:val="21"/>
                <w:shd w:val="clear" w:color="auto" w:fill="auto"/>
              </w:rPr>
              <w:t xml:space="preserve"> 禁止利用渗井、渗坑、裂隙、溶洞，私设暗管，篡改、伪造监测数据，或者不正常运行水污染防治设施等逃避监管的方式排放水污染物。</w:t>
            </w:r>
          </w:p>
        </w:tc>
      </w:tr>
      <w:tr>
        <w:trPr>
          <w:trHeight w:val="283" w:hRule="atLeast"/>
          <w:jc w:val="center"/>
        </w:trPr>
        <w:tc>
          <w:tcPr>
            <w:tcW w:w="137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82" w:type="dxa"/>
            <w:gridSpan w:val="2"/>
            <w:vAlign w:val="top"/>
          </w:tcPr>
          <w:p>
            <w:pPr>
              <w:pStyle w:val="19"/>
              <w:shd w:val="clear" w:color="auto" w:fill="auto"/>
              <w:snapToGrid w:val="0"/>
              <w:spacing w:before="0" w:beforeAutospacing="0" w:after="0" w:afterAutospacing="0" w:line="30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《中华人民共和国水污染防治法》第八十三条第（三）项</w:t>
            </w:r>
            <w:r>
              <w:rPr>
                <w:rFonts w:hint="default" w:ascii="Times New Roman" w:hAnsi="Times New Roman" w:cs="Times New Roman"/>
                <w:color w:val="auto"/>
                <w:kern w:val="2"/>
                <w:sz w:val="21"/>
                <w:szCs w:val="21"/>
                <w:shd w:val="clear" w:color="auto" w:fill="auto"/>
              </w:rPr>
              <w:t xml:space="preserve"> 违反本法规定，有下列行为之一的，由县级以上人民政府环境保护主管部门责令改正或者责令限制生产、停产整治，并处十万元以上一百万元以下的罚款；情节严重的，报经有批准权的人民政府批准，责令停业、关闭：</w:t>
            </w:r>
          </w:p>
          <w:p>
            <w:pPr>
              <w:pStyle w:val="19"/>
              <w:shd w:val="clear" w:color="auto" w:fill="auto"/>
              <w:snapToGrid w:val="0"/>
              <w:spacing w:before="0" w:beforeAutospacing="0" w:after="0" w:afterAutospacing="0" w:line="300" w:lineRule="exact"/>
              <w:ind w:left="0" w:right="0" w:firstLine="420"/>
              <w:rPr>
                <w:rFonts w:hint="default" w:ascii="Times New Roman" w:hAnsi="Times New Roman" w:cs="Times New Roman"/>
                <w:b/>
                <w:bCs/>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（三）利用渗井、渗坑、裂隙、溶洞，私设暗管，篡改、伪造监测数据，或者不正常运行水污染防治设施等逃避监管的方式排放水污染物的。</w:t>
            </w:r>
          </w:p>
        </w:tc>
      </w:tr>
      <w:tr>
        <w:trPr>
          <w:trHeight w:val="283" w:hRule="atLeast"/>
          <w:jc w:val="center"/>
        </w:trPr>
        <w:tc>
          <w:tcPr>
            <w:tcW w:w="137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6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40" w:hRule="atLeast"/>
          <w:jc w:val="center"/>
        </w:trPr>
        <w:tc>
          <w:tcPr>
            <w:tcW w:w="137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rPr>
              <w:t>★违法事实</w:t>
            </w:r>
          </w:p>
        </w:tc>
        <w:tc>
          <w:tcPr>
            <w:tcW w:w="5162"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rPr>
              <w:t>部分处理设施不能正常运行</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7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62"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rPr>
              <w:t>部分处理设施停运</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2</w:t>
            </w:r>
          </w:p>
        </w:tc>
      </w:tr>
      <w:tr>
        <w:trPr>
          <w:trHeight w:val="340" w:hRule="atLeast"/>
          <w:jc w:val="center"/>
        </w:trPr>
        <w:tc>
          <w:tcPr>
            <w:tcW w:w="137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62"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rPr>
              <w:t>整体或关键处理设施不能正常运行</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37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62"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rPr>
              <w:t>整体或关键处理设施停运/为逃避现场检查临时停产</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4</w:t>
            </w:r>
          </w:p>
        </w:tc>
      </w:tr>
      <w:tr>
        <w:trPr>
          <w:trHeight w:val="340" w:hRule="atLeast"/>
          <w:jc w:val="center"/>
        </w:trPr>
        <w:tc>
          <w:tcPr>
            <w:tcW w:w="137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62"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rPr>
              <w:t>利用渗井、渗坑、裂隙、溶洞，私设暗管排放水污染物/篡改、伪造监测数据</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7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废水类别</w:t>
            </w:r>
          </w:p>
        </w:tc>
        <w:tc>
          <w:tcPr>
            <w:tcW w:w="51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生活废水</w:t>
            </w:r>
            <w:r>
              <w:rPr>
                <w:rFonts w:hint="eastAsia" w:ascii="Times New Roman" w:hAnsi="Times New Roman" w:cs="Times New Roman"/>
                <w:color w:val="auto"/>
                <w:sz w:val="20"/>
                <w:szCs w:val="20"/>
                <w:shd w:val="clear" w:color="auto" w:fill="auto"/>
                <w:lang w:val="en-US" w:eastAsia="zh-CN"/>
              </w:rPr>
              <w:t>/规模以下畜禽养殖废水</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7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62" w:type="dxa"/>
            <w:vAlign w:val="center"/>
          </w:tcPr>
          <w:p>
            <w:pPr>
              <w:shd w:val="clear" w:color="auto" w:fill="auto"/>
              <w:spacing w:before="0" w:beforeAutospacing="0" w:after="0" w:afterAutospacing="0" w:line="320" w:lineRule="exact"/>
              <w:ind w:left="0" w:right="0" w:firstLine="1050" w:firstLineChars="50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服务业废水</w:t>
            </w:r>
            <w:r>
              <w:rPr>
                <w:rFonts w:hint="eastAsia" w:ascii="Times New Roman" w:hAnsi="Times New Roman" w:cs="Times New Roman"/>
                <w:color w:val="auto"/>
                <w:sz w:val="20"/>
                <w:szCs w:val="20"/>
                <w:shd w:val="clear" w:color="auto" w:fill="auto"/>
                <w:lang w:val="en-US" w:eastAsia="zh-CN"/>
              </w:rPr>
              <w:t>/规模化畜禽养殖废水</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40" w:hRule="atLeast"/>
          <w:jc w:val="center"/>
        </w:trPr>
        <w:tc>
          <w:tcPr>
            <w:tcW w:w="137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62"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一般工业废水</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37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62"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1"/>
                <w:shd w:val="clear" w:color="auto" w:fill="auto"/>
              </w:rPr>
              <w:t>含其他有毒有害物质的废水、医疗废水</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40" w:hRule="atLeast"/>
          <w:jc w:val="center"/>
        </w:trPr>
        <w:tc>
          <w:tcPr>
            <w:tcW w:w="137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62" w:type="dxa"/>
            <w:vAlign w:val="center"/>
          </w:tcPr>
          <w:p>
            <w:pPr>
              <w:pStyle w:val="18"/>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1"/>
                <w:shd w:val="clear" w:color="auto" w:fill="auto"/>
              </w:rPr>
              <w:t>含一类污染物或重金属、病原体、放射性物质的废水</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78" w:type="dxa"/>
            <w:vMerge w:val="restart"/>
            <w:vAlign w:val="center"/>
          </w:tcPr>
          <w:p>
            <w:pPr>
              <w:widowControl w:val="0"/>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排污超标</w:t>
            </w:r>
          </w:p>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状况</w:t>
            </w:r>
          </w:p>
        </w:tc>
        <w:tc>
          <w:tcPr>
            <w:tcW w:w="5162"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超标0.5倍以下</w:t>
            </w:r>
          </w:p>
        </w:tc>
        <w:tc>
          <w:tcPr>
            <w:tcW w:w="252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40" w:hRule="atLeast"/>
          <w:jc w:val="center"/>
        </w:trPr>
        <w:tc>
          <w:tcPr>
            <w:tcW w:w="1378" w:type="dxa"/>
            <w:vMerge w:val="continue"/>
            <w:vAlign w:val="center"/>
          </w:tcPr>
          <w:p>
            <w:pPr>
              <w:widowControl w:val="0"/>
              <w:shd w:val="clear" w:color="auto" w:fill="auto"/>
              <w:snapToGrid w:val="0"/>
              <w:spacing w:before="0" w:beforeAutospacing="0" w:after="0" w:afterAutospacing="0" w:line="30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5162"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超标0.5倍以上1倍以下（pH值9-10或pH值5-6）</w:t>
            </w:r>
          </w:p>
        </w:tc>
        <w:tc>
          <w:tcPr>
            <w:tcW w:w="252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40" w:hRule="atLeast"/>
          <w:jc w:val="center"/>
        </w:trPr>
        <w:tc>
          <w:tcPr>
            <w:tcW w:w="1378" w:type="dxa"/>
            <w:vMerge w:val="continue"/>
            <w:vAlign w:val="center"/>
          </w:tcPr>
          <w:p>
            <w:pPr>
              <w:widowControl w:val="0"/>
              <w:shd w:val="clear" w:color="auto" w:fill="auto"/>
              <w:snapToGrid w:val="0"/>
              <w:spacing w:before="0" w:beforeAutospacing="0" w:after="0" w:afterAutospacing="0" w:line="30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5162"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超标1倍以上2倍以下（pH值10-11或pH值4-5）</w:t>
            </w:r>
          </w:p>
        </w:tc>
        <w:tc>
          <w:tcPr>
            <w:tcW w:w="252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40" w:hRule="atLeast"/>
          <w:jc w:val="center"/>
        </w:trPr>
        <w:tc>
          <w:tcPr>
            <w:tcW w:w="1378" w:type="dxa"/>
            <w:vMerge w:val="continue"/>
            <w:vAlign w:val="center"/>
          </w:tcPr>
          <w:p>
            <w:pPr>
              <w:widowControl w:val="0"/>
              <w:shd w:val="clear" w:color="auto" w:fill="auto"/>
              <w:snapToGrid w:val="0"/>
              <w:spacing w:before="0" w:beforeAutospacing="0" w:after="0" w:afterAutospacing="0" w:line="30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5162"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超标2倍以上3倍以下（pH值11-12.5或pH值2-4）</w:t>
            </w:r>
          </w:p>
        </w:tc>
        <w:tc>
          <w:tcPr>
            <w:tcW w:w="252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40" w:hRule="atLeast"/>
          <w:jc w:val="center"/>
        </w:trPr>
        <w:tc>
          <w:tcPr>
            <w:tcW w:w="1378" w:type="dxa"/>
            <w:vMerge w:val="continue"/>
            <w:vAlign w:val="center"/>
          </w:tcPr>
          <w:p>
            <w:pPr>
              <w:widowControl w:val="0"/>
              <w:shd w:val="clear" w:color="auto" w:fill="auto"/>
              <w:snapToGrid w:val="0"/>
              <w:spacing w:before="0" w:beforeAutospacing="0" w:after="0" w:afterAutospacing="0" w:line="30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5162"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超标3倍以上（pH值12.5以上或pH值2以下）</w:t>
            </w:r>
          </w:p>
        </w:tc>
        <w:tc>
          <w:tcPr>
            <w:tcW w:w="252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40" w:hRule="atLeast"/>
          <w:jc w:val="center"/>
        </w:trPr>
        <w:tc>
          <w:tcPr>
            <w:tcW w:w="1378" w:type="dxa"/>
            <w:vMerge w:val="restart"/>
            <w:vAlign w:val="center"/>
          </w:tcPr>
          <w:p>
            <w:pPr>
              <w:widowControl/>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水日排放量</w:t>
            </w:r>
          </w:p>
        </w:tc>
        <w:tc>
          <w:tcPr>
            <w:tcW w:w="51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10吨</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（一般排污单位）/</w:t>
            </w:r>
            <w:r>
              <w:rPr>
                <w:rFonts w:hint="eastAsia" w:ascii="Times New Roman" w:hAnsi="Times New Roman" w:cs="Times New Roman"/>
                <w:color w:val="auto"/>
                <w:sz w:val="20"/>
                <w:szCs w:val="20"/>
                <w:shd w:val="clear" w:color="auto" w:fill="auto"/>
                <w:lang w:eastAsia="zh-CN"/>
              </w:rPr>
              <w:t>2</w:t>
            </w:r>
            <w:r>
              <w:rPr>
                <w:rFonts w:hint="default" w:ascii="Times New Roman" w:hAnsi="Times New Roman" w:cs="Times New Roman"/>
                <w:color w:val="auto"/>
                <w:sz w:val="20"/>
                <w:szCs w:val="20"/>
                <w:shd w:val="clear" w:color="auto" w:fill="auto"/>
              </w:rPr>
              <w:t>万吨</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集中式</w:t>
            </w:r>
            <w:r>
              <w:rPr>
                <w:rFonts w:hint="default" w:ascii="Times New Roman" w:hAnsi="Times New Roman" w:cs="Times New Roman"/>
                <w:color w:val="auto"/>
                <w:sz w:val="20"/>
                <w:szCs w:val="20"/>
                <w:shd w:val="clear" w:color="auto" w:fill="auto"/>
              </w:rPr>
              <w:t>污水处理厂）</w:t>
            </w:r>
          </w:p>
        </w:tc>
        <w:tc>
          <w:tcPr>
            <w:tcW w:w="2520" w:type="dxa"/>
            <w:vAlign w:val="center"/>
          </w:tcPr>
          <w:p>
            <w:pPr>
              <w:widowControl/>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1</w:t>
            </w:r>
          </w:p>
        </w:tc>
      </w:tr>
      <w:tr>
        <w:trPr>
          <w:trHeight w:val="340" w:hRule="atLeast"/>
          <w:jc w:val="center"/>
        </w:trPr>
        <w:tc>
          <w:tcPr>
            <w:tcW w:w="137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10吨以上100吨</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（一般排污单位）</w:t>
            </w:r>
            <w:r>
              <w:rPr>
                <w:rFonts w:hint="eastAsia" w:ascii="Times New Roman" w:hAnsi="Times New Roman" w:cs="Times New Roman"/>
                <w:color w:val="auto"/>
                <w:sz w:val="20"/>
                <w:szCs w:val="20"/>
                <w:shd w:val="clear" w:color="auto" w:fill="auto"/>
                <w:lang w:val="en-US" w:eastAsia="zh-CN"/>
              </w:rPr>
              <w:t>/</w:t>
            </w:r>
            <w:r>
              <w:rPr>
                <w:rFonts w:hint="eastAsia" w:ascii="Times New Roman" w:hAnsi="Times New Roman" w:cs="Times New Roman"/>
                <w:color w:val="auto"/>
                <w:sz w:val="20"/>
                <w:szCs w:val="20"/>
                <w:shd w:val="clear" w:color="auto" w:fill="auto"/>
                <w:lang w:eastAsia="zh-CN"/>
              </w:rPr>
              <w:t>2</w:t>
            </w:r>
            <w:r>
              <w:rPr>
                <w:rFonts w:hint="default" w:ascii="Times New Roman" w:hAnsi="Times New Roman" w:cs="Times New Roman"/>
                <w:color w:val="auto"/>
                <w:sz w:val="20"/>
                <w:szCs w:val="20"/>
                <w:shd w:val="clear" w:color="auto" w:fill="auto"/>
              </w:rPr>
              <w:t>万吨以上</w:t>
            </w:r>
            <w:r>
              <w:rPr>
                <w:rFonts w:hint="eastAsia" w:ascii="Times New Roman" w:hAnsi="Times New Roman" w:cs="Times New Roman"/>
                <w:color w:val="auto"/>
                <w:sz w:val="20"/>
                <w:szCs w:val="20"/>
                <w:shd w:val="clear" w:color="auto" w:fill="auto"/>
                <w:lang w:eastAsia="zh-CN"/>
              </w:rPr>
              <w:t>3</w:t>
            </w:r>
            <w:r>
              <w:rPr>
                <w:rFonts w:hint="default" w:ascii="Times New Roman" w:hAnsi="Times New Roman" w:cs="Times New Roman"/>
                <w:color w:val="auto"/>
                <w:sz w:val="20"/>
                <w:szCs w:val="20"/>
                <w:shd w:val="clear" w:color="auto" w:fill="auto"/>
              </w:rPr>
              <w:t>万吨</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集中式</w:t>
            </w:r>
            <w:r>
              <w:rPr>
                <w:rFonts w:hint="default" w:ascii="Times New Roman" w:hAnsi="Times New Roman" w:cs="Times New Roman"/>
                <w:color w:val="auto"/>
                <w:sz w:val="20"/>
                <w:szCs w:val="20"/>
                <w:shd w:val="clear" w:color="auto" w:fill="auto"/>
              </w:rPr>
              <w:t>污水处理厂）</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2</w:t>
            </w:r>
          </w:p>
        </w:tc>
      </w:tr>
      <w:tr>
        <w:trPr>
          <w:trHeight w:val="340" w:hRule="atLeast"/>
          <w:jc w:val="center"/>
        </w:trPr>
        <w:tc>
          <w:tcPr>
            <w:tcW w:w="137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100吨以上500吨</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（一般排污单位）/</w:t>
            </w:r>
            <w:r>
              <w:rPr>
                <w:rFonts w:hint="eastAsia" w:ascii="Times New Roman" w:hAnsi="Times New Roman" w:cs="Times New Roman"/>
                <w:color w:val="auto"/>
                <w:sz w:val="20"/>
                <w:szCs w:val="20"/>
                <w:shd w:val="clear" w:color="auto" w:fill="auto"/>
                <w:lang w:eastAsia="zh-CN"/>
              </w:rPr>
              <w:t>3</w:t>
            </w:r>
            <w:r>
              <w:rPr>
                <w:rFonts w:hint="default" w:ascii="Times New Roman" w:hAnsi="Times New Roman" w:cs="Times New Roman"/>
                <w:color w:val="auto"/>
                <w:sz w:val="20"/>
                <w:szCs w:val="20"/>
                <w:shd w:val="clear" w:color="auto" w:fill="auto"/>
              </w:rPr>
              <w:t>万吨以上</w:t>
            </w:r>
            <w:r>
              <w:rPr>
                <w:rFonts w:hint="eastAsia" w:ascii="Times New Roman" w:hAnsi="Times New Roman" w:cs="Times New Roman"/>
                <w:color w:val="auto"/>
                <w:sz w:val="20"/>
                <w:szCs w:val="20"/>
                <w:shd w:val="clear" w:color="auto" w:fill="auto"/>
                <w:lang w:eastAsia="zh-CN"/>
              </w:rPr>
              <w:t>5</w:t>
            </w:r>
            <w:r>
              <w:rPr>
                <w:rFonts w:hint="default" w:ascii="Times New Roman" w:hAnsi="Times New Roman" w:cs="Times New Roman"/>
                <w:color w:val="auto"/>
                <w:sz w:val="20"/>
                <w:szCs w:val="20"/>
                <w:shd w:val="clear" w:color="auto" w:fill="auto"/>
              </w:rPr>
              <w:t>万吨</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集中式</w:t>
            </w:r>
            <w:r>
              <w:rPr>
                <w:rFonts w:hint="default" w:ascii="Times New Roman" w:hAnsi="Times New Roman" w:cs="Times New Roman"/>
                <w:color w:val="auto"/>
                <w:sz w:val="20"/>
                <w:szCs w:val="20"/>
                <w:shd w:val="clear" w:color="auto" w:fill="auto"/>
              </w:rPr>
              <w:t>污水处理厂）</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3</w:t>
            </w:r>
          </w:p>
        </w:tc>
      </w:tr>
      <w:tr>
        <w:trPr>
          <w:trHeight w:val="340" w:hRule="atLeast"/>
          <w:jc w:val="center"/>
        </w:trPr>
        <w:tc>
          <w:tcPr>
            <w:tcW w:w="137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500吨以上1000吨</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（一般排污单位）/</w:t>
            </w:r>
            <w:r>
              <w:rPr>
                <w:rFonts w:hint="eastAsia" w:ascii="Times New Roman" w:hAnsi="Times New Roman" w:cs="Times New Roman"/>
                <w:color w:val="auto"/>
                <w:sz w:val="20"/>
                <w:szCs w:val="20"/>
                <w:shd w:val="clear" w:color="auto" w:fill="auto"/>
                <w:lang w:eastAsia="zh-CN"/>
              </w:rPr>
              <w:t>5</w:t>
            </w:r>
            <w:r>
              <w:rPr>
                <w:rFonts w:hint="default" w:ascii="Times New Roman" w:hAnsi="Times New Roman" w:cs="Times New Roman"/>
                <w:color w:val="auto"/>
                <w:sz w:val="20"/>
                <w:szCs w:val="20"/>
                <w:shd w:val="clear" w:color="auto" w:fill="auto"/>
              </w:rPr>
              <w:t>万吨以上</w:t>
            </w:r>
            <w:r>
              <w:rPr>
                <w:rFonts w:hint="eastAsia" w:ascii="Times New Roman" w:hAnsi="Times New Roman" w:cs="Times New Roman"/>
                <w:color w:val="auto"/>
                <w:sz w:val="20"/>
                <w:szCs w:val="20"/>
                <w:shd w:val="clear" w:color="auto" w:fill="auto"/>
                <w:lang w:eastAsia="zh-CN"/>
              </w:rPr>
              <w:t>1</w:t>
            </w:r>
            <w:r>
              <w:rPr>
                <w:rFonts w:hint="eastAsia" w:ascii="Times New Roman" w:hAnsi="Times New Roman" w:cs="Times New Roman"/>
                <w:color w:val="auto"/>
                <w:sz w:val="20"/>
                <w:szCs w:val="20"/>
                <w:shd w:val="clear" w:color="auto" w:fill="auto"/>
                <w:lang w:val="en-US" w:eastAsia="zh-CN"/>
              </w:rPr>
              <w:t>0</w:t>
            </w:r>
            <w:r>
              <w:rPr>
                <w:rFonts w:hint="default" w:ascii="Times New Roman" w:hAnsi="Times New Roman" w:cs="Times New Roman"/>
                <w:color w:val="auto"/>
                <w:sz w:val="20"/>
                <w:szCs w:val="20"/>
                <w:shd w:val="clear" w:color="auto" w:fill="auto"/>
              </w:rPr>
              <w:t>万吨</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集中式</w:t>
            </w:r>
            <w:r>
              <w:rPr>
                <w:rFonts w:hint="default" w:ascii="Times New Roman" w:hAnsi="Times New Roman" w:cs="Times New Roman"/>
                <w:color w:val="auto"/>
                <w:sz w:val="20"/>
                <w:szCs w:val="20"/>
                <w:shd w:val="clear" w:color="auto" w:fill="auto"/>
              </w:rPr>
              <w:t>污水处理厂）</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4</w:t>
            </w:r>
          </w:p>
        </w:tc>
      </w:tr>
      <w:tr>
        <w:trPr>
          <w:trHeight w:val="340" w:hRule="atLeast"/>
          <w:jc w:val="center"/>
        </w:trPr>
        <w:tc>
          <w:tcPr>
            <w:tcW w:w="137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1000吨以上（一般排污单位）/</w:t>
            </w:r>
            <w:r>
              <w:rPr>
                <w:rFonts w:hint="eastAsia" w:ascii="Times New Roman" w:hAnsi="Times New Roman" w:cs="Times New Roman"/>
                <w:color w:val="auto"/>
                <w:sz w:val="20"/>
                <w:szCs w:val="20"/>
                <w:shd w:val="clear" w:color="auto" w:fill="auto"/>
                <w:lang w:eastAsia="zh-CN"/>
              </w:rPr>
              <w:t>1</w:t>
            </w:r>
            <w:r>
              <w:rPr>
                <w:rFonts w:hint="eastAsia" w:ascii="Times New Roman" w:hAnsi="Times New Roman" w:cs="Times New Roman"/>
                <w:color w:val="auto"/>
                <w:sz w:val="20"/>
                <w:szCs w:val="20"/>
                <w:shd w:val="clear" w:color="auto" w:fill="auto"/>
                <w:lang w:val="en-US" w:eastAsia="zh-CN"/>
              </w:rPr>
              <w:t>0</w:t>
            </w:r>
            <w:r>
              <w:rPr>
                <w:rFonts w:hint="default" w:ascii="Times New Roman" w:hAnsi="Times New Roman" w:cs="Times New Roman"/>
                <w:color w:val="auto"/>
                <w:sz w:val="20"/>
                <w:szCs w:val="20"/>
                <w:shd w:val="clear" w:color="auto" w:fill="auto"/>
              </w:rPr>
              <w:t>万吨以上（</w:t>
            </w:r>
            <w:r>
              <w:rPr>
                <w:rFonts w:hint="eastAsia" w:ascii="Times New Roman" w:hAnsi="Times New Roman" w:cs="Times New Roman"/>
                <w:color w:val="auto"/>
                <w:sz w:val="20"/>
                <w:szCs w:val="20"/>
                <w:shd w:val="clear" w:color="auto" w:fill="auto"/>
                <w:lang w:eastAsia="zh-CN"/>
              </w:rPr>
              <w:t>集中式</w:t>
            </w:r>
            <w:r>
              <w:rPr>
                <w:rFonts w:hint="default" w:ascii="Times New Roman" w:hAnsi="Times New Roman" w:cs="Times New Roman"/>
                <w:color w:val="auto"/>
                <w:sz w:val="20"/>
                <w:szCs w:val="20"/>
                <w:shd w:val="clear" w:color="auto" w:fill="auto"/>
              </w:rPr>
              <w:t>污水处理厂）</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5</w:t>
            </w:r>
          </w:p>
        </w:tc>
      </w:tr>
      <w:tr>
        <w:trPr>
          <w:trHeight w:val="397" w:hRule="atLeast"/>
          <w:jc w:val="center"/>
        </w:trPr>
        <w:tc>
          <w:tcPr>
            <w:tcW w:w="137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管理类别</w:t>
            </w:r>
          </w:p>
        </w:tc>
        <w:tc>
          <w:tcPr>
            <w:tcW w:w="516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登记管理</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简化管理</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重点管理</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7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1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微型企业</w:t>
            </w:r>
          </w:p>
        </w:tc>
        <w:tc>
          <w:tcPr>
            <w:tcW w:w="25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小型企业</w:t>
            </w:r>
          </w:p>
        </w:tc>
        <w:tc>
          <w:tcPr>
            <w:tcW w:w="25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中型企业</w:t>
            </w:r>
          </w:p>
        </w:tc>
        <w:tc>
          <w:tcPr>
            <w:tcW w:w="25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大型企业</w:t>
            </w:r>
          </w:p>
        </w:tc>
        <w:tc>
          <w:tcPr>
            <w:tcW w:w="25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7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6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5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jc w:val="center"/>
        </w:trPr>
        <w:tc>
          <w:tcPr>
            <w:tcW w:w="137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6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5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jc w:val="center"/>
        </w:trPr>
        <w:tc>
          <w:tcPr>
            <w:tcW w:w="137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6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5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jc w:val="center"/>
        </w:trPr>
        <w:tc>
          <w:tcPr>
            <w:tcW w:w="137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6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5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jc w:val="center"/>
        </w:trPr>
        <w:tc>
          <w:tcPr>
            <w:tcW w:w="137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6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5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37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162" w:type="dxa"/>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5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5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5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7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6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5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8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p>
    <w:p>
      <w:pPr>
        <w:widowControl/>
        <w:shd w:val="clear" w:color="auto" w:fill="auto"/>
        <w:snapToGrid w:val="0"/>
        <w:jc w:val="left"/>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895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5014"/>
        <w:gridCol w:w="2593"/>
      </w:tblGrid>
      <w:tr>
        <w:trPr>
          <w:trHeight w:val="578" w:hRule="atLeast"/>
        </w:trPr>
        <w:tc>
          <w:tcPr>
            <w:tcW w:w="8953"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（三）水污染防治类</w:t>
            </w:r>
          </w:p>
        </w:tc>
      </w:tr>
      <w:tr>
        <w:trPr>
          <w:trHeight w:val="397" w:hRule="atLeast"/>
        </w:trPr>
        <w:tc>
          <w:tcPr>
            <w:tcW w:w="13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07"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15" w:name="_Toc27572"/>
            <w:r>
              <w:rPr>
                <w:rFonts w:hint="default" w:ascii="Times New Roman" w:hAnsi="Times New Roman" w:cs="Times New Roman"/>
                <w:color w:val="auto"/>
                <w:sz w:val="20"/>
                <w:szCs w:val="20"/>
                <w:shd w:val="clear" w:color="auto" w:fill="auto"/>
              </w:rPr>
              <w:t>9</w:t>
            </w:r>
            <w:bookmarkEnd w:id="115"/>
          </w:p>
        </w:tc>
      </w:tr>
      <w:tr>
        <w:trPr>
          <w:trHeight w:val="397" w:hRule="atLeast"/>
        </w:trPr>
        <w:tc>
          <w:tcPr>
            <w:tcW w:w="13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07" w:type="dxa"/>
            <w:gridSpan w:val="2"/>
            <w:vAlign w:val="center"/>
          </w:tcPr>
          <w:p>
            <w:pPr>
              <w:shd w:val="clear" w:color="auto" w:fill="auto"/>
              <w:snapToGrid w:val="0"/>
              <w:spacing w:before="0" w:beforeAutospacing="0" w:after="0" w:afterAutospacing="0" w:line="320" w:lineRule="exact"/>
              <w:ind w:left="0" w:right="0" w:firstLine="420" w:firstLineChars="200"/>
              <w:jc w:val="left"/>
              <w:outlineLvl w:val="9"/>
              <w:rPr>
                <w:rFonts w:hint="default" w:ascii="Times New Roman" w:hAnsi="Times New Roman" w:cs="Times New Roman"/>
                <w:color w:val="auto"/>
                <w:sz w:val="20"/>
                <w:szCs w:val="20"/>
                <w:shd w:val="clear" w:color="auto" w:fill="auto"/>
              </w:rPr>
            </w:pPr>
            <w:bookmarkStart w:id="116" w:name="_Toc20130"/>
            <w:r>
              <w:rPr>
                <w:rFonts w:hint="default" w:ascii="Times New Roman" w:hAnsi="Times New Roman" w:cs="Times New Roman"/>
                <w:color w:val="auto"/>
                <w:sz w:val="20"/>
                <w:szCs w:val="20"/>
                <w:shd w:val="clear" w:color="auto" w:fill="auto"/>
              </w:rPr>
              <w:t>未按照规定进行预处理，向污水集中处理设施排放不符合处理工艺要求的工业废水的</w:t>
            </w:r>
            <w:bookmarkEnd w:id="116"/>
          </w:p>
        </w:tc>
      </w:tr>
      <w:tr>
        <w:trPr>
          <w:trHeight w:val="397" w:hRule="atLeast"/>
        </w:trPr>
        <w:tc>
          <w:tcPr>
            <w:tcW w:w="13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07" w:type="dxa"/>
            <w:gridSpan w:val="2"/>
            <w:vAlign w:val="top"/>
          </w:tcPr>
          <w:p>
            <w:pPr>
              <w:pStyle w:val="19"/>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《中华人民共和国水污染防治法》第四十五条第三款</w:t>
            </w:r>
            <w:r>
              <w:rPr>
                <w:rFonts w:hint="default" w:ascii="Times New Roman" w:hAnsi="Times New Roman" w:cs="Times New Roman"/>
                <w:color w:val="auto"/>
                <w:kern w:val="2"/>
                <w:sz w:val="21"/>
                <w:szCs w:val="21"/>
                <w:shd w:val="clear" w:color="auto" w:fill="auto"/>
              </w:rPr>
              <w:t xml:space="preserve"> 向污水集中处理设施排放工业废水的，应当按照国家有关规定进行预处理，达到集中处理设施处理工艺要求后方可排放。</w:t>
            </w:r>
          </w:p>
        </w:tc>
      </w:tr>
      <w:tr>
        <w:trPr>
          <w:trHeight w:val="397" w:hRule="atLeast"/>
        </w:trPr>
        <w:tc>
          <w:tcPr>
            <w:tcW w:w="13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07" w:type="dxa"/>
            <w:gridSpan w:val="2"/>
            <w:vAlign w:val="top"/>
          </w:tcPr>
          <w:p>
            <w:pPr>
              <w:pStyle w:val="18"/>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《中华人民共和国水污染防治法》第八十三条第（四）项</w:t>
            </w:r>
            <w:r>
              <w:rPr>
                <w:rFonts w:hint="default" w:ascii="Times New Roman" w:hAnsi="Times New Roman" w:cs="Times New Roman"/>
                <w:color w:val="auto"/>
                <w:kern w:val="2"/>
                <w:sz w:val="21"/>
                <w:szCs w:val="21"/>
                <w:shd w:val="clear" w:color="auto" w:fill="auto"/>
              </w:rPr>
              <w:t xml:space="preserve"> 违反本法规定，有下列行为之一的，由县级以上人民政府环境保护主管部门责令改正或者责令限制生产、停产整治，并处十万元以上一百万元以下的罚款；情节严重的，报经有批准权的人民政府批准，责令停业、关闭：</w:t>
            </w:r>
          </w:p>
          <w:p>
            <w:pPr>
              <w:pStyle w:val="18"/>
              <w:shd w:val="clear" w:color="auto" w:fill="auto"/>
              <w:snapToGrid w:val="0"/>
              <w:spacing w:before="0" w:beforeAutospacing="0" w:after="0" w:afterAutospacing="0" w:line="320" w:lineRule="exact"/>
              <w:ind w:left="0" w:right="0" w:firstLine="420" w:firstLineChars="20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（四）未按照规定进行预处理，向污水集中处理设施排放不符合处理工艺要求的工业废水的。</w:t>
            </w:r>
          </w:p>
        </w:tc>
      </w:tr>
      <w:tr>
        <w:trPr>
          <w:trHeight w:val="431" w:hRule="atLeast"/>
        </w:trPr>
        <w:tc>
          <w:tcPr>
            <w:tcW w:w="13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31" w:hRule="atLeast"/>
        </w:trPr>
        <w:tc>
          <w:tcPr>
            <w:tcW w:w="134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14"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未按照规定进行预处理</w:t>
            </w:r>
            <w:r>
              <w:rPr>
                <w:rFonts w:hint="default" w:ascii="Times New Roman" w:hAnsi="Times New Roman" w:cs="Times New Roman"/>
                <w:color w:val="auto"/>
                <w:sz w:val="20"/>
                <w:szCs w:val="20"/>
                <w:shd w:val="clear" w:color="auto" w:fill="auto"/>
              </w:rPr>
              <w:t>一般工业废水</w:t>
            </w:r>
          </w:p>
        </w:tc>
        <w:tc>
          <w:tcPr>
            <w:tcW w:w="25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31" w:hRule="atLeast"/>
        </w:trPr>
        <w:tc>
          <w:tcPr>
            <w:tcW w:w="134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未按照规定进行预处理</w:t>
            </w:r>
            <w:r>
              <w:rPr>
                <w:rFonts w:hint="default" w:ascii="Times New Roman" w:hAnsi="Times New Roman" w:cs="Times New Roman"/>
                <w:color w:val="auto"/>
                <w:sz w:val="20"/>
                <w:szCs w:val="20"/>
                <w:shd w:val="clear" w:color="auto" w:fill="auto"/>
              </w:rPr>
              <w:t>含</w:t>
            </w:r>
            <w:r>
              <w:rPr>
                <w:rFonts w:hint="default" w:ascii="Times New Roman" w:hAnsi="Times New Roman" w:cs="Times New Roman"/>
                <w:color w:val="auto"/>
                <w:kern w:val="2"/>
                <w:sz w:val="21"/>
                <w:szCs w:val="21"/>
                <w:shd w:val="clear" w:color="auto" w:fill="auto"/>
              </w:rPr>
              <w:t>其他有毒有害物质、放射性物质的废水</w:t>
            </w:r>
          </w:p>
        </w:tc>
        <w:tc>
          <w:tcPr>
            <w:tcW w:w="25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31" w:hRule="atLeast"/>
        </w:trPr>
        <w:tc>
          <w:tcPr>
            <w:tcW w:w="134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rPr>
              <w:t>未按照规定进行预处理</w:t>
            </w:r>
            <w:r>
              <w:rPr>
                <w:rFonts w:hint="default" w:ascii="Times New Roman" w:hAnsi="Times New Roman" w:cs="Times New Roman"/>
                <w:color w:val="auto"/>
                <w:sz w:val="20"/>
                <w:szCs w:val="20"/>
                <w:shd w:val="clear" w:color="auto" w:fill="auto"/>
              </w:rPr>
              <w:t>含一类污染物或病原体的废水</w:t>
            </w:r>
          </w:p>
        </w:tc>
        <w:tc>
          <w:tcPr>
            <w:tcW w:w="25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31" w:hRule="atLeast"/>
        </w:trPr>
        <w:tc>
          <w:tcPr>
            <w:tcW w:w="134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★排污超标</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状况</w:t>
            </w: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超标0.5倍以下</w:t>
            </w:r>
          </w:p>
        </w:tc>
        <w:tc>
          <w:tcPr>
            <w:tcW w:w="25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31" w:hRule="atLeast"/>
        </w:trPr>
        <w:tc>
          <w:tcPr>
            <w:tcW w:w="134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超标0.5倍以上1倍以下（pH值9-10或pH值5-6）</w:t>
            </w:r>
          </w:p>
        </w:tc>
        <w:tc>
          <w:tcPr>
            <w:tcW w:w="25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31" w:hRule="atLeast"/>
        </w:trPr>
        <w:tc>
          <w:tcPr>
            <w:tcW w:w="134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超标1倍以上2倍以下（pH值10-11或pH值4-5）</w:t>
            </w:r>
          </w:p>
        </w:tc>
        <w:tc>
          <w:tcPr>
            <w:tcW w:w="25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31" w:hRule="atLeast"/>
        </w:trPr>
        <w:tc>
          <w:tcPr>
            <w:tcW w:w="134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超标2倍以上3倍以下（pH值11-12.5或pH值2-4）</w:t>
            </w:r>
          </w:p>
        </w:tc>
        <w:tc>
          <w:tcPr>
            <w:tcW w:w="25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31" w:hRule="atLeast"/>
        </w:trPr>
        <w:tc>
          <w:tcPr>
            <w:tcW w:w="134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超标3倍以上（pH值12.5以上或pH值2以下）</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或引起污水集中处理设施出水超标的</w:t>
            </w:r>
          </w:p>
        </w:tc>
        <w:tc>
          <w:tcPr>
            <w:tcW w:w="25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31" w:hRule="atLeast"/>
        </w:trPr>
        <w:tc>
          <w:tcPr>
            <w:tcW w:w="134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水日排放量</w:t>
            </w: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10吨</w:t>
            </w:r>
            <w:r>
              <w:rPr>
                <w:rFonts w:hint="default" w:ascii="Times New Roman" w:hAnsi="Times New Roman" w:cs="Times New Roman"/>
                <w:color w:val="auto"/>
                <w:sz w:val="20"/>
                <w:szCs w:val="20"/>
                <w:shd w:val="clear" w:color="auto" w:fill="auto"/>
                <w:lang w:eastAsia="zh-CN"/>
              </w:rPr>
              <w:t>以下</w:t>
            </w:r>
          </w:p>
        </w:tc>
        <w:tc>
          <w:tcPr>
            <w:tcW w:w="25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31" w:hRule="atLeast"/>
        </w:trPr>
        <w:tc>
          <w:tcPr>
            <w:tcW w:w="134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10吨以上100吨</w:t>
            </w:r>
            <w:r>
              <w:rPr>
                <w:rFonts w:hint="default" w:ascii="Times New Roman" w:hAnsi="Times New Roman" w:cs="Times New Roman"/>
                <w:color w:val="auto"/>
                <w:sz w:val="20"/>
                <w:szCs w:val="20"/>
                <w:shd w:val="clear" w:color="auto" w:fill="auto"/>
                <w:lang w:eastAsia="zh-CN"/>
              </w:rPr>
              <w:t>以下</w:t>
            </w:r>
          </w:p>
        </w:tc>
        <w:tc>
          <w:tcPr>
            <w:tcW w:w="25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31" w:hRule="atLeast"/>
        </w:trPr>
        <w:tc>
          <w:tcPr>
            <w:tcW w:w="134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100吨以上500吨</w:t>
            </w:r>
            <w:r>
              <w:rPr>
                <w:rFonts w:hint="default" w:ascii="Times New Roman" w:hAnsi="Times New Roman" w:cs="Times New Roman"/>
                <w:color w:val="auto"/>
                <w:sz w:val="20"/>
                <w:szCs w:val="20"/>
                <w:shd w:val="clear" w:color="auto" w:fill="auto"/>
                <w:lang w:eastAsia="zh-CN"/>
              </w:rPr>
              <w:t>以下</w:t>
            </w:r>
          </w:p>
        </w:tc>
        <w:tc>
          <w:tcPr>
            <w:tcW w:w="25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31" w:hRule="atLeast"/>
        </w:trPr>
        <w:tc>
          <w:tcPr>
            <w:tcW w:w="134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500吨以上1000吨</w:t>
            </w:r>
            <w:r>
              <w:rPr>
                <w:rFonts w:hint="default" w:ascii="Times New Roman" w:hAnsi="Times New Roman" w:cs="Times New Roman"/>
                <w:color w:val="auto"/>
                <w:sz w:val="20"/>
                <w:szCs w:val="20"/>
                <w:shd w:val="clear" w:color="auto" w:fill="auto"/>
                <w:lang w:eastAsia="zh-CN"/>
              </w:rPr>
              <w:t>以下</w:t>
            </w:r>
          </w:p>
        </w:tc>
        <w:tc>
          <w:tcPr>
            <w:tcW w:w="25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31" w:hRule="atLeast"/>
        </w:trPr>
        <w:tc>
          <w:tcPr>
            <w:tcW w:w="134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1000吨以上</w:t>
            </w:r>
          </w:p>
        </w:tc>
        <w:tc>
          <w:tcPr>
            <w:tcW w:w="25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31" w:hRule="atLeast"/>
        </w:trPr>
        <w:tc>
          <w:tcPr>
            <w:tcW w:w="134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微型企业</w:t>
            </w:r>
          </w:p>
        </w:tc>
        <w:tc>
          <w:tcPr>
            <w:tcW w:w="25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431" w:hRule="atLeast"/>
        </w:trPr>
        <w:tc>
          <w:tcPr>
            <w:tcW w:w="134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小型企业</w:t>
            </w:r>
          </w:p>
        </w:tc>
        <w:tc>
          <w:tcPr>
            <w:tcW w:w="25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31" w:hRule="atLeast"/>
        </w:trPr>
        <w:tc>
          <w:tcPr>
            <w:tcW w:w="134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中型企业</w:t>
            </w:r>
          </w:p>
        </w:tc>
        <w:tc>
          <w:tcPr>
            <w:tcW w:w="25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31" w:hRule="atLeast"/>
        </w:trPr>
        <w:tc>
          <w:tcPr>
            <w:tcW w:w="134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大型企业</w:t>
            </w:r>
          </w:p>
        </w:tc>
        <w:tc>
          <w:tcPr>
            <w:tcW w:w="25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4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1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5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97" w:hRule="atLeast"/>
        </w:trPr>
        <w:tc>
          <w:tcPr>
            <w:tcW w:w="134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5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34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5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346"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1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59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34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01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59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34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01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59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34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01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59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34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01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59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346"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014"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lang/>
              </w:rPr>
            </w:pPr>
            <w:r>
              <w:rPr>
                <w:rFonts w:hint="eastAsia" w:ascii="Times New Roman" w:hAnsi="Times New Roman" w:cs="Times New Roman"/>
                <w:color w:val="auto"/>
                <w:kern w:val="2"/>
                <w:sz w:val="21"/>
                <w:szCs w:val="21"/>
                <w:shd w:val="clear" w:color="auto" w:fill="auto"/>
                <w:lang w:eastAsia="zh-CN"/>
              </w:rPr>
              <w:t>限期改正</w:t>
            </w:r>
          </w:p>
        </w:tc>
        <w:tc>
          <w:tcPr>
            <w:tcW w:w="25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trPr>
        <w:tc>
          <w:tcPr>
            <w:tcW w:w="134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1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5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4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3天以上7天以下</w:t>
            </w:r>
          </w:p>
        </w:tc>
        <w:tc>
          <w:tcPr>
            <w:tcW w:w="25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97" w:hRule="atLeast"/>
        </w:trPr>
        <w:tc>
          <w:tcPr>
            <w:tcW w:w="134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7天以上</w:t>
            </w:r>
          </w:p>
        </w:tc>
        <w:tc>
          <w:tcPr>
            <w:tcW w:w="25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trPr>
        <w:tc>
          <w:tcPr>
            <w:tcW w:w="134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5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4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5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4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5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4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1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5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4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4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5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4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1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5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83" w:hRule="atLeast"/>
        </w:trPr>
        <w:tc>
          <w:tcPr>
            <w:tcW w:w="13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0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r>
    </w:tbl>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895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5391"/>
        <w:gridCol w:w="2274"/>
      </w:tblGrid>
      <w:tr>
        <w:trPr>
          <w:trHeight w:val="283" w:hRule="atLeast"/>
        </w:trPr>
        <w:tc>
          <w:tcPr>
            <w:tcW w:w="8953"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（三）水污染防治类</w:t>
            </w:r>
          </w:p>
        </w:tc>
      </w:tr>
      <w:tr>
        <w:trPr>
          <w:trHeight w:val="283" w:hRule="atLeast"/>
        </w:trPr>
        <w:tc>
          <w:tcPr>
            <w:tcW w:w="128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65"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17" w:name="_Toc29442"/>
            <w:r>
              <w:rPr>
                <w:rFonts w:hint="default" w:ascii="Times New Roman" w:hAnsi="Times New Roman" w:cs="Times New Roman"/>
                <w:color w:val="auto"/>
                <w:sz w:val="20"/>
                <w:szCs w:val="20"/>
                <w:shd w:val="clear" w:color="auto" w:fill="auto"/>
              </w:rPr>
              <w:t>10</w:t>
            </w:r>
            <w:bookmarkEnd w:id="117"/>
          </w:p>
        </w:tc>
      </w:tr>
      <w:tr>
        <w:trPr>
          <w:trHeight w:val="283" w:hRule="atLeast"/>
        </w:trPr>
        <w:tc>
          <w:tcPr>
            <w:tcW w:w="128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665"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0" w:firstLineChars="200"/>
              <w:jc w:val="left"/>
              <w:outlineLvl w:val="9"/>
              <w:rPr>
                <w:rFonts w:hint="default" w:ascii="Times New Roman" w:hAnsi="Times New Roman" w:cs="Times New Roman"/>
                <w:color w:val="auto"/>
                <w:kern w:val="0"/>
                <w:sz w:val="20"/>
                <w:szCs w:val="20"/>
                <w:shd w:val="clear" w:color="auto" w:fill="auto"/>
              </w:rPr>
            </w:pPr>
            <w:bookmarkStart w:id="118" w:name="_Toc13334"/>
            <w:r>
              <w:rPr>
                <w:rFonts w:hint="default" w:ascii="Times New Roman" w:hAnsi="Times New Roman" w:cs="Times New Roman"/>
                <w:color w:val="auto"/>
                <w:kern w:val="0"/>
                <w:sz w:val="20"/>
                <w:szCs w:val="20"/>
                <w:shd w:val="clear" w:color="auto" w:fill="auto"/>
              </w:rPr>
              <w:t>在非饮用水水源保护区，违反规定设置排污口的</w:t>
            </w:r>
            <w:bookmarkEnd w:id="118"/>
          </w:p>
        </w:tc>
      </w:tr>
      <w:tr>
        <w:trPr>
          <w:trHeight w:val="283" w:hRule="atLeast"/>
        </w:trPr>
        <w:tc>
          <w:tcPr>
            <w:tcW w:w="128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65"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《中华人民共和国水污染防治法》第二十二条 </w:t>
            </w:r>
            <w:r>
              <w:rPr>
                <w:rFonts w:hint="default" w:ascii="Times New Roman" w:hAnsi="Times New Roman" w:cs="Times New Roman"/>
                <w:color w:val="auto"/>
                <w:kern w:val="0"/>
                <w:sz w:val="20"/>
                <w:szCs w:val="20"/>
                <w:shd w:val="clear" w:color="auto" w:fill="auto"/>
              </w:rPr>
              <w:t>向水体排放污染物的企业事业单位和其他生产经营者，应当按照法律、行政法规和国务院环境保护主管部门的规定设置排污口；在江河、湖泊设置排污口的，还应当遵守国务院水行政主管部门的规定。</w:t>
            </w:r>
          </w:p>
        </w:tc>
      </w:tr>
      <w:tr>
        <w:trPr>
          <w:trHeight w:val="283" w:hRule="atLeast"/>
        </w:trPr>
        <w:tc>
          <w:tcPr>
            <w:tcW w:w="128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65" w:type="dxa"/>
            <w:gridSpan w:val="2"/>
            <w:vAlign w:val="center"/>
          </w:tcPr>
          <w:p>
            <w:pPr>
              <w:widowControl/>
              <w:shd w:val="clear" w:color="auto" w:fill="auto"/>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《中华人民共和国水污染防治法》第八十四条第二款 </w:t>
            </w:r>
            <w:r>
              <w:rPr>
                <w:rFonts w:hint="default" w:ascii="Times New Roman" w:hAnsi="Times New Roman" w:cs="Times New Roman"/>
                <w:color w:val="auto"/>
                <w:kern w:val="0"/>
                <w:sz w:val="20"/>
                <w:szCs w:val="20"/>
                <w:shd w:val="clear" w:color="auto" w:fill="auto"/>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tc>
      </w:tr>
      <w:tr>
        <w:trPr>
          <w:trHeight w:val="340" w:hRule="atLeast"/>
        </w:trPr>
        <w:tc>
          <w:tcPr>
            <w:tcW w:w="128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3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28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3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违反规定设置排污口尚未投入使用的</w:t>
            </w:r>
          </w:p>
        </w:tc>
        <w:tc>
          <w:tcPr>
            <w:tcW w:w="2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违反规定设置排污口投入使用1个月以下的</w:t>
            </w:r>
          </w:p>
        </w:tc>
        <w:tc>
          <w:tcPr>
            <w:tcW w:w="2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2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违反规定设置排污口投入使用1个月以上3个月以下的</w:t>
            </w:r>
          </w:p>
        </w:tc>
        <w:tc>
          <w:tcPr>
            <w:tcW w:w="2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违反规定设置排污口投入使用3个月以上6个月以下的</w:t>
            </w:r>
          </w:p>
        </w:tc>
        <w:tc>
          <w:tcPr>
            <w:tcW w:w="2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2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违反规定设置排污口投入使用6个月以上的</w:t>
            </w:r>
          </w:p>
        </w:tc>
        <w:tc>
          <w:tcPr>
            <w:tcW w:w="2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废水类别</w:t>
            </w:r>
          </w:p>
        </w:tc>
        <w:tc>
          <w:tcPr>
            <w:tcW w:w="53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生活废水</w:t>
            </w:r>
            <w:r>
              <w:rPr>
                <w:rFonts w:hint="eastAsia" w:ascii="Times New Roman" w:hAnsi="Times New Roman" w:cs="Times New Roman"/>
                <w:color w:val="auto"/>
                <w:sz w:val="20"/>
                <w:szCs w:val="20"/>
                <w:shd w:val="clear" w:color="auto" w:fill="auto"/>
                <w:lang w:val="en-US" w:eastAsia="zh-CN"/>
              </w:rPr>
              <w:t>/规模以下畜禽养殖废水</w:t>
            </w:r>
          </w:p>
        </w:tc>
        <w:tc>
          <w:tcPr>
            <w:tcW w:w="2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服务业废水</w:t>
            </w:r>
            <w:r>
              <w:rPr>
                <w:rFonts w:hint="eastAsia" w:ascii="Times New Roman" w:hAnsi="Times New Roman" w:cs="Times New Roman"/>
                <w:color w:val="auto"/>
                <w:sz w:val="20"/>
                <w:szCs w:val="20"/>
                <w:shd w:val="clear" w:color="auto" w:fill="auto"/>
                <w:lang w:val="en-US" w:eastAsia="zh-CN"/>
              </w:rPr>
              <w:t>/规模化畜禽养殖废水</w:t>
            </w:r>
          </w:p>
        </w:tc>
        <w:tc>
          <w:tcPr>
            <w:tcW w:w="2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2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一般工业废水</w:t>
            </w:r>
          </w:p>
        </w:tc>
        <w:tc>
          <w:tcPr>
            <w:tcW w:w="2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含其他有毒有害物质的废水、医疗废水</w:t>
            </w:r>
          </w:p>
        </w:tc>
        <w:tc>
          <w:tcPr>
            <w:tcW w:w="2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2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含一类污染物或重金属、病原体、放射性物质的废水</w:t>
            </w:r>
          </w:p>
        </w:tc>
        <w:tc>
          <w:tcPr>
            <w:tcW w:w="2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污水排放量</w:t>
            </w:r>
          </w:p>
        </w:tc>
        <w:tc>
          <w:tcPr>
            <w:tcW w:w="53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10吨</w:t>
            </w:r>
            <w:r>
              <w:rPr>
                <w:rFonts w:hint="default" w:ascii="Times New Roman" w:hAnsi="Times New Roman" w:cs="Times New Roman"/>
                <w:color w:val="auto"/>
                <w:sz w:val="20"/>
                <w:szCs w:val="20"/>
                <w:shd w:val="clear" w:color="auto" w:fill="auto"/>
                <w:lang w:eastAsia="zh-CN"/>
              </w:rPr>
              <w:t>以下</w:t>
            </w:r>
          </w:p>
        </w:tc>
        <w:tc>
          <w:tcPr>
            <w:tcW w:w="2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397" w:hRule="atLeast"/>
        </w:trPr>
        <w:tc>
          <w:tcPr>
            <w:tcW w:w="12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10吨以上100吨</w:t>
            </w:r>
            <w:r>
              <w:rPr>
                <w:rFonts w:hint="default" w:ascii="Times New Roman" w:hAnsi="Times New Roman" w:cs="Times New Roman"/>
                <w:color w:val="auto"/>
                <w:sz w:val="20"/>
                <w:szCs w:val="20"/>
                <w:shd w:val="clear" w:color="auto" w:fill="auto"/>
                <w:lang w:eastAsia="zh-CN"/>
              </w:rPr>
              <w:t>以下</w:t>
            </w:r>
          </w:p>
        </w:tc>
        <w:tc>
          <w:tcPr>
            <w:tcW w:w="2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2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100吨以上500吨</w:t>
            </w:r>
            <w:r>
              <w:rPr>
                <w:rFonts w:hint="default" w:ascii="Times New Roman" w:hAnsi="Times New Roman" w:cs="Times New Roman"/>
                <w:color w:val="auto"/>
                <w:sz w:val="20"/>
                <w:szCs w:val="20"/>
                <w:shd w:val="clear" w:color="auto" w:fill="auto"/>
                <w:lang w:eastAsia="zh-CN"/>
              </w:rPr>
              <w:t>以下</w:t>
            </w:r>
          </w:p>
        </w:tc>
        <w:tc>
          <w:tcPr>
            <w:tcW w:w="2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2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500吨以上1000吨</w:t>
            </w:r>
            <w:r>
              <w:rPr>
                <w:rFonts w:hint="default" w:ascii="Times New Roman" w:hAnsi="Times New Roman" w:cs="Times New Roman"/>
                <w:color w:val="auto"/>
                <w:sz w:val="20"/>
                <w:szCs w:val="20"/>
                <w:shd w:val="clear" w:color="auto" w:fill="auto"/>
                <w:lang w:eastAsia="zh-CN"/>
              </w:rPr>
              <w:t>以下</w:t>
            </w:r>
          </w:p>
        </w:tc>
        <w:tc>
          <w:tcPr>
            <w:tcW w:w="2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2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1000吨以上</w:t>
            </w:r>
          </w:p>
        </w:tc>
        <w:tc>
          <w:tcPr>
            <w:tcW w:w="2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5</w:t>
            </w:r>
          </w:p>
        </w:tc>
      </w:tr>
      <w:tr>
        <w:trPr>
          <w:trHeight w:val="397" w:hRule="atLeast"/>
        </w:trPr>
        <w:tc>
          <w:tcPr>
            <w:tcW w:w="128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rPr>
              <w:t>企业规模</w:t>
            </w:r>
          </w:p>
        </w:tc>
        <w:tc>
          <w:tcPr>
            <w:tcW w:w="53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微型企业</w:t>
            </w:r>
          </w:p>
        </w:tc>
        <w:tc>
          <w:tcPr>
            <w:tcW w:w="2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3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小型企业</w:t>
            </w:r>
          </w:p>
        </w:tc>
        <w:tc>
          <w:tcPr>
            <w:tcW w:w="2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2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3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中型企业</w:t>
            </w:r>
          </w:p>
        </w:tc>
        <w:tc>
          <w:tcPr>
            <w:tcW w:w="2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3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大型企业</w:t>
            </w:r>
          </w:p>
        </w:tc>
        <w:tc>
          <w:tcPr>
            <w:tcW w:w="2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28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3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27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97" w:hRule="atLeast"/>
        </w:trPr>
        <w:tc>
          <w:tcPr>
            <w:tcW w:w="12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3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27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2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3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27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28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391"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lang/>
              </w:rPr>
            </w:pPr>
            <w:r>
              <w:rPr>
                <w:rFonts w:hint="eastAsia" w:ascii="Times New Roman" w:hAnsi="Times New Roman" w:cs="Times New Roman"/>
                <w:color w:val="auto"/>
                <w:kern w:val="2"/>
                <w:sz w:val="21"/>
                <w:szCs w:val="21"/>
                <w:shd w:val="clear" w:color="auto" w:fill="auto"/>
                <w:lang w:eastAsia="zh-CN"/>
              </w:rPr>
              <w:t>限期改正</w:t>
            </w:r>
          </w:p>
        </w:tc>
        <w:tc>
          <w:tcPr>
            <w:tcW w:w="227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trPr>
        <w:tc>
          <w:tcPr>
            <w:tcW w:w="128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3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27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3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3天以上7天以下</w:t>
            </w:r>
          </w:p>
        </w:tc>
        <w:tc>
          <w:tcPr>
            <w:tcW w:w="227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97" w:hRule="atLeast"/>
        </w:trPr>
        <w:tc>
          <w:tcPr>
            <w:tcW w:w="128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3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7天以上</w:t>
            </w:r>
          </w:p>
        </w:tc>
        <w:tc>
          <w:tcPr>
            <w:tcW w:w="227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trPr>
        <w:tc>
          <w:tcPr>
            <w:tcW w:w="128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color w:val="auto"/>
                <w:sz w:val="21"/>
                <w:szCs w:val="20"/>
                <w:shd w:val="clear" w:color="auto" w:fill="auto"/>
              </w:rPr>
              <w:t>受处罚次数</w:t>
            </w:r>
          </w:p>
        </w:tc>
        <w:tc>
          <w:tcPr>
            <w:tcW w:w="53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0"/>
                <w:shd w:val="clear" w:color="auto" w:fill="auto"/>
              </w:rPr>
              <w:t>两年内未受到过同类处罚</w:t>
            </w:r>
          </w:p>
        </w:tc>
        <w:tc>
          <w:tcPr>
            <w:tcW w:w="2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0"/>
                <w:shd w:val="clear" w:color="auto" w:fill="auto"/>
              </w:rPr>
              <w:t>1</w:t>
            </w:r>
          </w:p>
        </w:tc>
      </w:tr>
      <w:tr>
        <w:trPr>
          <w:trHeight w:val="397" w:hRule="atLeast"/>
        </w:trPr>
        <w:tc>
          <w:tcPr>
            <w:tcW w:w="12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0"/>
                <w:shd w:val="clear" w:color="auto" w:fill="auto"/>
              </w:rPr>
              <w:t>两年内受到同类处罚1次</w:t>
            </w:r>
          </w:p>
        </w:tc>
        <w:tc>
          <w:tcPr>
            <w:tcW w:w="2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0"/>
                <w:shd w:val="clear" w:color="auto" w:fill="auto"/>
              </w:rPr>
              <w:t>3</w:t>
            </w:r>
          </w:p>
        </w:tc>
      </w:tr>
      <w:tr>
        <w:trPr>
          <w:trHeight w:val="397" w:hRule="atLeast"/>
        </w:trPr>
        <w:tc>
          <w:tcPr>
            <w:tcW w:w="12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0"/>
                <w:shd w:val="clear" w:color="auto" w:fill="auto"/>
              </w:rPr>
              <w:t>两年内受到同类处罚2次以上</w:t>
            </w:r>
          </w:p>
        </w:tc>
        <w:tc>
          <w:tcPr>
            <w:tcW w:w="2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0"/>
                <w:shd w:val="clear" w:color="auto" w:fill="auto"/>
              </w:rPr>
              <w:t>5</w:t>
            </w:r>
          </w:p>
        </w:tc>
      </w:tr>
      <w:tr>
        <w:trPr>
          <w:trHeight w:val="397" w:hRule="atLeast"/>
        </w:trPr>
        <w:tc>
          <w:tcPr>
            <w:tcW w:w="128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3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27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27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27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2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27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83" w:hRule="atLeast"/>
        </w:trPr>
        <w:tc>
          <w:tcPr>
            <w:tcW w:w="128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65" w:type="dxa"/>
            <w:gridSpan w:val="2"/>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1.第一次处罚适用裁量计算公式裁定罚款金额时，法定处罚金额上限M=10万元的罚款，法定处罚金额下限N=2万元的罚款。裁量因素不包含超过限期拆除时间。</w:t>
            </w:r>
          </w:p>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2.逾期不改正的处罚适用裁量计算公式裁定罚款金额时，法定处罚金额上限M=50万元的罚款，法定处罚金额下限N=10万元的罚款。</w:t>
            </w:r>
          </w:p>
        </w:tc>
      </w:tr>
    </w:tbl>
    <w:p>
      <w:pPr>
        <w:widowControl/>
        <w:shd w:val="clear" w:color="auto" w:fill="auto"/>
        <w:snapToGrid w:val="0"/>
        <w:ind w:firstLine="640" w:firstLineChars="200"/>
        <w:jc w:val="left"/>
        <w:rPr>
          <w:rFonts w:hint="default" w:ascii="Times New Roman" w:hAnsi="Times New Roman" w:eastAsia="FangSong_GB2312" w:cs="Times New Roman"/>
          <w:color w:val="auto"/>
          <w:sz w:val="32"/>
          <w:szCs w:val="32"/>
          <w:shd w:val="clear" w:color="auto" w:fill="auto"/>
        </w:rPr>
      </w:pPr>
    </w:p>
    <w:p>
      <w:pPr>
        <w:widowControl/>
        <w:shd w:val="clear" w:color="auto" w:fill="auto"/>
        <w:snapToGrid w:val="0"/>
        <w:ind w:firstLine="640" w:firstLineChars="200"/>
        <w:jc w:val="left"/>
        <w:rPr>
          <w:rFonts w:hint="default" w:ascii="Times New Roman" w:hAnsi="Times New Roman" w:eastAsia="FangSong_GB2312" w:cs="Times New Roman"/>
          <w:color w:val="auto"/>
          <w:sz w:val="32"/>
          <w:szCs w:val="32"/>
          <w:shd w:val="clear" w:color="auto" w:fill="auto"/>
        </w:rPr>
      </w:pPr>
    </w:p>
    <w:p>
      <w:pPr>
        <w:widowControl/>
        <w:shd w:val="clear" w:color="auto" w:fill="auto"/>
        <w:snapToGrid w:val="0"/>
        <w:ind w:firstLine="640" w:firstLineChars="200"/>
        <w:jc w:val="left"/>
        <w:rPr>
          <w:rFonts w:hint="default" w:ascii="Times New Roman" w:hAnsi="Times New Roman" w:eastAsia="FangSong_GB2312" w:cs="Times New Roman"/>
          <w:color w:val="auto"/>
          <w:sz w:val="32"/>
          <w:szCs w:val="32"/>
          <w:shd w:val="clear" w:color="auto" w:fill="auto"/>
        </w:rPr>
      </w:pPr>
    </w:p>
    <w:p>
      <w:pPr>
        <w:widowControl/>
        <w:shd w:val="clear" w:color="auto" w:fill="auto"/>
        <w:snapToGrid w:val="0"/>
        <w:ind w:firstLine="640" w:firstLineChars="200"/>
        <w:jc w:val="left"/>
        <w:rPr>
          <w:rFonts w:hint="default" w:ascii="Times New Roman" w:hAnsi="Times New Roman" w:eastAsia="FangSong_GB2312" w:cs="Times New Roman"/>
          <w:color w:val="auto"/>
          <w:sz w:val="32"/>
          <w:szCs w:val="32"/>
          <w:shd w:val="clear" w:color="auto" w:fill="auto"/>
        </w:rPr>
      </w:pPr>
    </w:p>
    <w:p>
      <w:pPr>
        <w:widowControl/>
        <w:shd w:val="clear" w:color="auto" w:fill="auto"/>
        <w:snapToGrid w:val="0"/>
        <w:ind w:firstLine="640" w:firstLineChars="200"/>
        <w:jc w:val="left"/>
        <w:rPr>
          <w:rFonts w:hint="default" w:ascii="Times New Roman" w:hAnsi="Times New Roman" w:eastAsia="FangSong_GB2312" w:cs="Times New Roman"/>
          <w:color w:val="auto"/>
          <w:sz w:val="10"/>
          <w:szCs w:val="10"/>
          <w:shd w:val="clear" w:color="auto" w:fill="auto"/>
        </w:rPr>
      </w:pPr>
      <w:r>
        <w:rPr>
          <w:rFonts w:hint="default" w:ascii="Times New Roman" w:hAnsi="Times New Roman" w:eastAsia="FangSong_GB2312" w:cs="Times New Roman"/>
          <w:color w:val="auto"/>
          <w:sz w:val="32"/>
          <w:szCs w:val="32"/>
          <w:shd w:val="clear" w:color="auto" w:fill="auto"/>
        </w:rPr>
        <w:br w:type="page"/>
      </w:r>
    </w:p>
    <w:tbl>
      <w:tblPr>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5689"/>
        <w:gridCol w:w="2010"/>
      </w:tblGrid>
      <w:tr>
        <w:trPr>
          <w:trHeight w:val="397" w:hRule="atLeast"/>
          <w:jc w:val="center"/>
        </w:trPr>
        <w:tc>
          <w:tcPr>
            <w:tcW w:w="8986"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（三）水污染防治类</w:t>
            </w:r>
          </w:p>
        </w:tc>
      </w:tr>
      <w:tr>
        <w:trPr>
          <w:trHeight w:val="397" w:hRule="atLeast"/>
          <w:jc w:val="center"/>
        </w:trPr>
        <w:tc>
          <w:tcPr>
            <w:tcW w:w="1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9"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19" w:name="_Toc25905"/>
            <w:r>
              <w:rPr>
                <w:rFonts w:hint="default" w:ascii="Times New Roman" w:hAnsi="Times New Roman" w:cs="Times New Roman"/>
                <w:color w:val="auto"/>
                <w:sz w:val="20"/>
                <w:szCs w:val="20"/>
                <w:shd w:val="clear" w:color="auto" w:fill="auto"/>
              </w:rPr>
              <w:t>11</w:t>
            </w:r>
            <w:bookmarkEnd w:id="119"/>
          </w:p>
        </w:tc>
      </w:tr>
      <w:tr>
        <w:trPr>
          <w:trHeight w:val="397" w:hRule="atLeast"/>
          <w:jc w:val="center"/>
        </w:trPr>
        <w:tc>
          <w:tcPr>
            <w:tcW w:w="1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699"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outlineLvl w:val="9"/>
              <w:rPr>
                <w:rFonts w:hint="default" w:ascii="Times New Roman" w:hAnsi="Times New Roman" w:cs="Times New Roman"/>
                <w:color w:val="auto"/>
                <w:kern w:val="0"/>
                <w:sz w:val="20"/>
                <w:szCs w:val="20"/>
                <w:shd w:val="clear" w:color="auto" w:fill="auto"/>
              </w:rPr>
            </w:pPr>
            <w:bookmarkStart w:id="120" w:name="_Toc14348"/>
            <w:r>
              <w:rPr>
                <w:rFonts w:hint="default" w:ascii="Times New Roman" w:hAnsi="Times New Roman" w:cs="Times New Roman"/>
                <w:color w:val="auto"/>
                <w:kern w:val="0"/>
                <w:sz w:val="20"/>
                <w:szCs w:val="20"/>
                <w:shd w:val="clear" w:color="auto" w:fill="auto"/>
              </w:rPr>
              <w:t>向水体排放油类、酸液、碱液的</w:t>
            </w:r>
            <w:bookmarkEnd w:id="120"/>
          </w:p>
        </w:tc>
      </w:tr>
      <w:tr>
        <w:trPr>
          <w:trHeight w:val="750" w:hRule="atLeast"/>
          <w:jc w:val="center"/>
        </w:trPr>
        <w:tc>
          <w:tcPr>
            <w:tcW w:w="1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9"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《中华人民共和国水污染防治法》第三十三条第一款</w:t>
            </w:r>
            <w:r>
              <w:rPr>
                <w:rFonts w:hint="default" w:ascii="Times New Roman" w:hAnsi="Times New Roman" w:cs="Times New Roman"/>
                <w:color w:val="auto"/>
                <w:kern w:val="0"/>
                <w:sz w:val="20"/>
                <w:szCs w:val="20"/>
                <w:shd w:val="clear" w:color="auto" w:fill="auto"/>
              </w:rPr>
              <w:t xml:space="preserve"> 禁止向水体排放油类、酸液、碱液或者剧毒废液。</w:t>
            </w:r>
          </w:p>
        </w:tc>
      </w:tr>
      <w:tr>
        <w:trPr>
          <w:trHeight w:val="2930" w:hRule="atLeast"/>
          <w:jc w:val="center"/>
        </w:trPr>
        <w:tc>
          <w:tcPr>
            <w:tcW w:w="1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9" w:type="dxa"/>
            <w:gridSpan w:val="2"/>
            <w:vAlign w:val="center"/>
          </w:tcPr>
          <w:p>
            <w:pPr>
              <w:widowControl/>
              <w:shd w:val="clear" w:color="auto" w:fill="auto"/>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《中华人民共和国水污染防治法》第八十五条第一款第（一）项、第二款 </w:t>
            </w:r>
            <w:r>
              <w:rPr>
                <w:rFonts w:hint="default" w:ascii="Times New Roman" w:hAnsi="Times New Roman" w:cs="Times New Roman"/>
                <w:color w:val="auto"/>
                <w:kern w:val="0"/>
                <w:sz w:val="20"/>
                <w:szCs w:val="20"/>
                <w:shd w:val="clear" w:color="auto" w:fill="auto"/>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widowControl/>
              <w:shd w:val="clear" w:color="auto" w:fill="auto"/>
              <w:snapToGrid w:val="0"/>
              <w:spacing w:before="0" w:beforeAutospacing="0" w:after="0" w:afterAutospacing="0" w:line="320" w:lineRule="exact"/>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（一）向水体排放油类、酸液、碱液的。</w:t>
            </w:r>
          </w:p>
          <w:p>
            <w:pPr>
              <w:widowControl/>
              <w:shd w:val="clear" w:color="auto" w:fill="auto"/>
              <w:snapToGrid w:val="0"/>
              <w:spacing w:before="0" w:beforeAutospacing="0" w:after="0" w:afterAutospacing="0" w:line="320" w:lineRule="exact"/>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rPr>
          <w:trHeight w:val="369" w:hRule="atLeast"/>
          <w:jc w:val="center"/>
        </w:trPr>
        <w:tc>
          <w:tcPr>
            <w:tcW w:w="1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0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jc w:val="center"/>
        </w:trPr>
        <w:tc>
          <w:tcPr>
            <w:tcW w:w="128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类别</w:t>
            </w:r>
          </w:p>
        </w:tc>
        <w:tc>
          <w:tcPr>
            <w:tcW w:w="5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pH值9-11碱液或pH值4-6酸液</w:t>
            </w:r>
          </w:p>
        </w:tc>
        <w:tc>
          <w:tcPr>
            <w:tcW w:w="20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8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pH值11-12.5碱液或pH值2-4酸液，一般油类</w:t>
            </w:r>
          </w:p>
        </w:tc>
        <w:tc>
          <w:tcPr>
            <w:tcW w:w="20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28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pH值12.5以上碱液或pH值2以下酸液，含重金属或有毒有害物质油类</w:t>
            </w:r>
          </w:p>
        </w:tc>
        <w:tc>
          <w:tcPr>
            <w:tcW w:w="20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8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排放量</w:t>
            </w:r>
          </w:p>
        </w:tc>
        <w:tc>
          <w:tcPr>
            <w:tcW w:w="5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0.5吨以下</w:t>
            </w:r>
          </w:p>
        </w:tc>
        <w:tc>
          <w:tcPr>
            <w:tcW w:w="20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8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0.5吨以上1吨以上</w:t>
            </w:r>
          </w:p>
        </w:tc>
        <w:tc>
          <w:tcPr>
            <w:tcW w:w="20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28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1吨以上2吨以下</w:t>
            </w:r>
          </w:p>
        </w:tc>
        <w:tc>
          <w:tcPr>
            <w:tcW w:w="20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8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2吨以上3吨以下</w:t>
            </w:r>
          </w:p>
        </w:tc>
        <w:tc>
          <w:tcPr>
            <w:tcW w:w="20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28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3吨以上</w:t>
            </w:r>
          </w:p>
        </w:tc>
        <w:tc>
          <w:tcPr>
            <w:tcW w:w="20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8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color w:val="auto"/>
                <w:sz w:val="21"/>
                <w:szCs w:val="20"/>
                <w:shd w:val="clear" w:color="auto" w:fill="auto"/>
              </w:rPr>
              <w:t>区域影响</w:t>
            </w:r>
          </w:p>
        </w:tc>
        <w:tc>
          <w:tcPr>
            <w:tcW w:w="5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0"/>
                <w:shd w:val="clear" w:color="auto" w:fill="auto"/>
              </w:rPr>
              <w:t>县级行政区域内</w:t>
            </w:r>
          </w:p>
        </w:tc>
        <w:tc>
          <w:tcPr>
            <w:tcW w:w="20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1"/>
                <w:szCs w:val="20"/>
                <w:shd w:val="clear" w:color="auto" w:fill="auto"/>
              </w:rPr>
              <w:t>1</w:t>
            </w:r>
          </w:p>
        </w:tc>
      </w:tr>
      <w:tr>
        <w:trPr>
          <w:trHeight w:val="397" w:hRule="atLeast"/>
          <w:jc w:val="center"/>
        </w:trPr>
        <w:tc>
          <w:tcPr>
            <w:tcW w:w="128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0"/>
                <w:shd w:val="clear" w:color="auto" w:fill="auto"/>
              </w:rPr>
              <w:t>跨县级行政区域</w:t>
            </w:r>
          </w:p>
        </w:tc>
        <w:tc>
          <w:tcPr>
            <w:tcW w:w="20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1"/>
                <w:szCs w:val="20"/>
                <w:shd w:val="clear" w:color="auto" w:fill="auto"/>
              </w:rPr>
              <w:t>3</w:t>
            </w:r>
          </w:p>
        </w:tc>
      </w:tr>
      <w:tr>
        <w:trPr>
          <w:trHeight w:val="397" w:hRule="atLeast"/>
          <w:jc w:val="center"/>
        </w:trPr>
        <w:tc>
          <w:tcPr>
            <w:tcW w:w="128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0"/>
                <w:shd w:val="clear" w:color="auto" w:fill="auto"/>
              </w:rPr>
              <w:t>跨市级行政区域</w:t>
            </w:r>
          </w:p>
        </w:tc>
        <w:tc>
          <w:tcPr>
            <w:tcW w:w="20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1"/>
                <w:szCs w:val="20"/>
                <w:shd w:val="clear" w:color="auto" w:fill="auto"/>
              </w:rPr>
              <w:t>4</w:t>
            </w:r>
          </w:p>
        </w:tc>
      </w:tr>
      <w:tr>
        <w:trPr>
          <w:trHeight w:val="397" w:hRule="atLeast"/>
          <w:jc w:val="center"/>
        </w:trPr>
        <w:tc>
          <w:tcPr>
            <w:tcW w:w="128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0"/>
                <w:shd w:val="clear" w:color="auto" w:fill="auto"/>
              </w:rPr>
              <w:t>跨省级行政区域</w:t>
            </w:r>
          </w:p>
        </w:tc>
        <w:tc>
          <w:tcPr>
            <w:tcW w:w="20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1"/>
                <w:szCs w:val="20"/>
                <w:shd w:val="clear" w:color="auto" w:fill="auto"/>
              </w:rPr>
              <w:t>5</w:t>
            </w:r>
          </w:p>
        </w:tc>
      </w:tr>
      <w:tr>
        <w:trPr>
          <w:trHeight w:val="397" w:hRule="atLeast"/>
          <w:jc w:val="center"/>
        </w:trPr>
        <w:tc>
          <w:tcPr>
            <w:tcW w:w="128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微型企业</w:t>
            </w:r>
          </w:p>
        </w:tc>
        <w:tc>
          <w:tcPr>
            <w:tcW w:w="20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28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小型企业</w:t>
            </w:r>
          </w:p>
        </w:tc>
        <w:tc>
          <w:tcPr>
            <w:tcW w:w="20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28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中型企业</w:t>
            </w:r>
          </w:p>
        </w:tc>
        <w:tc>
          <w:tcPr>
            <w:tcW w:w="20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28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大型企业</w:t>
            </w:r>
          </w:p>
        </w:tc>
        <w:tc>
          <w:tcPr>
            <w:tcW w:w="20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28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6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0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28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0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28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0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287"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68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0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jc w:val="center"/>
        </w:trPr>
        <w:tc>
          <w:tcPr>
            <w:tcW w:w="128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68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0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jc w:val="center"/>
        </w:trPr>
        <w:tc>
          <w:tcPr>
            <w:tcW w:w="128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68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0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jc w:val="center"/>
        </w:trPr>
        <w:tc>
          <w:tcPr>
            <w:tcW w:w="128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68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0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jc w:val="center"/>
        </w:trPr>
        <w:tc>
          <w:tcPr>
            <w:tcW w:w="128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68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0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69" w:hRule="atLeast"/>
          <w:jc w:val="center"/>
        </w:trPr>
        <w:tc>
          <w:tcPr>
            <w:tcW w:w="1287"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689"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lang/>
              </w:rPr>
            </w:pPr>
            <w:r>
              <w:rPr>
                <w:rFonts w:hint="eastAsia" w:ascii="Times New Roman" w:hAnsi="Times New Roman" w:cs="Times New Roman"/>
                <w:color w:val="auto"/>
                <w:kern w:val="2"/>
                <w:sz w:val="21"/>
                <w:szCs w:val="21"/>
                <w:shd w:val="clear" w:color="auto" w:fill="auto"/>
                <w:lang w:eastAsia="zh-CN"/>
              </w:rPr>
              <w:t>限期改正</w:t>
            </w:r>
          </w:p>
        </w:tc>
        <w:tc>
          <w:tcPr>
            <w:tcW w:w="20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69" w:hRule="atLeast"/>
          <w:jc w:val="center"/>
        </w:trPr>
        <w:tc>
          <w:tcPr>
            <w:tcW w:w="128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6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0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28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6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3天以上7天以下</w:t>
            </w:r>
          </w:p>
        </w:tc>
        <w:tc>
          <w:tcPr>
            <w:tcW w:w="20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69" w:hRule="atLeast"/>
          <w:jc w:val="center"/>
        </w:trPr>
        <w:tc>
          <w:tcPr>
            <w:tcW w:w="128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6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7天以上</w:t>
            </w:r>
          </w:p>
        </w:tc>
        <w:tc>
          <w:tcPr>
            <w:tcW w:w="20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69" w:hRule="atLeast"/>
          <w:jc w:val="center"/>
        </w:trPr>
        <w:tc>
          <w:tcPr>
            <w:tcW w:w="128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次数</w:t>
            </w:r>
          </w:p>
        </w:tc>
        <w:tc>
          <w:tcPr>
            <w:tcW w:w="5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0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8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0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28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0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28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6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0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8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0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28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0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28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0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9"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eastAsia="FangSong_GB2312" w:cs="Times New Roman"/>
          <w:b/>
          <w:bCs/>
          <w:color w:val="auto"/>
          <w:sz w:val="32"/>
          <w:szCs w:val="32"/>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r>
        <w:rPr>
          <w:rFonts w:hint="default" w:ascii="Times New Roman" w:hAnsi="Times New Roman" w:eastAsia="FangSong_GB2312" w:cs="Times New Roman"/>
          <w:b/>
          <w:bCs/>
          <w:color w:val="auto"/>
          <w:sz w:val="10"/>
          <w:szCs w:val="10"/>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6"/>
        <w:gridCol w:w="2646"/>
      </w:tblGrid>
      <w:tr>
        <w:trPr>
          <w:trHeight w:val="425"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bookmarkStart w:id="121" w:name="OLE_LINK17"/>
            <w:bookmarkStart w:id="122" w:name="OLE_LINK16"/>
            <w:bookmarkStart w:id="123" w:name="OLE_LINK18"/>
            <w:r>
              <w:rPr>
                <w:rFonts w:hint="default" w:ascii="Times New Roman" w:hAnsi="Times New Roman" w:cs="Times New Roman"/>
                <w:b/>
                <w:bCs/>
                <w:color w:val="auto"/>
                <w:sz w:val="20"/>
                <w:szCs w:val="20"/>
                <w:shd w:val="clear" w:color="auto" w:fill="auto"/>
              </w:rPr>
              <w:t>（三）水污染防治类</w:t>
            </w:r>
          </w:p>
        </w:tc>
      </w:tr>
      <w:tr>
        <w:trPr>
          <w:trHeight w:val="425"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24" w:name="_Toc873"/>
            <w:r>
              <w:rPr>
                <w:rFonts w:hint="default" w:ascii="Times New Roman" w:hAnsi="Times New Roman" w:cs="Times New Roman"/>
                <w:color w:val="auto"/>
                <w:sz w:val="20"/>
                <w:szCs w:val="20"/>
                <w:shd w:val="clear" w:color="auto" w:fill="auto"/>
              </w:rPr>
              <w:t>12</w:t>
            </w:r>
            <w:bookmarkEnd w:id="124"/>
          </w:p>
        </w:tc>
      </w:tr>
      <w:tr>
        <w:trPr>
          <w:trHeight w:val="425"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69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0" w:firstLineChars="200"/>
              <w:outlineLvl w:val="9"/>
              <w:rPr>
                <w:rFonts w:hint="default" w:ascii="Times New Roman" w:hAnsi="Times New Roman" w:cs="Times New Roman"/>
                <w:color w:val="auto"/>
                <w:kern w:val="0"/>
                <w:sz w:val="20"/>
                <w:szCs w:val="20"/>
                <w:shd w:val="clear" w:color="auto" w:fill="auto"/>
              </w:rPr>
            </w:pPr>
            <w:bookmarkStart w:id="125" w:name="_Toc12852"/>
            <w:r>
              <w:rPr>
                <w:rFonts w:hint="default" w:ascii="Times New Roman" w:hAnsi="Times New Roman" w:cs="Times New Roman"/>
                <w:color w:val="auto"/>
                <w:kern w:val="0"/>
                <w:sz w:val="20"/>
                <w:szCs w:val="20"/>
                <w:shd w:val="clear" w:color="auto" w:fill="auto"/>
              </w:rPr>
              <w:t>向水体排放剧毒废液，或者将含有汞、镉、砷、铬、铅、氰化物、黄磷等的可溶性剧毒废渣向水体排放、倾倒或者直接埋入地下的</w:t>
            </w:r>
            <w:bookmarkEnd w:id="125"/>
          </w:p>
        </w:tc>
      </w:tr>
      <w:tr>
        <w:trPr>
          <w:trHeight w:val="425"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《中华人民共和国水污染防治法》第三十三条第一款</w:t>
            </w:r>
            <w:r>
              <w:rPr>
                <w:rFonts w:hint="default" w:ascii="Times New Roman" w:hAnsi="Times New Roman" w:cs="Times New Roman"/>
                <w:color w:val="auto"/>
                <w:kern w:val="0"/>
                <w:sz w:val="20"/>
                <w:szCs w:val="20"/>
                <w:shd w:val="clear" w:color="auto" w:fill="auto"/>
              </w:rPr>
              <w:t xml:space="preserve"> 禁止向水体排放油类、酸液、碱液或者剧毒废液。</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2" w:firstLineChars="200"/>
              <w:jc w:val="left"/>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第三十七条第二款 </w:t>
            </w:r>
            <w:r>
              <w:rPr>
                <w:rFonts w:hint="default" w:ascii="Times New Roman" w:hAnsi="Times New Roman" w:cs="Times New Roman"/>
                <w:color w:val="auto"/>
                <w:kern w:val="0"/>
                <w:sz w:val="20"/>
                <w:szCs w:val="20"/>
                <w:shd w:val="clear" w:color="auto" w:fill="auto"/>
              </w:rPr>
              <w:t>禁止将含有汞、镉、砷、铬、铅、氰化物、黄磷等的可溶性剧毒废渣向水体排放、倾倒或者直接排入地下。</w:t>
            </w:r>
          </w:p>
        </w:tc>
      </w:tr>
      <w:tr>
        <w:trPr>
          <w:trHeight w:val="425"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widowControl/>
              <w:shd w:val="clear" w:color="auto" w:fill="auto"/>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《中华人民共和国水污染防治法》第八十五条第一款第（二）项、第二款 </w:t>
            </w:r>
            <w:r>
              <w:rPr>
                <w:rFonts w:hint="default" w:ascii="Times New Roman" w:hAnsi="Times New Roman" w:cs="Times New Roman"/>
                <w:color w:val="auto"/>
                <w:kern w:val="0"/>
                <w:sz w:val="20"/>
                <w:szCs w:val="20"/>
                <w:shd w:val="clear" w:color="auto" w:fill="auto"/>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widowControl/>
              <w:shd w:val="clear" w:color="auto" w:fill="auto"/>
              <w:snapToGrid w:val="0"/>
              <w:spacing w:before="0" w:beforeAutospacing="0" w:after="0" w:afterAutospacing="0" w:line="320" w:lineRule="exact"/>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（二）向水体排放剧毒废液，或者将含有汞、镉、砷、铬、铅、氰化物、黄磷等的可溶性剧毒废渣向水体排放、倾倒或者直接埋入地下的。</w:t>
            </w:r>
          </w:p>
          <w:p>
            <w:pPr>
              <w:widowControl/>
              <w:shd w:val="clear" w:color="auto" w:fill="auto"/>
              <w:snapToGrid w:val="0"/>
              <w:spacing w:before="0" w:beforeAutospacing="0" w:after="0" w:afterAutospacing="0" w:line="320" w:lineRule="exact"/>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rPr>
          <w:trHeight w:val="425"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★废液或者废渣数量</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0.1吨</w:t>
            </w:r>
            <w:r>
              <w:rPr>
                <w:rFonts w:hint="default" w:ascii="Times New Roman" w:hAnsi="Times New Roman" w:cs="Times New Roman"/>
                <w:color w:val="auto"/>
                <w:sz w:val="20"/>
                <w:szCs w:val="20"/>
                <w:shd w:val="clear" w:color="auto" w:fill="auto"/>
                <w:lang w:eastAsia="zh-CN"/>
              </w:rPr>
              <w:t>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0.1吨以上0.5吨以下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0.5吨以上1吨以下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1吨以上2吨以下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2吨以上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排放方式</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排放、倾倒</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埋地下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区域影响</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县级行政区域内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跨县级行政区域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跨市级行政区域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跨省级行政区域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微型企业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小型企业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中型企业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改正时间</w:t>
            </w:r>
          </w:p>
        </w:tc>
        <w:tc>
          <w:tcPr>
            <w:tcW w:w="50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lang/>
              </w:rPr>
            </w:pPr>
            <w:r>
              <w:rPr>
                <w:rFonts w:hint="eastAsia" w:ascii="Times New Roman" w:hAnsi="Times New Roman" w:cs="Times New Roman"/>
                <w:color w:val="auto"/>
                <w:kern w:val="2"/>
                <w:sz w:val="21"/>
                <w:szCs w:val="21"/>
                <w:shd w:val="clear" w:color="auto" w:fill="auto"/>
                <w:lang w:eastAsia="zh-CN"/>
              </w:rPr>
              <w:t>限期改正</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4</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5</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两年内受到过同类处罚</w:t>
            </w:r>
            <w:r>
              <w:rPr>
                <w:rFonts w:hint="default" w:ascii="Times New Roman" w:hAnsi="Times New Roman" w:cs="Times New Roman"/>
                <w:color w:val="auto"/>
                <w:sz w:val="20"/>
                <w:szCs w:val="20"/>
                <w:shd w:val="clear" w:color="auto" w:fill="auto"/>
                <w:lang w:val="en-US" w:eastAsia="zh-CN"/>
              </w:rPr>
              <w:t>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两年内受到过同类处罚</w:t>
            </w:r>
            <w:r>
              <w:rPr>
                <w:rFonts w:hint="default" w:ascii="Times New Roman" w:hAnsi="Times New Roman" w:cs="Times New Roman"/>
                <w:color w:val="auto"/>
                <w:sz w:val="20"/>
                <w:szCs w:val="20"/>
                <w:shd w:val="clear" w:color="auto" w:fill="auto"/>
                <w:lang w:val="en-US" w:eastAsia="zh-CN"/>
              </w:rPr>
              <w:t>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69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bookmarkEnd w:id="121"/>
            <w:bookmarkEnd w:id="122"/>
            <w:bookmarkEnd w:id="123"/>
          </w:p>
        </w:tc>
      </w:tr>
    </w:tbl>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r>
        <w:rPr>
          <w:rFonts w:hint="default" w:ascii="Times New Roman" w:hAnsi="Times New Roman" w:eastAsia="FangSong_GB2312" w:cs="Times New Roman"/>
          <w:b/>
          <w:bCs/>
          <w:color w:val="auto"/>
          <w:sz w:val="10"/>
          <w:szCs w:val="10"/>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6"/>
        <w:gridCol w:w="2646"/>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（三）水污染防治类</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26" w:name="_Toc7454"/>
            <w:r>
              <w:rPr>
                <w:rFonts w:hint="default" w:ascii="Times New Roman" w:hAnsi="Times New Roman" w:cs="Times New Roman"/>
                <w:color w:val="auto"/>
                <w:sz w:val="20"/>
                <w:szCs w:val="20"/>
                <w:shd w:val="clear" w:color="auto" w:fill="auto"/>
              </w:rPr>
              <w:t>13</w:t>
            </w:r>
            <w:bookmarkEnd w:id="126"/>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69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outlineLvl w:val="9"/>
              <w:rPr>
                <w:rFonts w:hint="default" w:ascii="Times New Roman" w:hAnsi="Times New Roman" w:cs="Times New Roman"/>
                <w:color w:val="auto"/>
                <w:kern w:val="0"/>
                <w:sz w:val="20"/>
                <w:szCs w:val="20"/>
                <w:shd w:val="clear" w:color="auto" w:fill="auto"/>
              </w:rPr>
            </w:pPr>
            <w:bookmarkStart w:id="127" w:name="OLE_LINK20"/>
            <w:bookmarkStart w:id="128" w:name="_Toc14511"/>
            <w:bookmarkStart w:id="129" w:name="OLE_LINK19"/>
            <w:r>
              <w:rPr>
                <w:rFonts w:hint="default" w:ascii="Times New Roman" w:hAnsi="Times New Roman" w:cs="Times New Roman"/>
                <w:color w:val="auto"/>
                <w:kern w:val="0"/>
                <w:sz w:val="20"/>
                <w:szCs w:val="20"/>
                <w:shd w:val="clear" w:color="auto" w:fill="auto"/>
              </w:rPr>
              <w:t>在水体清洗装贮过油类、有毒污染物的车辆或者容器的</w:t>
            </w:r>
            <w:bookmarkEnd w:id="127"/>
            <w:bookmarkEnd w:id="128"/>
            <w:bookmarkEnd w:id="129"/>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《中华人民共和国水污染防治法》第三十三条第二款</w:t>
            </w:r>
            <w:r>
              <w:rPr>
                <w:rFonts w:hint="default" w:ascii="Times New Roman" w:hAnsi="Times New Roman" w:cs="Times New Roman"/>
                <w:color w:val="auto"/>
                <w:kern w:val="0"/>
                <w:sz w:val="20"/>
                <w:szCs w:val="20"/>
                <w:shd w:val="clear" w:color="auto" w:fill="auto"/>
              </w:rPr>
              <w:t xml:space="preserve"> 禁止在水体清洗装贮过油类或者有毒污染物的车辆和容器。</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widowControl/>
              <w:shd w:val="clear" w:color="auto" w:fill="auto"/>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《中华人民共和国水污染防治法》第八十五条第一款第（三）项、第二款 </w:t>
            </w:r>
            <w:r>
              <w:rPr>
                <w:rFonts w:hint="default" w:ascii="Times New Roman" w:hAnsi="Times New Roman" w:cs="Times New Roman"/>
                <w:color w:val="auto"/>
                <w:kern w:val="0"/>
                <w:sz w:val="20"/>
                <w:szCs w:val="20"/>
                <w:shd w:val="clear" w:color="auto" w:fill="auto"/>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widowControl/>
              <w:shd w:val="clear" w:color="auto" w:fill="auto"/>
              <w:snapToGrid w:val="0"/>
              <w:spacing w:before="0" w:beforeAutospacing="0" w:after="0" w:afterAutospacing="0" w:line="320" w:lineRule="exact"/>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（三）在水体清洗装贮过油类、有毒污染物的车辆或者容器的。</w:t>
            </w:r>
          </w:p>
          <w:p>
            <w:pPr>
              <w:widowControl/>
              <w:shd w:val="clear" w:color="auto" w:fill="auto"/>
              <w:snapToGrid w:val="0"/>
              <w:spacing w:before="0" w:beforeAutospacing="0" w:after="0" w:afterAutospacing="0" w:line="320" w:lineRule="exact"/>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rPr>
          <w:trHeight w:val="386"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86"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在水体清洗装贮过油类的车辆或者容器的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3</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在水体清洗装贮过有毒污染物的车辆或者容器的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车辆或容器容积</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100m</w:t>
            </w:r>
            <w:r>
              <w:rPr>
                <w:rFonts w:hint="default" w:ascii="Times New Roman" w:hAnsi="Times New Roman" w:cs="Times New Roman"/>
                <w:color w:val="auto"/>
                <w:sz w:val="20"/>
                <w:szCs w:val="20"/>
                <w:shd w:val="clear" w:color="auto" w:fill="auto"/>
                <w:vertAlign w:val="superscript"/>
              </w:rPr>
              <w:t>3</w:t>
            </w:r>
            <w:r>
              <w:rPr>
                <w:rFonts w:hint="default" w:ascii="Times New Roman" w:hAnsi="Times New Roman" w:cs="Times New Roman"/>
                <w:color w:val="auto"/>
                <w:sz w:val="20"/>
                <w:szCs w:val="20"/>
                <w:shd w:val="clear" w:color="auto" w:fill="auto"/>
              </w:rPr>
              <w:t>以下的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100m</w:t>
            </w:r>
            <w:r>
              <w:rPr>
                <w:rFonts w:hint="default" w:ascii="Times New Roman" w:hAnsi="Times New Roman" w:cs="Times New Roman"/>
                <w:color w:val="auto"/>
                <w:sz w:val="20"/>
                <w:szCs w:val="20"/>
                <w:shd w:val="clear" w:color="auto" w:fill="auto"/>
                <w:vertAlign w:val="superscript"/>
              </w:rPr>
              <w:t>3</w:t>
            </w:r>
            <w:r>
              <w:rPr>
                <w:rFonts w:hint="default" w:ascii="Times New Roman" w:hAnsi="Times New Roman" w:cs="Times New Roman"/>
                <w:color w:val="auto"/>
                <w:sz w:val="20"/>
                <w:szCs w:val="20"/>
                <w:shd w:val="clear" w:color="auto" w:fill="auto"/>
              </w:rPr>
              <w:t>以上500m</w:t>
            </w:r>
            <w:r>
              <w:rPr>
                <w:rFonts w:hint="default" w:ascii="Times New Roman" w:hAnsi="Times New Roman" w:cs="Times New Roman"/>
                <w:color w:val="auto"/>
                <w:sz w:val="20"/>
                <w:szCs w:val="20"/>
                <w:shd w:val="clear" w:color="auto" w:fill="auto"/>
                <w:vertAlign w:val="superscript"/>
              </w:rPr>
              <w:t>3</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500m</w:t>
            </w:r>
            <w:r>
              <w:rPr>
                <w:rFonts w:hint="default" w:ascii="Times New Roman" w:hAnsi="Times New Roman" w:cs="Times New Roman"/>
                <w:color w:val="auto"/>
                <w:sz w:val="20"/>
                <w:szCs w:val="20"/>
                <w:shd w:val="clear" w:color="auto" w:fill="auto"/>
                <w:vertAlign w:val="superscript"/>
              </w:rPr>
              <w:t>3</w:t>
            </w:r>
            <w:r>
              <w:rPr>
                <w:rFonts w:hint="default" w:ascii="Times New Roman" w:hAnsi="Times New Roman" w:cs="Times New Roman"/>
                <w:color w:val="auto"/>
                <w:sz w:val="20"/>
                <w:szCs w:val="20"/>
                <w:shd w:val="clear" w:color="auto" w:fill="auto"/>
              </w:rPr>
              <w:t>以上的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8" w:type="dxa"/>
            <w:vMerge w:val="restart"/>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企业规模</w:t>
            </w: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微型企业</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小型企业</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中型企业</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大型企业</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jc w:val="center"/>
        </w:trPr>
        <w:tc>
          <w:tcPr>
            <w:tcW w:w="1368" w:type="dxa"/>
            <w:vMerge w:val="restart"/>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管理类别</w:t>
            </w: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rPr>
            </w:pPr>
            <w:r>
              <w:rPr>
                <w:rFonts w:hint="default" w:ascii="Times New Roman" w:hAnsi="Times New Roman" w:eastAsia="宋体" w:cs="Times New Roman"/>
                <w:color w:val="auto"/>
                <w:kern w:val="2"/>
                <w:sz w:val="21"/>
                <w:szCs w:val="21"/>
                <w:shd w:val="clear" w:color="auto" w:fill="auto"/>
                <w:lang w:val="en-US"/>
              </w:rPr>
              <w:t>登记管理</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eastAsia="zh-CN"/>
              </w:rPr>
            </w:pPr>
            <w:r>
              <w:rPr>
                <w:rFonts w:hint="default" w:ascii="Times New Roman" w:hAnsi="Times New Roman" w:eastAsia="宋体" w:cs="Times New Roman"/>
                <w:color w:val="auto"/>
                <w:kern w:val="2"/>
                <w:sz w:val="21"/>
                <w:szCs w:val="21"/>
                <w:shd w:val="clear" w:color="auto" w:fill="auto"/>
                <w:lang w:eastAsia="zh-CN"/>
              </w:rPr>
              <w:t>1</w:t>
            </w:r>
          </w:p>
        </w:tc>
      </w:tr>
      <w:tr>
        <w:trPr>
          <w:trHeight w:val="425"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简化管理</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2</w:t>
            </w:r>
          </w:p>
        </w:tc>
      </w:tr>
      <w:tr>
        <w:trPr>
          <w:trHeight w:val="425"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重点管理</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区域影响</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县级行政区域内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跨县级行政区域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跨市级行政区域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跨省级行政区域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受处罚次数</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两年内未受过同类处罚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两年内受过同类处罚</w:t>
            </w:r>
            <w:r>
              <w:rPr>
                <w:rFonts w:hint="default" w:ascii="Times New Roman" w:hAnsi="Times New Roman" w:cs="Times New Roman"/>
                <w:color w:val="auto"/>
                <w:sz w:val="20"/>
                <w:szCs w:val="20"/>
                <w:shd w:val="clear" w:color="auto" w:fill="auto"/>
                <w:lang w:val="en-US" w:eastAsia="zh-CN"/>
              </w:rPr>
              <w:t>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两年内受过同类处罚</w:t>
            </w:r>
            <w:r>
              <w:rPr>
                <w:rFonts w:hint="default" w:ascii="Times New Roman" w:hAnsi="Times New Roman" w:cs="Times New Roman"/>
                <w:color w:val="auto"/>
                <w:sz w:val="20"/>
                <w:szCs w:val="20"/>
                <w:shd w:val="clear" w:color="auto" w:fill="auto"/>
                <w:lang w:val="en-US" w:eastAsia="zh-CN"/>
              </w:rPr>
              <w:t>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r>
        <w:rPr>
          <w:rFonts w:hint="default" w:ascii="Times New Roman" w:hAnsi="Times New Roman" w:eastAsia="FangSong_GB2312" w:cs="Times New Roman"/>
          <w:b/>
          <w:bCs/>
          <w:color w:val="auto"/>
          <w:sz w:val="10"/>
          <w:szCs w:val="10"/>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5053"/>
        <w:gridCol w:w="2646"/>
      </w:tblGrid>
      <w:tr>
        <w:trPr>
          <w:trHeight w:val="312"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（三）水污染防治类</w:t>
            </w:r>
          </w:p>
        </w:tc>
      </w:tr>
      <w:tr>
        <w:trPr>
          <w:trHeight w:val="312" w:hRule="atLeast"/>
          <w:jc w:val="center"/>
        </w:trPr>
        <w:tc>
          <w:tcPr>
            <w:tcW w:w="13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9"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30" w:name="_Toc15167"/>
            <w:r>
              <w:rPr>
                <w:rFonts w:hint="default" w:ascii="Times New Roman" w:hAnsi="Times New Roman" w:cs="Times New Roman"/>
                <w:color w:val="auto"/>
                <w:sz w:val="20"/>
                <w:szCs w:val="20"/>
                <w:shd w:val="clear" w:color="auto" w:fill="auto"/>
              </w:rPr>
              <w:t>14</w:t>
            </w:r>
            <w:bookmarkEnd w:id="130"/>
          </w:p>
        </w:tc>
      </w:tr>
      <w:tr>
        <w:trPr>
          <w:trHeight w:val="312" w:hRule="atLeast"/>
          <w:jc w:val="center"/>
        </w:trPr>
        <w:tc>
          <w:tcPr>
            <w:tcW w:w="13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699"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0" w:firstLineChars="200"/>
              <w:outlineLvl w:val="9"/>
              <w:rPr>
                <w:rFonts w:hint="default" w:ascii="Times New Roman" w:hAnsi="Times New Roman" w:cs="Times New Roman"/>
                <w:color w:val="auto"/>
                <w:kern w:val="0"/>
                <w:sz w:val="20"/>
                <w:szCs w:val="20"/>
                <w:shd w:val="clear" w:color="auto" w:fill="auto"/>
              </w:rPr>
            </w:pPr>
            <w:bookmarkStart w:id="131" w:name="_Toc15205"/>
            <w:r>
              <w:rPr>
                <w:rFonts w:hint="default" w:ascii="Times New Roman" w:hAnsi="Times New Roman" w:cs="Times New Roman"/>
                <w:color w:val="auto"/>
                <w:kern w:val="0"/>
                <w:sz w:val="20"/>
                <w:szCs w:val="20"/>
                <w:shd w:val="clear" w:color="auto" w:fill="auto"/>
              </w:rPr>
              <w:t>向水体排放、倾倒工业废渣、城镇垃圾或者其他废弃物，或者在江河、湖泊、运河、渠道、水库最高水位线以下的滩地、岸坡堆放、存贮固体废弃物或者其他污染物的</w:t>
            </w:r>
            <w:bookmarkEnd w:id="131"/>
          </w:p>
        </w:tc>
      </w:tr>
      <w:tr>
        <w:trPr>
          <w:trHeight w:val="1490" w:hRule="atLeast"/>
          <w:jc w:val="center"/>
        </w:trPr>
        <w:tc>
          <w:tcPr>
            <w:tcW w:w="13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9"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《中华人民共和国水污染防治法》第三十七条第一款</w:t>
            </w:r>
            <w:r>
              <w:rPr>
                <w:rFonts w:hint="default" w:ascii="Times New Roman" w:hAnsi="Times New Roman" w:cs="Times New Roman"/>
                <w:color w:val="auto"/>
                <w:kern w:val="0"/>
                <w:sz w:val="20"/>
                <w:szCs w:val="20"/>
                <w:shd w:val="clear" w:color="auto" w:fill="auto"/>
              </w:rPr>
              <w:t xml:space="preserve"> 禁止向水体排放、倾倒工业废渣、城镇垃圾和其他废弃物。</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第三十八条 </w:t>
            </w:r>
            <w:r>
              <w:rPr>
                <w:rFonts w:hint="default" w:ascii="Times New Roman" w:hAnsi="Times New Roman" w:cs="Times New Roman"/>
                <w:color w:val="auto"/>
                <w:kern w:val="0"/>
                <w:sz w:val="20"/>
                <w:szCs w:val="20"/>
                <w:shd w:val="clear" w:color="auto" w:fill="auto"/>
              </w:rPr>
              <w:t>禁止在江河、湖泊、运河、渠道、水库最高水位线以下的滩地和岸坡堆放、存贮固体废弃物和其他污染物。</w:t>
            </w:r>
          </w:p>
        </w:tc>
      </w:tr>
      <w:tr>
        <w:trPr>
          <w:trHeight w:val="3730" w:hRule="atLeast"/>
          <w:jc w:val="center"/>
        </w:trPr>
        <w:tc>
          <w:tcPr>
            <w:tcW w:w="13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9" w:type="dxa"/>
            <w:gridSpan w:val="2"/>
            <w:vAlign w:val="center"/>
          </w:tcPr>
          <w:p>
            <w:pPr>
              <w:widowControl/>
              <w:shd w:val="clear" w:color="auto" w:fill="auto"/>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《中华人民共和国水污染防治法》第八十五条第一款第（四）项、第二款</w:t>
            </w:r>
            <w:r>
              <w:rPr>
                <w:rFonts w:hint="default" w:ascii="Times New Roman" w:hAnsi="Times New Roman" w:cs="Times New Roman"/>
                <w:color w:val="auto"/>
                <w:kern w:val="0"/>
                <w:sz w:val="20"/>
                <w:szCs w:val="20"/>
                <w:shd w:val="clear" w:color="auto" w:fill="auto"/>
              </w:rPr>
              <w:t xml:space="preserve">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widowControl/>
              <w:shd w:val="clear" w:color="auto" w:fill="auto"/>
              <w:snapToGrid w:val="0"/>
              <w:spacing w:before="0" w:beforeAutospacing="0" w:after="0" w:afterAutospacing="0" w:line="320" w:lineRule="exact"/>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（四）向水体排放、倾倒工业废渣、城镇垃圾或者其他废弃物，或者在江河、湖泊、运河、渠道、水库最高水位线以下的滩地、岸坡堆放、存贮固体废弃物或者其他污染物的。</w:t>
            </w:r>
          </w:p>
          <w:p>
            <w:pPr>
              <w:widowControl/>
              <w:shd w:val="clear" w:color="auto" w:fill="auto"/>
              <w:snapToGrid w:val="0"/>
              <w:spacing w:before="0" w:beforeAutospacing="0" w:after="0" w:afterAutospacing="0" w:line="320" w:lineRule="exact"/>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rPr>
          <w:trHeight w:val="312" w:hRule="atLeast"/>
          <w:jc w:val="center"/>
        </w:trPr>
        <w:tc>
          <w:tcPr>
            <w:tcW w:w="13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jc w:val="center"/>
        </w:trPr>
        <w:tc>
          <w:tcPr>
            <w:tcW w:w="136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rPr>
              <w:t>类别</w:t>
            </w:r>
          </w:p>
        </w:tc>
        <w:tc>
          <w:tcPr>
            <w:tcW w:w="50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其他废弃物</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建筑垃圾</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2</w:t>
            </w:r>
          </w:p>
        </w:tc>
      </w:tr>
      <w:tr>
        <w:trPr>
          <w:trHeight w:val="425" w:hRule="atLeast"/>
          <w:jc w:val="center"/>
        </w:trPr>
        <w:tc>
          <w:tcPr>
            <w:tcW w:w="136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生活垃圾</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工业固体废物</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4</w:t>
            </w:r>
          </w:p>
        </w:tc>
      </w:tr>
      <w:tr>
        <w:trPr>
          <w:trHeight w:val="425" w:hRule="atLeast"/>
          <w:jc w:val="center"/>
        </w:trPr>
        <w:tc>
          <w:tcPr>
            <w:tcW w:w="136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危险废物</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数量</w:t>
            </w:r>
          </w:p>
        </w:tc>
        <w:tc>
          <w:tcPr>
            <w:tcW w:w="50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2吨以下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2吨以上5吨以下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jc w:val="center"/>
        </w:trPr>
        <w:tc>
          <w:tcPr>
            <w:tcW w:w="136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5吨以上10吨以下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10吨以上20吨以下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jc w:val="center"/>
        </w:trPr>
        <w:tc>
          <w:tcPr>
            <w:tcW w:w="136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20吨以上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1" w:type="dxa"/>
            <w:vMerge w:val="restart"/>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区域影响</w:t>
            </w:r>
          </w:p>
        </w:tc>
        <w:tc>
          <w:tcPr>
            <w:tcW w:w="505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县级行政区域内</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jc w:val="center"/>
        </w:trPr>
        <w:tc>
          <w:tcPr>
            <w:tcW w:w="1361"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5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跨县级行政区域</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jc w:val="center"/>
        </w:trPr>
        <w:tc>
          <w:tcPr>
            <w:tcW w:w="1361"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5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跨市级行政区域</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jc w:val="center"/>
        </w:trPr>
        <w:tc>
          <w:tcPr>
            <w:tcW w:w="1361"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5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跨省级行政区域</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jc w:val="center"/>
        </w:trPr>
        <w:tc>
          <w:tcPr>
            <w:tcW w:w="1361"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5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jc w:val="center"/>
        </w:trPr>
        <w:tc>
          <w:tcPr>
            <w:tcW w:w="1361"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5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jc w:val="center"/>
        </w:trPr>
        <w:tc>
          <w:tcPr>
            <w:tcW w:w="1361"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5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jc w:val="center"/>
        </w:trPr>
        <w:tc>
          <w:tcPr>
            <w:tcW w:w="1361"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5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jc w:val="center"/>
        </w:trPr>
        <w:tc>
          <w:tcPr>
            <w:tcW w:w="1361"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5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jc w:val="center"/>
        </w:trPr>
        <w:tc>
          <w:tcPr>
            <w:tcW w:w="136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0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微型企业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425" w:hRule="atLeast"/>
          <w:jc w:val="center"/>
        </w:trPr>
        <w:tc>
          <w:tcPr>
            <w:tcW w:w="136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小型企业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25" w:hRule="atLeast"/>
          <w:jc w:val="center"/>
        </w:trPr>
        <w:tc>
          <w:tcPr>
            <w:tcW w:w="136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中型企业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25" w:hRule="atLeast"/>
          <w:jc w:val="center"/>
        </w:trPr>
        <w:tc>
          <w:tcPr>
            <w:tcW w:w="136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425" w:hRule="atLeast"/>
          <w:jc w:val="center"/>
        </w:trPr>
        <w:tc>
          <w:tcPr>
            <w:tcW w:w="136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425" w:hRule="atLeast"/>
          <w:jc w:val="center"/>
        </w:trPr>
        <w:tc>
          <w:tcPr>
            <w:tcW w:w="136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425" w:hRule="atLeast"/>
          <w:jc w:val="center"/>
        </w:trPr>
        <w:tc>
          <w:tcPr>
            <w:tcW w:w="136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425" w:hRule="atLeast"/>
          <w:jc w:val="center"/>
        </w:trPr>
        <w:tc>
          <w:tcPr>
            <w:tcW w:w="1361"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05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lang/>
              </w:rPr>
            </w:pPr>
            <w:r>
              <w:rPr>
                <w:rFonts w:hint="eastAsia" w:ascii="Times New Roman" w:hAnsi="Times New Roman" w:cs="Times New Roman"/>
                <w:color w:val="auto"/>
                <w:kern w:val="2"/>
                <w:sz w:val="21"/>
                <w:szCs w:val="21"/>
                <w:shd w:val="clear" w:color="auto" w:fill="auto"/>
                <w:lang w:eastAsia="zh-CN"/>
              </w:rPr>
              <w:t>限期改正</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425" w:hRule="atLeast"/>
          <w:jc w:val="center"/>
        </w:trPr>
        <w:tc>
          <w:tcPr>
            <w:tcW w:w="1361"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425" w:hRule="atLeast"/>
          <w:jc w:val="center"/>
        </w:trPr>
        <w:tc>
          <w:tcPr>
            <w:tcW w:w="1361"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425" w:hRule="atLeast"/>
          <w:jc w:val="center"/>
        </w:trPr>
        <w:tc>
          <w:tcPr>
            <w:tcW w:w="1361"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425" w:hRule="atLeast"/>
          <w:jc w:val="center"/>
        </w:trPr>
        <w:tc>
          <w:tcPr>
            <w:tcW w:w="136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0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jc w:val="center"/>
        </w:trPr>
        <w:tc>
          <w:tcPr>
            <w:tcW w:w="136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jc w:val="center"/>
        </w:trPr>
        <w:tc>
          <w:tcPr>
            <w:tcW w:w="136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699"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r>
        <w:rPr>
          <w:rFonts w:hint="default" w:ascii="Times New Roman" w:hAnsi="Times New Roman" w:eastAsia="FangSong_GB2312" w:cs="Times New Roman"/>
          <w:b/>
          <w:bCs/>
          <w:color w:val="auto"/>
          <w:sz w:val="10"/>
          <w:szCs w:val="10"/>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6"/>
        <w:gridCol w:w="2646"/>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（三）水污染防治类</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32" w:name="_Toc13540"/>
            <w:r>
              <w:rPr>
                <w:rFonts w:hint="default" w:ascii="Times New Roman" w:hAnsi="Times New Roman" w:cs="Times New Roman"/>
                <w:color w:val="auto"/>
                <w:sz w:val="20"/>
                <w:szCs w:val="20"/>
                <w:shd w:val="clear" w:color="auto" w:fill="auto"/>
              </w:rPr>
              <w:t>15</w:t>
            </w:r>
            <w:bookmarkEnd w:id="132"/>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69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outlineLvl w:val="9"/>
              <w:rPr>
                <w:rFonts w:hint="default" w:ascii="Times New Roman" w:hAnsi="Times New Roman" w:cs="Times New Roman"/>
                <w:color w:val="auto"/>
                <w:kern w:val="0"/>
                <w:sz w:val="20"/>
                <w:szCs w:val="20"/>
                <w:shd w:val="clear" w:color="auto" w:fill="auto"/>
              </w:rPr>
            </w:pPr>
            <w:bookmarkStart w:id="133" w:name="_Toc18181"/>
            <w:r>
              <w:rPr>
                <w:rFonts w:hint="default" w:ascii="Times New Roman" w:hAnsi="Times New Roman" w:cs="Times New Roman"/>
                <w:color w:val="auto"/>
                <w:kern w:val="0"/>
                <w:sz w:val="20"/>
                <w:szCs w:val="20"/>
                <w:shd w:val="clear" w:color="auto" w:fill="auto"/>
              </w:rPr>
              <w:t>向水体排放、倾倒放射性固体废物或者含有高放射性、中放射性物质的废水的</w:t>
            </w:r>
            <w:bookmarkEnd w:id="133"/>
          </w:p>
        </w:tc>
      </w:tr>
      <w:tr>
        <w:trPr>
          <w:trHeight w:val="340"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《中华人民共和国水污染防治法》第三十四条第一款</w:t>
            </w:r>
            <w:r>
              <w:rPr>
                <w:rFonts w:hint="default" w:ascii="Times New Roman" w:hAnsi="Times New Roman" w:cs="Times New Roman"/>
                <w:color w:val="auto"/>
                <w:kern w:val="0"/>
                <w:sz w:val="20"/>
                <w:szCs w:val="20"/>
                <w:shd w:val="clear" w:color="auto" w:fill="auto"/>
              </w:rPr>
              <w:t xml:space="preserve"> 禁止向水体排放、倾倒放射性固体废物或者含有高放射性和中放射性物质的废水。</w:t>
            </w:r>
          </w:p>
        </w:tc>
      </w:tr>
      <w:tr>
        <w:trPr>
          <w:trHeight w:val="340"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widowControl/>
              <w:shd w:val="clear" w:color="auto" w:fill="auto"/>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《中华人民共和国水污染防治法》第八十五条第一款第（五）项、第二款 </w:t>
            </w:r>
            <w:r>
              <w:rPr>
                <w:rFonts w:hint="default" w:ascii="Times New Roman" w:hAnsi="Times New Roman" w:cs="Times New Roman"/>
                <w:color w:val="auto"/>
                <w:kern w:val="0"/>
                <w:sz w:val="20"/>
                <w:szCs w:val="20"/>
                <w:shd w:val="clear" w:color="auto" w:fill="auto"/>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widowControl/>
              <w:shd w:val="clear" w:color="auto" w:fill="auto"/>
              <w:snapToGrid w:val="0"/>
              <w:spacing w:before="0" w:beforeAutospacing="0" w:after="0" w:afterAutospacing="0" w:line="320" w:lineRule="exact"/>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（五）向水体排放、倾倒放射性固体废物或者含有高放射性、中放射性物质的废水的。</w:t>
            </w:r>
          </w:p>
          <w:p>
            <w:pPr>
              <w:widowControl/>
              <w:shd w:val="clear" w:color="auto" w:fill="auto"/>
              <w:snapToGrid w:val="0"/>
              <w:spacing w:before="0" w:beforeAutospacing="0" w:after="0" w:afterAutospacing="0" w:line="320" w:lineRule="exact"/>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向水体排放、倾倒放射性固体废物的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向水体排放、倾倒含有中放射性物质的废水的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向水体排放、倾倒含有高放射性物质的废水的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数量</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1千克</w:t>
            </w:r>
            <w:r>
              <w:rPr>
                <w:rFonts w:hint="default" w:ascii="Times New Roman" w:hAnsi="Times New Roman" w:cs="Times New Roman"/>
                <w:color w:val="auto"/>
                <w:sz w:val="20"/>
                <w:szCs w:val="20"/>
                <w:shd w:val="clear" w:color="auto" w:fill="auto"/>
                <w:lang w:eastAsia="zh-CN"/>
              </w:rPr>
              <w:t>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1千克以上3千克</w:t>
            </w:r>
            <w:r>
              <w:rPr>
                <w:rFonts w:hint="default" w:ascii="Times New Roman" w:hAnsi="Times New Roman" w:cs="Times New Roman"/>
                <w:color w:val="auto"/>
                <w:sz w:val="20"/>
                <w:szCs w:val="20"/>
                <w:shd w:val="clear" w:color="auto" w:fill="auto"/>
                <w:lang w:eastAsia="zh-CN"/>
              </w:rPr>
              <w:t>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3千克以上10千克</w:t>
            </w:r>
            <w:r>
              <w:rPr>
                <w:rFonts w:hint="default" w:ascii="Times New Roman" w:hAnsi="Times New Roman" w:cs="Times New Roman"/>
                <w:color w:val="auto"/>
                <w:sz w:val="20"/>
                <w:szCs w:val="20"/>
                <w:shd w:val="clear" w:color="auto" w:fill="auto"/>
                <w:lang w:eastAsia="zh-CN"/>
              </w:rPr>
              <w:t>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10千克以上100千克</w:t>
            </w:r>
            <w:r>
              <w:rPr>
                <w:rFonts w:hint="default" w:ascii="Times New Roman" w:hAnsi="Times New Roman" w:cs="Times New Roman"/>
                <w:color w:val="auto"/>
                <w:sz w:val="20"/>
                <w:szCs w:val="20"/>
                <w:shd w:val="clear" w:color="auto" w:fill="auto"/>
                <w:lang w:eastAsia="zh-CN"/>
              </w:rPr>
              <w:t>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100千克以上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color w:val="auto"/>
                <w:sz w:val="21"/>
                <w:szCs w:val="20"/>
                <w:shd w:val="clear" w:color="auto" w:fill="auto"/>
              </w:rPr>
              <w:t>区域影响</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0"/>
                <w:shd w:val="clear" w:color="auto" w:fill="auto"/>
              </w:rPr>
              <w:t>县级行政区域内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1"/>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0"/>
                <w:shd w:val="clear" w:color="auto" w:fill="auto"/>
              </w:rPr>
              <w:t>跨县级行政区域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1"/>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0"/>
                <w:shd w:val="clear" w:color="auto" w:fill="auto"/>
              </w:rPr>
              <w:t>跨市级行政区域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1"/>
                <w:szCs w:val="20"/>
                <w:shd w:val="clear" w:color="auto" w:fill="auto"/>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0"/>
                <w:shd w:val="clear" w:color="auto" w:fill="auto"/>
              </w:rPr>
              <w:t>跨省级行政区域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1"/>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restart"/>
            <w:vAlign w:val="center"/>
          </w:tcPr>
          <w:p>
            <w:pPr>
              <w:widowControl w:val="0"/>
              <w:snapToGrid w:val="0"/>
              <w:spacing w:before="0" w:beforeAutospacing="0" w:after="0" w:afterAutospacing="0" w:line="30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46" w:type="dxa"/>
            <w:vAlign w:val="center"/>
          </w:tcPr>
          <w:p>
            <w:pPr>
              <w:widowControl w:val="0"/>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lang w:eastAsia="zh-CN"/>
              </w:rPr>
            </w:pPr>
            <w:r>
              <w:rPr>
                <w:rFonts w:hint="default" w:ascii="Times New Roman" w:hAnsi="Times New Roman" w:cs="Times New Roman"/>
                <w:b/>
                <w:bCs/>
                <w:color w:val="auto"/>
                <w:sz w:val="20"/>
                <w:szCs w:val="20"/>
                <w:shd w:val="clear" w:color="auto" w:fill="auto"/>
                <w:lang w:val="en-US"/>
              </w:rPr>
              <w:t>改正时间</w:t>
            </w:r>
          </w:p>
        </w:tc>
        <w:tc>
          <w:tcPr>
            <w:tcW w:w="50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lang w:eastAsia="zh-CN"/>
              </w:rPr>
            </w:pPr>
            <w:r>
              <w:rPr>
                <w:rFonts w:hint="eastAsia" w:ascii="Times New Roman" w:hAnsi="Times New Roman" w:cs="Times New Roman"/>
                <w:color w:val="auto"/>
                <w:kern w:val="2"/>
                <w:sz w:val="21"/>
                <w:szCs w:val="21"/>
                <w:shd w:val="clear" w:color="auto" w:fill="auto"/>
                <w:lang w:eastAsia="zh-CN"/>
              </w:rPr>
              <w:t>限期改正</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lang w:eastAsia="zh-CN"/>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eastAsia="zh-CN"/>
              </w:rPr>
            </w:pPr>
            <w:r>
              <w:rPr>
                <w:rFonts w:hint="default"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lang w:eastAsia="zh-CN"/>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eastAsia"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lang w:eastAsia="zh-CN"/>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eastAsia="zh-CN"/>
              </w:rPr>
            </w:pPr>
            <w:r>
              <w:rPr>
                <w:rFonts w:hint="default" w:ascii="Times New Roman" w:hAnsi="Times New Roman" w:cs="Times New Roman"/>
                <w:color w:val="auto"/>
                <w:sz w:val="20"/>
                <w:szCs w:val="20"/>
                <w:shd w:val="clear" w:color="auto" w:fill="auto"/>
                <w:lang w:val="en-US" w:eastAsia="zh-CN"/>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lang w:val="en-US" w:eastAsia="zh-CN"/>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cs="Times New Roman"/>
                <w:b/>
                <w:bCs/>
                <w:color w:val="auto"/>
                <w:sz w:val="20"/>
                <w:szCs w:val="20"/>
                <w:lang w:eastAsia="zh-CN"/>
              </w:rPr>
              <w:t>受处罚次数</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宋体" w:eastAsia="宋体" w:cs="Times New Roman"/>
                <w:color w:val="auto"/>
                <w:kern w:val="2"/>
                <w:sz w:val="21"/>
                <w:szCs w:val="21"/>
                <w:lang w:val="en-US" w:eastAsia="zh-CN" w:bidi="ar-SA"/>
              </w:rPr>
            </w:pPr>
            <w:r>
              <w:rPr>
                <w:rFonts w:hint="default" w:ascii="Times New Roman" w:hAnsi="宋体" w:cs="Times New Roman"/>
                <w:color w:val="auto"/>
                <w:sz w:val="20"/>
                <w:szCs w:val="20"/>
                <w:lang w:eastAsia="zh-CN"/>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0"/>
                <w:szCs w:val="20"/>
                <w:lang w:val="en-US" w:eastAsia="zh-CN"/>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宋体" w:cs="Times New Roman"/>
                <w:b/>
                <w:bCs/>
                <w:color w:val="auto"/>
                <w:sz w:val="20"/>
                <w:szCs w:val="20"/>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宋体" w:eastAsia="宋体" w:cs="Times New Roman"/>
                <w:color w:val="auto"/>
                <w:kern w:val="2"/>
                <w:sz w:val="21"/>
                <w:szCs w:val="21"/>
                <w:lang w:val="en-US" w:eastAsia="zh-CN" w:bidi="ar-SA"/>
              </w:rPr>
            </w:pPr>
            <w:r>
              <w:rPr>
                <w:rFonts w:hint="default" w:ascii="Times New Roman" w:hAnsi="宋体" w:cs="Times New Roman"/>
                <w:color w:val="auto"/>
                <w:sz w:val="20"/>
                <w:szCs w:val="20"/>
                <w:lang w:eastAsia="zh-CN"/>
              </w:rPr>
              <w:t>两年内受过</w:t>
            </w:r>
            <w:r>
              <w:rPr>
                <w:rFonts w:hint="default" w:ascii="Times New Roman" w:hAnsi="宋体" w:cs="Times New Roman"/>
                <w:color w:val="auto"/>
                <w:sz w:val="20"/>
                <w:szCs w:val="20"/>
                <w:lang w:val="en-US" w:eastAsia="zh-CN"/>
              </w:rPr>
              <w:t>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0"/>
                <w:szCs w:val="20"/>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宋体" w:cs="Times New Roman"/>
                <w:b/>
                <w:bCs/>
                <w:color w:val="auto"/>
                <w:sz w:val="20"/>
                <w:szCs w:val="20"/>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宋体" w:eastAsia="宋体" w:cs="Times New Roman"/>
                <w:color w:val="auto"/>
                <w:kern w:val="2"/>
                <w:sz w:val="21"/>
                <w:szCs w:val="21"/>
                <w:lang w:val="en-US" w:eastAsia="zh-CN" w:bidi="ar-SA"/>
              </w:rPr>
            </w:pPr>
            <w:r>
              <w:rPr>
                <w:rFonts w:hint="default" w:ascii="Times New Roman" w:hAnsi="宋体" w:cs="Times New Roman"/>
                <w:color w:val="auto"/>
                <w:sz w:val="20"/>
                <w:szCs w:val="20"/>
                <w:lang w:eastAsia="zh-CN"/>
              </w:rPr>
              <w:t>两年内受过同类处罚</w:t>
            </w:r>
            <w:r>
              <w:rPr>
                <w:rFonts w:hint="default" w:ascii="Times New Roman" w:hAnsi="宋体" w:cs="Times New Roman"/>
                <w:color w:val="auto"/>
                <w:sz w:val="20"/>
                <w:szCs w:val="20"/>
                <w:lang w:val="en-US" w:eastAsia="zh-CN"/>
              </w:rPr>
              <w:t>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0"/>
                <w:szCs w:val="20"/>
                <w:lang w:val="en-US" w:eastAsia="zh-CN"/>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宋体" w:cs="Times New Roman"/>
                <w:b/>
                <w:bCs/>
                <w:color w:val="auto"/>
                <w:sz w:val="20"/>
                <w:szCs w:val="20"/>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宋体" w:cs="Times New Roman"/>
                <w:b/>
                <w:bCs/>
                <w:color w:val="auto"/>
                <w:sz w:val="20"/>
                <w:szCs w:val="20"/>
              </w:rPr>
              <w:t>执法检查</w:t>
            </w: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宋体" w:cs="Times New Roman"/>
                <w:color w:val="auto"/>
                <w:sz w:val="20"/>
                <w:szCs w:val="20"/>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宋体" w:cs="Times New Roman"/>
                <w:color w:val="auto"/>
                <w:sz w:val="20"/>
                <w:szCs w:val="20"/>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宋体" w:cs="Times New Roman"/>
                <w:b/>
                <w:bCs/>
                <w:color w:val="auto"/>
                <w:sz w:val="20"/>
                <w:szCs w:val="20"/>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rPr>
            </w:pPr>
          </w:p>
        </w:tc>
      </w:tr>
    </w:tbl>
    <w:p>
      <w:pPr>
        <w:shd w:val="clear" w:color="auto" w:fill="auto"/>
        <w:snapToGrid w:val="0"/>
        <w:rPr>
          <w:rFonts w:hint="default" w:ascii="Times New Roman" w:hAnsi="Times New Roman" w:eastAsia="FangSong_GB2312" w:cs="Times New Roman"/>
          <w:b/>
          <w:bCs/>
          <w:color w:val="auto"/>
          <w:sz w:val="10"/>
          <w:szCs w:val="10"/>
        </w:rPr>
      </w:pPr>
    </w:p>
    <w:p>
      <w:pPr>
        <w:shd w:val="clear" w:color="auto" w:fill="auto"/>
        <w:snapToGrid w:val="0"/>
        <w:rPr>
          <w:rFonts w:hint="default" w:ascii="Times New Roman" w:hAnsi="Times New Roman" w:eastAsia="FangSong_GB2312" w:cs="Times New Roman"/>
          <w:b/>
          <w:bCs/>
          <w:color w:val="auto"/>
          <w:sz w:val="10"/>
          <w:szCs w:val="10"/>
        </w:rPr>
      </w:pPr>
    </w:p>
    <w:p>
      <w:pPr>
        <w:shd w:val="clear" w:color="auto" w:fill="auto"/>
        <w:snapToGrid w:val="0"/>
        <w:rPr>
          <w:rFonts w:hint="default" w:ascii="Times New Roman" w:hAnsi="Times New Roman" w:eastAsia="FangSong_GB2312" w:cs="Times New Roman"/>
          <w:b/>
          <w:bCs/>
          <w:color w:val="auto"/>
          <w:sz w:val="10"/>
          <w:szCs w:val="10"/>
        </w:rPr>
      </w:pPr>
    </w:p>
    <w:p>
      <w:pPr>
        <w:shd w:val="clear" w:color="auto" w:fill="auto"/>
        <w:snapToGrid w:val="0"/>
        <w:rPr>
          <w:rFonts w:hint="default" w:ascii="Times New Roman" w:hAnsi="Times New Roman" w:eastAsia="FangSong_GB2312" w:cs="Times New Roman"/>
          <w:b/>
          <w:bCs/>
          <w:color w:val="auto"/>
          <w:sz w:val="10"/>
          <w:szCs w:val="10"/>
        </w:rPr>
      </w:pPr>
      <w:r>
        <w:rPr>
          <w:rFonts w:hint="default" w:ascii="Times New Roman" w:hAnsi="Times New Roman" w:eastAsia="FangSong_GB2312" w:cs="Times New Roman"/>
          <w:b/>
          <w:bCs/>
          <w:color w:val="auto"/>
          <w:sz w:val="10"/>
          <w:szCs w:val="10"/>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6"/>
        <w:gridCol w:w="2646"/>
      </w:tblGrid>
      <w:tr>
        <w:trPr>
          <w:trHeight w:val="369"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宋体" w:cs="Times New Roman"/>
                <w:b/>
                <w:bCs/>
                <w:color w:val="auto"/>
                <w:sz w:val="20"/>
                <w:szCs w:val="20"/>
              </w:rPr>
              <w:t>（三）水污染防治类</w:t>
            </w:r>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宋体" w:cs="Times New Roman"/>
                <w:b/>
                <w:bCs/>
                <w:color w:val="auto"/>
                <w:sz w:val="20"/>
                <w:szCs w:val="20"/>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rPr>
            </w:pPr>
            <w:bookmarkStart w:id="134" w:name="_Toc3958"/>
            <w:r>
              <w:rPr>
                <w:rFonts w:hint="default" w:ascii="Times New Roman" w:hAnsi="Times New Roman" w:cs="Times New Roman"/>
                <w:color w:val="auto"/>
                <w:sz w:val="20"/>
                <w:szCs w:val="20"/>
              </w:rPr>
              <w:t>16</w:t>
            </w:r>
            <w:bookmarkEnd w:id="134"/>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kern w:val="0"/>
                <w:sz w:val="20"/>
                <w:szCs w:val="20"/>
              </w:rPr>
            </w:pPr>
            <w:r>
              <w:rPr>
                <w:rFonts w:hint="default" w:ascii="Times New Roman" w:hAnsi="宋体" w:cs="Times New Roman"/>
                <w:b/>
                <w:bCs/>
                <w:color w:val="auto"/>
                <w:kern w:val="0"/>
                <w:sz w:val="20"/>
                <w:szCs w:val="20"/>
              </w:rPr>
              <w:t>违法行为</w:t>
            </w:r>
          </w:p>
        </w:tc>
        <w:tc>
          <w:tcPr>
            <w:tcW w:w="769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0" w:firstLineChars="200"/>
              <w:outlineLvl w:val="9"/>
              <w:rPr>
                <w:rFonts w:hint="default" w:ascii="Times New Roman" w:hAnsi="Times New Roman" w:cs="Times New Roman"/>
                <w:color w:val="auto"/>
                <w:kern w:val="0"/>
                <w:sz w:val="20"/>
                <w:szCs w:val="20"/>
              </w:rPr>
            </w:pPr>
            <w:bookmarkStart w:id="135" w:name="_Toc2457"/>
            <w:r>
              <w:rPr>
                <w:rFonts w:hint="default" w:ascii="Times New Roman" w:hAnsi="宋体" w:cs="Times New Roman"/>
                <w:color w:val="auto"/>
                <w:kern w:val="0"/>
                <w:sz w:val="20"/>
                <w:szCs w:val="20"/>
              </w:rPr>
              <w:t>违反国家有关规定或者标准，向水体排放含低放射性物质的废水、热废水或者含病原体的污水的</w:t>
            </w:r>
            <w:bookmarkEnd w:id="135"/>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宋体" w:cs="Times New Roman"/>
                <w:b/>
                <w:bCs/>
                <w:color w:val="auto"/>
                <w:sz w:val="20"/>
                <w:szCs w:val="20"/>
              </w:rPr>
              <w:t>违反条款</w:t>
            </w:r>
          </w:p>
        </w:tc>
        <w:tc>
          <w:tcPr>
            <w:tcW w:w="769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rPr>
            </w:pPr>
            <w:r>
              <w:rPr>
                <w:rFonts w:hint="default" w:ascii="Times New Roman" w:hAnsi="宋体" w:cs="Times New Roman"/>
                <w:b/>
                <w:bCs/>
                <w:color w:val="auto"/>
                <w:kern w:val="0"/>
                <w:sz w:val="20"/>
                <w:szCs w:val="20"/>
              </w:rPr>
              <w:t>《中华人民共和国水污染防治法》第三十四条第二款</w:t>
            </w:r>
            <w:r>
              <w:rPr>
                <w:rFonts w:hint="default" w:ascii="Times New Roman" w:hAnsi="Times New Roman" w:cs="Times New Roman"/>
                <w:color w:val="auto"/>
                <w:kern w:val="0"/>
                <w:sz w:val="20"/>
                <w:szCs w:val="20"/>
              </w:rPr>
              <w:t xml:space="preserve"> </w:t>
            </w:r>
            <w:r>
              <w:rPr>
                <w:rFonts w:hint="default" w:ascii="Times New Roman" w:hAnsi="宋体" w:cs="Times New Roman"/>
                <w:color w:val="auto"/>
                <w:kern w:val="0"/>
                <w:sz w:val="20"/>
                <w:szCs w:val="20"/>
              </w:rPr>
              <w:t>向水体排放含低放射性物质的废水，应当符合国家有关放射性污染防治的规定和标准。</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rPr>
            </w:pPr>
            <w:r>
              <w:rPr>
                <w:rFonts w:hint="default" w:ascii="Times New Roman" w:hAnsi="宋体" w:cs="Times New Roman"/>
                <w:b/>
                <w:bCs/>
                <w:color w:val="auto"/>
                <w:kern w:val="0"/>
                <w:sz w:val="20"/>
                <w:szCs w:val="20"/>
              </w:rPr>
              <w:t>第三十五条</w:t>
            </w:r>
            <w:r>
              <w:rPr>
                <w:rFonts w:hint="default" w:ascii="Times New Roman" w:hAnsi="Times New Roman" w:cs="Times New Roman"/>
                <w:b/>
                <w:bCs/>
                <w:color w:val="auto"/>
                <w:kern w:val="0"/>
                <w:sz w:val="20"/>
                <w:szCs w:val="20"/>
              </w:rPr>
              <w:t xml:space="preserve"> </w:t>
            </w:r>
            <w:r>
              <w:rPr>
                <w:rFonts w:hint="default" w:ascii="Times New Roman" w:hAnsi="宋体" w:cs="Times New Roman"/>
                <w:color w:val="auto"/>
                <w:kern w:val="0"/>
                <w:sz w:val="20"/>
                <w:szCs w:val="20"/>
              </w:rPr>
              <w:t>向水体排放含热废水，应当采取措施，保证水体的水温符合水环境质量标准。</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2" w:firstLineChars="200"/>
              <w:jc w:val="left"/>
              <w:rPr>
                <w:rFonts w:hint="default" w:ascii="Times New Roman" w:hAnsi="Times New Roman" w:cs="Times New Roman"/>
                <w:b/>
                <w:bCs/>
                <w:color w:val="auto"/>
                <w:kern w:val="0"/>
                <w:sz w:val="20"/>
                <w:szCs w:val="20"/>
              </w:rPr>
            </w:pPr>
            <w:r>
              <w:rPr>
                <w:rFonts w:hint="default" w:ascii="Times New Roman" w:hAnsi="宋体" w:cs="Times New Roman"/>
                <w:b/>
                <w:bCs/>
                <w:color w:val="auto"/>
                <w:kern w:val="0"/>
                <w:sz w:val="20"/>
                <w:szCs w:val="20"/>
              </w:rPr>
              <w:t>第三十六条</w:t>
            </w:r>
            <w:r>
              <w:rPr>
                <w:rFonts w:hint="default" w:ascii="Times New Roman" w:hAnsi="Times New Roman" w:cs="Times New Roman"/>
                <w:b/>
                <w:bCs/>
                <w:color w:val="auto"/>
                <w:kern w:val="0"/>
                <w:sz w:val="20"/>
                <w:szCs w:val="20"/>
              </w:rPr>
              <w:t xml:space="preserve"> </w:t>
            </w:r>
            <w:r>
              <w:rPr>
                <w:rFonts w:hint="default" w:ascii="Times New Roman" w:hAnsi="宋体" w:cs="Times New Roman"/>
                <w:color w:val="auto"/>
                <w:kern w:val="0"/>
                <w:sz w:val="20"/>
                <w:szCs w:val="20"/>
              </w:rPr>
              <w:t>含病原体的污水应当经过消毒处理；符合国家有关标准后，方可排放。</w:t>
            </w:r>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宋体" w:cs="Times New Roman"/>
                <w:b/>
                <w:bCs/>
                <w:color w:val="auto"/>
                <w:sz w:val="20"/>
                <w:szCs w:val="20"/>
              </w:rPr>
              <w:t>处罚依据</w:t>
            </w:r>
          </w:p>
        </w:tc>
        <w:tc>
          <w:tcPr>
            <w:tcW w:w="7692" w:type="dxa"/>
            <w:gridSpan w:val="2"/>
            <w:vAlign w:val="center"/>
          </w:tcPr>
          <w:p>
            <w:pPr>
              <w:widowControl/>
              <w:shd w:val="clear" w:color="auto" w:fill="auto"/>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rPr>
            </w:pPr>
            <w:r>
              <w:rPr>
                <w:rFonts w:hint="default" w:ascii="Times New Roman" w:hAnsi="宋体" w:cs="Times New Roman"/>
                <w:b/>
                <w:bCs/>
                <w:color w:val="auto"/>
                <w:kern w:val="0"/>
                <w:sz w:val="20"/>
                <w:szCs w:val="20"/>
              </w:rPr>
              <w:t>《中华人民共和国水污染防治法》第八十五条第一款第（六）项、第二款</w:t>
            </w:r>
            <w:r>
              <w:rPr>
                <w:rFonts w:hint="default" w:ascii="Times New Roman" w:hAnsi="Times New Roman" w:cs="Times New Roman"/>
                <w:b/>
                <w:bCs/>
                <w:color w:val="auto"/>
                <w:kern w:val="0"/>
                <w:sz w:val="20"/>
                <w:szCs w:val="20"/>
              </w:rPr>
              <w:t xml:space="preserve"> </w:t>
            </w:r>
            <w:r>
              <w:rPr>
                <w:rFonts w:hint="default" w:ascii="Times New Roman" w:hAnsi="宋体" w:cs="Times New Roman"/>
                <w:color w:val="auto"/>
                <w:kern w:val="0"/>
                <w:sz w:val="20"/>
                <w:szCs w:val="20"/>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widowControl/>
              <w:shd w:val="clear" w:color="auto" w:fill="auto"/>
              <w:snapToGrid w:val="0"/>
              <w:spacing w:before="0" w:beforeAutospacing="0" w:after="0" w:afterAutospacing="0" w:line="320" w:lineRule="exact"/>
              <w:ind w:left="0" w:right="0" w:firstLine="420" w:firstLineChars="200"/>
              <w:jc w:val="left"/>
              <w:rPr>
                <w:rFonts w:hint="default" w:ascii="Times New Roman" w:hAnsi="Times New Roman" w:cs="Times New Roman"/>
                <w:color w:val="auto"/>
                <w:kern w:val="0"/>
                <w:sz w:val="20"/>
                <w:szCs w:val="20"/>
              </w:rPr>
            </w:pPr>
            <w:r>
              <w:rPr>
                <w:rFonts w:hint="default" w:ascii="Times New Roman" w:hAnsi="宋体" w:cs="Times New Roman"/>
                <w:color w:val="auto"/>
                <w:kern w:val="0"/>
                <w:sz w:val="20"/>
                <w:szCs w:val="20"/>
              </w:rPr>
              <w:t>（六）违反国家有关规定或者标准，向水体排放含低放射性物质的废水、热废水或者含病原体的污水的。</w:t>
            </w:r>
          </w:p>
          <w:p>
            <w:pPr>
              <w:widowControl/>
              <w:shd w:val="clear" w:color="auto" w:fill="auto"/>
              <w:snapToGrid w:val="0"/>
              <w:spacing w:before="0" w:beforeAutospacing="0" w:after="0" w:afterAutospacing="0" w:line="320" w:lineRule="exact"/>
              <w:ind w:left="0" w:right="0" w:firstLine="420" w:firstLineChars="200"/>
              <w:jc w:val="left"/>
              <w:rPr>
                <w:rFonts w:hint="default" w:ascii="Times New Roman" w:hAnsi="Times New Roman" w:cs="Times New Roman"/>
                <w:color w:val="auto"/>
                <w:kern w:val="0"/>
                <w:sz w:val="20"/>
                <w:szCs w:val="20"/>
              </w:rPr>
            </w:pPr>
            <w:r>
              <w:rPr>
                <w:rFonts w:hint="default" w:ascii="Times New Roman" w:hAnsi="宋体" w:cs="Times New Roman"/>
                <w:color w:val="auto"/>
                <w:kern w:val="0"/>
                <w:sz w:val="20"/>
                <w:szCs w:val="2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宋体" w:cs="Times New Roman"/>
                <w:b/>
                <w:bCs/>
                <w:color w:val="auto"/>
                <w:sz w:val="20"/>
                <w:szCs w:val="20"/>
              </w:rPr>
              <w:t>裁量因素</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宋体" w:cs="Times New Roman"/>
                <w:b/>
                <w:bCs/>
                <w:color w:val="auto"/>
                <w:sz w:val="20"/>
                <w:szCs w:val="20"/>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宋体" w:cs="Times New Roman"/>
                <w:b/>
                <w:bCs/>
                <w:color w:val="auto"/>
                <w:sz w:val="20"/>
                <w:szCs w:val="20"/>
              </w:rPr>
              <w:t>裁量等级</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宋体" w:cs="Times New Roman"/>
                <w:b/>
                <w:bCs/>
                <w:color w:val="auto"/>
                <w:sz w:val="20"/>
                <w:szCs w:val="20"/>
                <w:lang w:val="en-US"/>
              </w:rPr>
            </w:pPr>
            <w:r>
              <w:rPr>
                <w:rFonts w:hint="default" w:ascii="宋体" w:hAnsi="宋体" w:cs="Times New Roman"/>
                <w:b/>
                <w:bCs/>
                <w:color w:val="auto"/>
                <w:sz w:val="20"/>
                <w:szCs w:val="20"/>
              </w:rPr>
              <w:t>★</w:t>
            </w:r>
            <w:r>
              <w:rPr>
                <w:rFonts w:hint="default" w:ascii="Times New Roman" w:hAnsi="宋体" w:cs="Times New Roman"/>
                <w:b/>
                <w:bCs/>
                <w:color w:val="auto"/>
                <w:sz w:val="20"/>
                <w:szCs w:val="20"/>
                <w:lang w:val="en-US"/>
              </w:rPr>
              <w:t>污染物</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宋体" w:cs="Times New Roman"/>
                <w:b/>
                <w:bCs/>
                <w:color w:val="auto"/>
                <w:sz w:val="20"/>
                <w:szCs w:val="20"/>
                <w:lang w:val="en-US"/>
              </w:rPr>
              <w:t>类别</w:t>
            </w:r>
          </w:p>
        </w:tc>
        <w:tc>
          <w:tcPr>
            <w:tcW w:w="5046"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含低放射性物质的废水、热废水</w:t>
            </w:r>
          </w:p>
        </w:tc>
        <w:tc>
          <w:tcPr>
            <w:tcW w:w="2646" w:type="dxa"/>
            <w:vAlign w:val="center"/>
          </w:tcPr>
          <w:p>
            <w:pPr>
              <w:pStyle w:val="19"/>
              <w:shd w:val="clear" w:color="auto" w:fill="auto"/>
              <w:snapToGrid w:val="0"/>
              <w:spacing w:before="0" w:beforeAutospacing="0" w:after="0" w:afterAutospacing="0" w:line="320" w:lineRule="exact"/>
              <w:ind w:left="40" w:right="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宋体" w:cs="Times New Roman"/>
                <w:color w:val="auto"/>
                <w:sz w:val="20"/>
                <w:szCs w:val="20"/>
              </w:rPr>
              <w:t>含病原体的污水</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宋体" w:cs="Times New Roman"/>
                <w:b/>
                <w:bCs/>
                <w:color w:val="auto"/>
                <w:sz w:val="20"/>
                <w:szCs w:val="20"/>
                <w:lang w:val="en-US"/>
              </w:rPr>
              <w:t>污染物</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r>
              <w:rPr>
                <w:rFonts w:hint="default" w:ascii="Times New Roman" w:hAnsi="宋体" w:cs="Times New Roman"/>
                <w:b/>
                <w:bCs/>
                <w:color w:val="auto"/>
                <w:sz w:val="20"/>
                <w:szCs w:val="20"/>
              </w:rPr>
              <w:t>排放量</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2</w:t>
            </w:r>
            <w:r>
              <w:rPr>
                <w:rFonts w:hint="default" w:ascii="Times New Roman" w:hAnsi="宋体" w:cs="Times New Roman"/>
                <w:color w:val="auto"/>
                <w:sz w:val="20"/>
                <w:szCs w:val="20"/>
              </w:rPr>
              <w:t>吨以下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2</w:t>
            </w:r>
            <w:r>
              <w:rPr>
                <w:rFonts w:hint="default" w:ascii="Times New Roman" w:hAnsi="宋体" w:cs="Times New Roman"/>
                <w:color w:val="auto"/>
                <w:sz w:val="20"/>
                <w:szCs w:val="20"/>
              </w:rPr>
              <w:t>吨以上</w:t>
            </w:r>
            <w:r>
              <w:rPr>
                <w:rFonts w:hint="default" w:ascii="Times New Roman" w:hAnsi="Times New Roman" w:cs="Times New Roman"/>
                <w:color w:val="auto"/>
                <w:sz w:val="20"/>
                <w:szCs w:val="20"/>
              </w:rPr>
              <w:t>5</w:t>
            </w:r>
            <w:r>
              <w:rPr>
                <w:rFonts w:hint="default" w:ascii="Times New Roman" w:hAnsi="宋体" w:cs="Times New Roman"/>
                <w:color w:val="auto"/>
                <w:sz w:val="20"/>
                <w:szCs w:val="20"/>
              </w:rPr>
              <w:t>吨以下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2</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5</w:t>
            </w:r>
            <w:r>
              <w:rPr>
                <w:rFonts w:hint="default" w:ascii="Times New Roman" w:hAnsi="宋体" w:cs="Times New Roman"/>
                <w:color w:val="auto"/>
                <w:sz w:val="20"/>
                <w:szCs w:val="20"/>
              </w:rPr>
              <w:t>吨以上</w:t>
            </w:r>
            <w:r>
              <w:rPr>
                <w:rFonts w:hint="default" w:ascii="Times New Roman" w:hAnsi="Times New Roman" w:cs="Times New Roman"/>
                <w:color w:val="auto"/>
                <w:sz w:val="20"/>
                <w:szCs w:val="20"/>
              </w:rPr>
              <w:t>10</w:t>
            </w:r>
            <w:r>
              <w:rPr>
                <w:rFonts w:hint="default" w:ascii="Times New Roman" w:hAnsi="宋体" w:cs="Times New Roman"/>
                <w:color w:val="auto"/>
                <w:sz w:val="20"/>
                <w:szCs w:val="20"/>
              </w:rPr>
              <w:t>吨以下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10</w:t>
            </w:r>
            <w:r>
              <w:rPr>
                <w:rFonts w:hint="default" w:ascii="Times New Roman" w:hAnsi="宋体" w:cs="Times New Roman"/>
                <w:color w:val="auto"/>
                <w:sz w:val="20"/>
                <w:szCs w:val="20"/>
              </w:rPr>
              <w:t>吨以上</w:t>
            </w:r>
            <w:r>
              <w:rPr>
                <w:rFonts w:hint="default" w:ascii="Times New Roman" w:hAnsi="Times New Roman" w:cs="Times New Roman"/>
                <w:color w:val="auto"/>
                <w:sz w:val="20"/>
                <w:szCs w:val="20"/>
              </w:rPr>
              <w:t>20</w:t>
            </w:r>
            <w:r>
              <w:rPr>
                <w:rFonts w:hint="default" w:ascii="Times New Roman" w:hAnsi="宋体" w:cs="Times New Roman"/>
                <w:color w:val="auto"/>
                <w:sz w:val="20"/>
                <w:szCs w:val="20"/>
              </w:rPr>
              <w:t>吨以下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4</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20</w:t>
            </w:r>
            <w:r>
              <w:rPr>
                <w:rFonts w:hint="default" w:ascii="Times New Roman" w:hAnsi="宋体" w:cs="Times New Roman"/>
                <w:color w:val="auto"/>
                <w:sz w:val="20"/>
                <w:szCs w:val="20"/>
              </w:rPr>
              <w:t>吨以上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5</w:t>
            </w:r>
          </w:p>
        </w:tc>
      </w:tr>
      <w:tr>
        <w:trPr>
          <w:trHeight w:val="425" w:hRule="atLeast"/>
          <w:jc w:val="center"/>
        </w:trPr>
        <w:tc>
          <w:tcPr>
            <w:tcW w:w="1368" w:type="dxa"/>
            <w:vMerge w:val="restart"/>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lang w:eastAsia="zh-CN"/>
              </w:rPr>
            </w:pPr>
            <w:r>
              <w:rPr>
                <w:rFonts w:hint="default" w:ascii="Times New Roman" w:hAnsi="宋体" w:eastAsia="宋体" w:cs="Calibri"/>
                <w:b/>
                <w:color w:val="auto"/>
                <w:kern w:val="2"/>
                <w:sz w:val="21"/>
                <w:szCs w:val="21"/>
                <w:lang w:val="en-US" w:eastAsia="zh-CN"/>
              </w:rPr>
              <w:t>区域影响</w:t>
            </w: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宋体" w:cs="Times New Roman"/>
                <w:color w:val="auto"/>
                <w:sz w:val="20"/>
                <w:szCs w:val="20"/>
                <w:lang w:eastAsia="zh-CN"/>
              </w:rPr>
            </w:pPr>
            <w:r>
              <w:rPr>
                <w:rFonts w:hint="default" w:ascii="Times New Roman" w:hAnsi="宋体" w:eastAsia="宋体" w:cs="Calibri"/>
                <w:color w:val="auto"/>
                <w:kern w:val="2"/>
                <w:sz w:val="21"/>
                <w:szCs w:val="21"/>
                <w:lang w:val="en-US" w:eastAsia="zh-CN"/>
              </w:rPr>
              <w:t>县级行政区域内</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lang w:val="en-US" w:eastAsia="zh-CN"/>
              </w:rPr>
            </w:pPr>
            <w:r>
              <w:rPr>
                <w:rFonts w:hint="default" w:ascii="Times New Roman" w:hAnsi="Times New Roman" w:eastAsia="宋体" w:cs="Calibri"/>
                <w:color w:val="auto"/>
                <w:kern w:val="2"/>
                <w:sz w:val="21"/>
                <w:szCs w:val="21"/>
                <w:lang w:val="en-US" w:eastAsia="zh-CN"/>
              </w:rPr>
              <w:t>1</w:t>
            </w:r>
          </w:p>
        </w:tc>
      </w:tr>
      <w:tr>
        <w:trPr>
          <w:trHeight w:val="425"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lang w:eastAsia="zh-CN"/>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宋体" w:cs="Times New Roman"/>
                <w:color w:val="auto"/>
                <w:sz w:val="20"/>
                <w:szCs w:val="20"/>
                <w:lang w:eastAsia="zh-CN"/>
              </w:rPr>
            </w:pPr>
            <w:r>
              <w:rPr>
                <w:rFonts w:hint="default" w:ascii="Times New Roman" w:hAnsi="宋体" w:eastAsia="宋体" w:cs="Calibri"/>
                <w:color w:val="auto"/>
                <w:kern w:val="2"/>
                <w:sz w:val="21"/>
                <w:szCs w:val="21"/>
                <w:lang w:val="en-US" w:eastAsia="zh-CN"/>
              </w:rPr>
              <w:t>跨县级行政区域</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lang w:val="en-US" w:eastAsia="zh-CN"/>
              </w:rPr>
            </w:pPr>
            <w:r>
              <w:rPr>
                <w:rFonts w:hint="default" w:ascii="Times New Roman" w:hAnsi="Times New Roman" w:eastAsia="宋体" w:cs="Calibri"/>
                <w:color w:val="auto"/>
                <w:kern w:val="2"/>
                <w:sz w:val="21"/>
                <w:szCs w:val="21"/>
                <w:lang w:val="en-US" w:eastAsia="zh-CN"/>
              </w:rPr>
              <w:t>3</w:t>
            </w:r>
          </w:p>
        </w:tc>
      </w:tr>
      <w:tr>
        <w:trPr>
          <w:trHeight w:val="425"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lang w:eastAsia="zh-CN"/>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宋体" w:cs="Times New Roman"/>
                <w:color w:val="auto"/>
                <w:sz w:val="20"/>
                <w:szCs w:val="20"/>
                <w:lang w:eastAsia="zh-CN"/>
              </w:rPr>
            </w:pPr>
            <w:r>
              <w:rPr>
                <w:rFonts w:hint="default" w:ascii="Times New Roman" w:hAnsi="宋体" w:eastAsia="宋体" w:cs="Calibri"/>
                <w:color w:val="auto"/>
                <w:kern w:val="2"/>
                <w:sz w:val="21"/>
                <w:szCs w:val="21"/>
                <w:lang w:val="en-US" w:eastAsia="zh-CN"/>
              </w:rPr>
              <w:t>跨市级行政区域</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lang w:val="en-US" w:eastAsia="zh-CN"/>
              </w:rPr>
            </w:pPr>
            <w:r>
              <w:rPr>
                <w:rFonts w:hint="default" w:ascii="Times New Roman" w:hAnsi="Times New Roman" w:eastAsia="宋体" w:cs="Calibri"/>
                <w:color w:val="auto"/>
                <w:kern w:val="2"/>
                <w:sz w:val="21"/>
                <w:szCs w:val="21"/>
                <w:lang w:val="en-US" w:eastAsia="zh-CN"/>
              </w:rPr>
              <w:t>4</w:t>
            </w:r>
          </w:p>
        </w:tc>
      </w:tr>
      <w:tr>
        <w:trPr>
          <w:trHeight w:val="425"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lang w:eastAsia="zh-CN"/>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宋体" w:cs="Times New Roman"/>
                <w:color w:val="auto"/>
                <w:sz w:val="20"/>
                <w:szCs w:val="20"/>
                <w:lang w:eastAsia="zh-CN"/>
              </w:rPr>
            </w:pPr>
            <w:r>
              <w:rPr>
                <w:rFonts w:hint="default" w:ascii="Times New Roman" w:hAnsi="宋体" w:eastAsia="宋体" w:cs="Calibri"/>
                <w:color w:val="auto"/>
                <w:kern w:val="2"/>
                <w:sz w:val="21"/>
                <w:szCs w:val="21"/>
                <w:lang w:val="en-US" w:eastAsia="zh-CN"/>
              </w:rPr>
              <w:t>跨省级行政区域</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lang w:val="en-US" w:eastAsia="zh-CN"/>
              </w:rPr>
            </w:pPr>
            <w:r>
              <w:rPr>
                <w:rFonts w:hint="default" w:ascii="Times New Roman" w:hAnsi="Times New Roman" w:eastAsia="宋体" w:cs="Calibri"/>
                <w:color w:val="auto"/>
                <w:kern w:val="2"/>
                <w:sz w:val="21"/>
                <w:szCs w:val="21"/>
                <w:lang w:val="en-US" w:eastAsia="zh-CN"/>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cs="Times New Roman"/>
                <w:b/>
                <w:bCs/>
                <w:color w:val="auto"/>
                <w:sz w:val="20"/>
                <w:szCs w:val="20"/>
                <w:lang w:eastAsia="zh-CN"/>
              </w:rPr>
              <w:t>企业规模</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宋体" w:eastAsia="宋体" w:cs="Times New Roman"/>
                <w:color w:val="auto"/>
                <w:kern w:val="2"/>
                <w:sz w:val="21"/>
                <w:szCs w:val="21"/>
                <w:lang w:val="en-US" w:eastAsia="zh-CN" w:bidi="ar-SA"/>
              </w:rPr>
            </w:pPr>
            <w:r>
              <w:rPr>
                <w:rFonts w:hint="default" w:ascii="Times New Roman" w:hAnsi="宋体" w:cs="Times New Roman"/>
                <w:color w:val="auto"/>
                <w:sz w:val="20"/>
                <w:szCs w:val="20"/>
                <w:lang w:eastAsia="zh-CN"/>
              </w:rPr>
              <w:t>微型企业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0"/>
                <w:szCs w:val="20"/>
                <w:lang w:val="en-US" w:eastAsia="zh-CN"/>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宋体" w:eastAsia="宋体" w:cs="Times New Roman"/>
                <w:color w:val="auto"/>
                <w:kern w:val="2"/>
                <w:sz w:val="21"/>
                <w:szCs w:val="21"/>
                <w:lang w:val="en-US" w:eastAsia="zh-CN" w:bidi="ar-SA"/>
              </w:rPr>
            </w:pPr>
            <w:r>
              <w:rPr>
                <w:rFonts w:hint="default" w:ascii="Times New Roman" w:hAnsi="宋体" w:cs="Times New Roman"/>
                <w:color w:val="auto"/>
                <w:sz w:val="20"/>
                <w:szCs w:val="20"/>
                <w:lang w:eastAsia="zh-CN"/>
              </w:rPr>
              <w:t>小型企业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0"/>
                <w:szCs w:val="20"/>
                <w:lang w:val="en-US" w:eastAsia="zh-CN"/>
              </w:rPr>
              <w:t>2</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宋体" w:cs="Times New Roman"/>
                <w:b/>
                <w:bCs/>
                <w:color w:val="auto"/>
                <w:sz w:val="20"/>
                <w:szCs w:val="20"/>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宋体" w:eastAsia="宋体" w:cs="Times New Roman"/>
                <w:color w:val="auto"/>
                <w:kern w:val="2"/>
                <w:sz w:val="21"/>
                <w:szCs w:val="21"/>
                <w:lang w:val="en-US" w:eastAsia="zh-CN" w:bidi="ar-SA"/>
              </w:rPr>
            </w:pPr>
            <w:r>
              <w:rPr>
                <w:rFonts w:hint="default" w:ascii="Times New Roman" w:hAnsi="宋体" w:cs="Times New Roman"/>
                <w:color w:val="auto"/>
                <w:sz w:val="20"/>
                <w:szCs w:val="20"/>
                <w:lang w:eastAsia="zh-CN"/>
              </w:rPr>
              <w:t>中型企业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0"/>
                <w:szCs w:val="20"/>
                <w:lang w:val="en-US" w:eastAsia="zh-CN"/>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宋体" w:cs="Times New Roman"/>
                <w:b/>
                <w:bCs/>
                <w:color w:val="auto"/>
                <w:sz w:val="20"/>
                <w:szCs w:val="20"/>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宋体" w:eastAsia="宋体" w:cs="Times New Roman"/>
                <w:color w:val="auto"/>
                <w:kern w:val="2"/>
                <w:sz w:val="21"/>
                <w:szCs w:val="21"/>
                <w:lang w:val="en-US" w:eastAsia="zh-CN" w:bidi="ar-SA"/>
              </w:rPr>
            </w:pPr>
            <w:r>
              <w:rPr>
                <w:rFonts w:hint="default" w:ascii="Times New Roman" w:hAnsi="宋体" w:cs="Times New Roman"/>
                <w:color w:val="auto"/>
                <w:sz w:val="20"/>
                <w:szCs w:val="20"/>
                <w:lang w:eastAsia="zh-CN"/>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0"/>
                <w:szCs w:val="20"/>
                <w:lang w:val="en-US" w:eastAsia="zh-CN"/>
              </w:rPr>
              <w:t>4</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lang w:val="en-US"/>
              </w:rPr>
            </w:pPr>
            <w:r>
              <w:rPr>
                <w:rFonts w:hint="default" w:ascii="Times New Roman" w:hAnsi="Times New Roman" w:cs="Times New Roman"/>
                <w:b/>
                <w:bCs/>
                <w:color w:val="auto"/>
                <w:sz w:val="20"/>
                <w:szCs w:val="20"/>
                <w:lang w:val="en-US"/>
              </w:rPr>
              <w:t>管理类别</w:t>
            </w: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2</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3</w:t>
            </w:r>
          </w:p>
        </w:tc>
      </w:tr>
      <w:tr>
        <w:trPr>
          <w:trHeight w:val="425" w:hRule="atLeast"/>
          <w:jc w:val="center"/>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改正时间</w:t>
            </w:r>
          </w:p>
        </w:tc>
        <w:tc>
          <w:tcPr>
            <w:tcW w:w="50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lang w:eastAsia="zh-CN"/>
              </w:rPr>
            </w:pPr>
            <w:r>
              <w:rPr>
                <w:rFonts w:hint="eastAsia" w:ascii="Times New Roman" w:hAnsi="Times New Roman" w:cs="Times New Roman"/>
                <w:color w:val="auto"/>
                <w:kern w:val="2"/>
                <w:sz w:val="21"/>
                <w:szCs w:val="21"/>
                <w:shd w:val="clear" w:color="auto" w:fill="auto"/>
                <w:lang w:eastAsia="zh-CN"/>
              </w:rPr>
              <w:t>限期改正</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4</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eastAsia="zh-CN"/>
              </w:rPr>
            </w:pPr>
            <w:r>
              <w:rPr>
                <w:rFonts w:hint="default" w:ascii="Times New Roman" w:hAnsi="Times New Roman" w:cs="Times New Roman"/>
                <w:color w:val="auto"/>
                <w:sz w:val="20"/>
                <w:szCs w:val="20"/>
                <w:shd w:val="clear" w:color="auto" w:fill="auto"/>
                <w:lang w:val="en-US" w:eastAsia="zh-CN"/>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受处罚次数</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两年内未受过同类处罚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两年内受过同类处罚</w:t>
            </w:r>
            <w:r>
              <w:rPr>
                <w:rFonts w:hint="default" w:ascii="Times New Roman" w:hAnsi="Times New Roman" w:cs="Times New Roman"/>
                <w:color w:val="auto"/>
                <w:sz w:val="20"/>
                <w:szCs w:val="20"/>
                <w:shd w:val="clear" w:color="auto" w:fill="auto"/>
                <w:lang w:val="en-US" w:eastAsia="zh-CN"/>
              </w:rPr>
              <w:t>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两年内受过同类处罚</w:t>
            </w:r>
            <w:r>
              <w:rPr>
                <w:rFonts w:hint="default" w:ascii="Times New Roman" w:hAnsi="Times New Roman" w:cs="Times New Roman"/>
                <w:color w:val="auto"/>
                <w:sz w:val="20"/>
                <w:szCs w:val="20"/>
                <w:shd w:val="clear" w:color="auto" w:fill="auto"/>
                <w:lang w:val="en-US" w:eastAsia="zh-CN"/>
              </w:rPr>
              <w:t>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69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r>
        <w:rPr>
          <w:rFonts w:hint="default" w:ascii="Times New Roman" w:hAnsi="Times New Roman" w:eastAsia="FangSong_GB2312" w:cs="Times New Roman"/>
          <w:b/>
          <w:bCs/>
          <w:color w:val="auto"/>
          <w:sz w:val="10"/>
          <w:szCs w:val="10"/>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907"/>
        <w:gridCol w:w="1785"/>
      </w:tblGrid>
      <w:tr>
        <w:trPr>
          <w:trHeight w:val="369"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（三）水污染防治类</w:t>
            </w:r>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36" w:name="_Toc28924"/>
            <w:r>
              <w:rPr>
                <w:rFonts w:hint="default" w:ascii="Times New Roman" w:hAnsi="Times New Roman" w:cs="Times New Roman"/>
                <w:color w:val="auto"/>
                <w:sz w:val="20"/>
                <w:szCs w:val="20"/>
                <w:shd w:val="clear" w:color="auto" w:fill="auto"/>
              </w:rPr>
              <w:t>17</w:t>
            </w:r>
            <w:bookmarkEnd w:id="136"/>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69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outlineLvl w:val="9"/>
              <w:rPr>
                <w:rFonts w:hint="default" w:ascii="Times New Roman" w:hAnsi="Times New Roman" w:cs="Times New Roman"/>
                <w:color w:val="auto"/>
                <w:kern w:val="0"/>
                <w:sz w:val="20"/>
                <w:szCs w:val="20"/>
                <w:shd w:val="clear" w:color="auto" w:fill="auto"/>
              </w:rPr>
            </w:pPr>
            <w:bookmarkStart w:id="137" w:name="_Toc2269"/>
            <w:r>
              <w:rPr>
                <w:rFonts w:hint="default" w:ascii="Times New Roman" w:hAnsi="Times New Roman" w:cs="Times New Roman"/>
                <w:color w:val="auto"/>
                <w:kern w:val="0"/>
                <w:sz w:val="20"/>
                <w:szCs w:val="20"/>
                <w:shd w:val="clear" w:color="auto" w:fill="auto"/>
              </w:rPr>
              <w:t>未采取防渗漏等措施，或者未建设地下水水质监测井进行监测的</w:t>
            </w:r>
            <w:bookmarkEnd w:id="137"/>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《中华人民共和国水污染防治法》第四十条第一款</w:t>
            </w:r>
            <w:r>
              <w:rPr>
                <w:rFonts w:hint="default" w:ascii="Times New Roman" w:hAnsi="Times New Roman" w:cs="Times New Roman"/>
                <w:color w:val="auto"/>
                <w:kern w:val="0"/>
                <w:sz w:val="20"/>
                <w:szCs w:val="20"/>
                <w:shd w:val="clear" w:color="auto" w:fill="auto"/>
              </w:rPr>
              <w:t xml:space="preserve"> 化学品生产企业以及工业集聚区、矿山开采区、尾矿库、危险废物处置场、垃圾填埋场等的运营、管理单位，应当采取防渗漏等措施，并建设地下水水质监测井进行监测，防止地下水污染。</w:t>
            </w:r>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widowControl/>
              <w:shd w:val="clear" w:color="auto" w:fill="auto"/>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《中华人民共和国水污染防治法》第八十五条第一款第（七）项、第二款 </w:t>
            </w:r>
            <w:r>
              <w:rPr>
                <w:rFonts w:hint="default" w:ascii="Times New Roman" w:hAnsi="Times New Roman" w:cs="Times New Roman"/>
                <w:color w:val="auto"/>
                <w:kern w:val="0"/>
                <w:sz w:val="20"/>
                <w:szCs w:val="20"/>
                <w:shd w:val="clear" w:color="auto" w:fill="auto"/>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widowControl/>
              <w:shd w:val="clear" w:color="auto" w:fill="auto"/>
              <w:snapToGrid w:val="0"/>
              <w:spacing w:before="0" w:beforeAutospacing="0" w:after="0" w:afterAutospacing="0" w:line="320" w:lineRule="exact"/>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（七）未采取防渗漏等措施，或者未建设地下水水质监测井进行监测的。</w:t>
            </w:r>
          </w:p>
          <w:p>
            <w:pPr>
              <w:widowControl/>
              <w:shd w:val="clear" w:color="auto" w:fill="auto"/>
              <w:snapToGrid w:val="0"/>
              <w:spacing w:before="0" w:beforeAutospacing="0" w:after="0" w:afterAutospacing="0" w:line="320" w:lineRule="exact"/>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rPr>
          <w:trHeight w:val="386"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90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178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86"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90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已采取防渗漏措施，未规范建设地下水水质监测井进行监测的</w:t>
            </w:r>
          </w:p>
        </w:tc>
        <w:tc>
          <w:tcPr>
            <w:tcW w:w="178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90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已采取防渗漏措施，未建设地下水水质监测井进行监测的</w:t>
            </w:r>
          </w:p>
        </w:tc>
        <w:tc>
          <w:tcPr>
            <w:tcW w:w="178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90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未规范采取防渗漏措施的、未采取防渗漏措施的</w:t>
            </w:r>
          </w:p>
        </w:tc>
        <w:tc>
          <w:tcPr>
            <w:tcW w:w="178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场所类别</w:t>
            </w:r>
          </w:p>
        </w:tc>
        <w:tc>
          <w:tcPr>
            <w:tcW w:w="590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矿山开采区</w:t>
            </w:r>
          </w:p>
        </w:tc>
        <w:tc>
          <w:tcPr>
            <w:tcW w:w="178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90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垃圾填埋场</w:t>
            </w:r>
          </w:p>
        </w:tc>
        <w:tc>
          <w:tcPr>
            <w:tcW w:w="178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90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尾矿库</w:t>
            </w:r>
          </w:p>
        </w:tc>
        <w:tc>
          <w:tcPr>
            <w:tcW w:w="178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90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化学品生产企业以及工业集聚区</w:t>
            </w:r>
          </w:p>
        </w:tc>
        <w:tc>
          <w:tcPr>
            <w:tcW w:w="178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90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危险废物处置场</w:t>
            </w:r>
          </w:p>
        </w:tc>
        <w:tc>
          <w:tcPr>
            <w:tcW w:w="178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管理类别</w:t>
            </w:r>
          </w:p>
        </w:tc>
        <w:tc>
          <w:tcPr>
            <w:tcW w:w="590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登记管理</w:t>
            </w:r>
          </w:p>
        </w:tc>
        <w:tc>
          <w:tcPr>
            <w:tcW w:w="178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90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简化管理</w:t>
            </w:r>
          </w:p>
        </w:tc>
        <w:tc>
          <w:tcPr>
            <w:tcW w:w="178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90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重点管理</w:t>
            </w:r>
          </w:p>
        </w:tc>
        <w:tc>
          <w:tcPr>
            <w:tcW w:w="178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86"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90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微型企业</w:t>
            </w:r>
          </w:p>
        </w:tc>
        <w:tc>
          <w:tcPr>
            <w:tcW w:w="178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90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小型企业</w:t>
            </w:r>
          </w:p>
        </w:tc>
        <w:tc>
          <w:tcPr>
            <w:tcW w:w="178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90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中型企业</w:t>
            </w:r>
          </w:p>
        </w:tc>
        <w:tc>
          <w:tcPr>
            <w:tcW w:w="178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90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大型企业</w:t>
            </w:r>
          </w:p>
        </w:tc>
        <w:tc>
          <w:tcPr>
            <w:tcW w:w="178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86" w:hRule="atLeast"/>
          <w:jc w:val="center"/>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90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178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86"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val="en-US"/>
              </w:rPr>
            </w:pPr>
          </w:p>
        </w:tc>
        <w:tc>
          <w:tcPr>
            <w:tcW w:w="590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178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86"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val="en-US"/>
              </w:rPr>
            </w:pPr>
          </w:p>
        </w:tc>
        <w:tc>
          <w:tcPr>
            <w:tcW w:w="590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178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86"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val="en-US"/>
              </w:rPr>
            </w:pPr>
          </w:p>
        </w:tc>
        <w:tc>
          <w:tcPr>
            <w:tcW w:w="590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178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86"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val="en-US"/>
              </w:rPr>
            </w:pPr>
          </w:p>
        </w:tc>
        <w:tc>
          <w:tcPr>
            <w:tcW w:w="590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178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86" w:hRule="atLeast"/>
          <w:jc w:val="center"/>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改正时间</w:t>
            </w:r>
          </w:p>
        </w:tc>
        <w:tc>
          <w:tcPr>
            <w:tcW w:w="5907"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eastAsia="zh-CN"/>
              </w:rPr>
            </w:pPr>
            <w:r>
              <w:rPr>
                <w:rFonts w:hint="eastAsia" w:ascii="Times New Roman" w:hAnsi="Times New Roman" w:cs="Times New Roman"/>
                <w:color w:val="auto"/>
                <w:kern w:val="2"/>
                <w:sz w:val="21"/>
                <w:szCs w:val="21"/>
                <w:shd w:val="clear" w:color="auto" w:fill="auto"/>
                <w:lang w:eastAsia="zh-CN"/>
              </w:rPr>
              <w:t>限期改正</w:t>
            </w:r>
          </w:p>
        </w:tc>
        <w:tc>
          <w:tcPr>
            <w:tcW w:w="178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907" w:type="dxa"/>
            <w:vAlign w:val="center"/>
          </w:tcPr>
          <w:p>
            <w:pPr>
              <w:shd w:val="clear" w:color="auto" w:fill="auto"/>
              <w:snapToGrid w:val="0"/>
              <w:spacing w:before="0" w:beforeAutospacing="0" w:after="0" w:afterAutospacing="0" w:line="300" w:lineRule="exact"/>
              <w:ind w:left="0" w:right="0"/>
              <w:jc w:val="center"/>
              <w:rPr>
                <w:rFonts w:hint="eastAsia"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178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90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eastAsia="zh-CN"/>
              </w:rPr>
            </w:pPr>
            <w:r>
              <w:rPr>
                <w:rFonts w:hint="default" w:ascii="Times New Roman" w:hAnsi="Times New Roman" w:cs="Times New Roman"/>
                <w:color w:val="auto"/>
                <w:sz w:val="20"/>
                <w:szCs w:val="20"/>
                <w:shd w:val="clear" w:color="auto" w:fill="auto"/>
                <w:lang w:val="en-US" w:eastAsia="zh-CN"/>
              </w:rPr>
              <w:t>3天以上7天以下</w:t>
            </w:r>
          </w:p>
        </w:tc>
        <w:tc>
          <w:tcPr>
            <w:tcW w:w="178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4</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90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eastAsia="zh-CN"/>
              </w:rPr>
            </w:pPr>
            <w:r>
              <w:rPr>
                <w:rFonts w:hint="default" w:ascii="Times New Roman" w:hAnsi="Times New Roman" w:cs="Times New Roman"/>
                <w:color w:val="auto"/>
                <w:sz w:val="20"/>
                <w:szCs w:val="20"/>
                <w:shd w:val="clear" w:color="auto" w:fill="auto"/>
                <w:lang w:val="en-US" w:eastAsia="zh-CN"/>
              </w:rPr>
              <w:t>7天以上</w:t>
            </w:r>
          </w:p>
        </w:tc>
        <w:tc>
          <w:tcPr>
            <w:tcW w:w="178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90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178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90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178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90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178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90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178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90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178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90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178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90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178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eastAsia="FangSong_GB2312" w:cs="Times New Roman"/>
          <w:b/>
          <w:bCs/>
          <w:color w:val="auto"/>
          <w:shd w:val="clear" w:color="auto" w:fill="auto"/>
        </w:rPr>
      </w:pPr>
    </w:p>
    <w:p>
      <w:pPr>
        <w:shd w:val="clear" w:color="auto" w:fill="auto"/>
        <w:snapToGrid w:val="0"/>
        <w:rPr>
          <w:rFonts w:hint="default" w:ascii="Times New Roman" w:hAnsi="Times New Roman" w:eastAsia="FangSong_GB2312" w:cs="Times New Roman"/>
          <w:b/>
          <w:bCs/>
          <w:color w:val="auto"/>
          <w:shd w:val="clear" w:color="auto" w:fill="auto"/>
        </w:rPr>
      </w:pPr>
    </w:p>
    <w:p>
      <w:pPr>
        <w:shd w:val="clear" w:color="auto" w:fill="auto"/>
        <w:snapToGrid w:val="0"/>
        <w:rPr>
          <w:rFonts w:hint="default" w:ascii="Times New Roman" w:hAnsi="Times New Roman" w:eastAsia="FangSong_GB2312" w:cs="Times New Roman"/>
          <w:b/>
          <w:bCs/>
          <w:color w:val="auto"/>
          <w:shd w:val="clear" w:color="auto" w:fill="auto"/>
        </w:rPr>
      </w:pPr>
      <w:r>
        <w:rPr>
          <w:rFonts w:hint="default" w:ascii="Times New Roman" w:hAnsi="Times New Roman" w:eastAsia="FangSong_GB2312" w:cs="Times New Roman"/>
          <w:b/>
          <w:bCs/>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6"/>
        <w:gridCol w:w="2646"/>
      </w:tblGrid>
      <w:tr>
        <w:trPr>
          <w:trHeight w:val="397" w:hRule="atLeast"/>
          <w:jc w:val="center"/>
        </w:trPr>
        <w:tc>
          <w:tcPr>
            <w:tcW w:w="9060" w:type="dxa"/>
            <w:gridSpan w:val="3"/>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（三）水污染防治类</w:t>
            </w:r>
          </w:p>
        </w:tc>
      </w:tr>
      <w:tr>
        <w:trPr>
          <w:trHeight w:val="397" w:hRule="atLeast"/>
          <w:jc w:val="center"/>
        </w:trPr>
        <w:tc>
          <w:tcPr>
            <w:tcW w:w="1368"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ind w:left="0" w:right="0"/>
              <w:jc w:val="center"/>
              <w:outlineLvl w:val="9"/>
              <w:rPr>
                <w:rFonts w:hint="default" w:ascii="Times New Roman" w:hAnsi="Times New Roman" w:cs="Times New Roman"/>
                <w:color w:val="auto"/>
                <w:sz w:val="20"/>
                <w:szCs w:val="20"/>
                <w:shd w:val="clear" w:color="auto" w:fill="auto"/>
              </w:rPr>
            </w:pPr>
            <w:bookmarkStart w:id="138" w:name="_Toc10449"/>
            <w:r>
              <w:rPr>
                <w:rFonts w:hint="default" w:ascii="Times New Roman" w:hAnsi="Times New Roman" w:cs="Times New Roman"/>
                <w:color w:val="auto"/>
                <w:sz w:val="20"/>
                <w:szCs w:val="20"/>
                <w:shd w:val="clear" w:color="auto" w:fill="auto"/>
              </w:rPr>
              <w:t>18</w:t>
            </w:r>
            <w:bookmarkEnd w:id="138"/>
          </w:p>
        </w:tc>
      </w:tr>
      <w:tr>
        <w:trPr>
          <w:trHeight w:val="397" w:hRule="atLeast"/>
          <w:jc w:val="center"/>
        </w:trPr>
        <w:tc>
          <w:tcPr>
            <w:tcW w:w="1368"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69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ind w:left="0" w:right="0" w:firstLine="420"/>
              <w:outlineLvl w:val="9"/>
              <w:rPr>
                <w:rFonts w:hint="default" w:ascii="Times New Roman" w:hAnsi="Times New Roman" w:cs="Times New Roman"/>
                <w:color w:val="auto"/>
                <w:kern w:val="0"/>
                <w:sz w:val="20"/>
                <w:szCs w:val="20"/>
                <w:shd w:val="clear" w:color="auto" w:fill="auto"/>
              </w:rPr>
            </w:pPr>
            <w:bookmarkStart w:id="139" w:name="OLE_LINK21"/>
            <w:bookmarkStart w:id="140" w:name="_Toc23842"/>
            <w:bookmarkStart w:id="141" w:name="OLE_LINK22"/>
            <w:r>
              <w:rPr>
                <w:rFonts w:hint="default" w:ascii="Times New Roman" w:hAnsi="Times New Roman" w:cs="Times New Roman"/>
                <w:color w:val="auto"/>
                <w:kern w:val="0"/>
                <w:sz w:val="20"/>
                <w:szCs w:val="20"/>
                <w:shd w:val="clear" w:color="auto" w:fill="auto"/>
              </w:rPr>
              <w:t>加油站等的地下油罐未使用双层罐或者采取建设防渗池等其他有效措施，或者未进行防渗漏监测的</w:t>
            </w:r>
            <w:bookmarkEnd w:id="139"/>
            <w:bookmarkEnd w:id="140"/>
            <w:bookmarkEnd w:id="141"/>
          </w:p>
        </w:tc>
      </w:tr>
      <w:tr>
        <w:trPr>
          <w:trHeight w:val="1007" w:hRule="atLeast"/>
          <w:jc w:val="center"/>
        </w:trPr>
        <w:tc>
          <w:tcPr>
            <w:tcW w:w="1368" w:type="dxa"/>
            <w:vAlign w:val="center"/>
          </w:tcPr>
          <w:p>
            <w:pPr>
              <w:shd w:val="clear" w:color="auto" w:fill="auto"/>
              <w:snapToGrid w:val="0"/>
              <w:spacing w:before="0" w:beforeAutospacing="0" w:after="0" w:afterAutospacing="0" w:line="288" w:lineRule="auto"/>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《中华人民共和国水污染防治法》第四十条第二款</w:t>
            </w:r>
            <w:r>
              <w:rPr>
                <w:rFonts w:hint="default" w:ascii="Times New Roman" w:hAnsi="Times New Roman" w:cs="Times New Roman"/>
                <w:color w:val="auto"/>
                <w:kern w:val="0"/>
                <w:sz w:val="20"/>
                <w:szCs w:val="20"/>
                <w:shd w:val="clear" w:color="auto" w:fill="auto"/>
              </w:rPr>
              <w:t xml:space="preserve"> 加油站等的地下油罐应当使用双层罐或者采取建造防渗池等其他有效措施，并进行防渗漏监测，防止地下水污染。</w:t>
            </w:r>
          </w:p>
        </w:tc>
      </w:tr>
      <w:tr>
        <w:trPr>
          <w:trHeight w:val="2973" w:hRule="atLeast"/>
          <w:jc w:val="center"/>
        </w:trPr>
        <w:tc>
          <w:tcPr>
            <w:tcW w:w="1368" w:type="dxa"/>
            <w:vAlign w:val="center"/>
          </w:tcPr>
          <w:p>
            <w:pPr>
              <w:shd w:val="clear" w:color="auto" w:fill="auto"/>
              <w:snapToGrid w:val="0"/>
              <w:spacing w:before="0" w:beforeAutospacing="0" w:after="0" w:afterAutospacing="0" w:line="288" w:lineRule="auto"/>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widowControl/>
              <w:shd w:val="clear" w:color="auto" w:fill="auto"/>
              <w:snapToGrid w:val="0"/>
              <w:spacing w:before="0" w:beforeAutospacing="0" w:after="0" w:afterAutospacing="0"/>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《中华人民共和国水污染防治法》第八十五条第一款第（八）项、第二款 </w:t>
            </w:r>
            <w:r>
              <w:rPr>
                <w:rFonts w:hint="default" w:ascii="Times New Roman" w:hAnsi="Times New Roman" w:cs="Times New Roman"/>
                <w:color w:val="auto"/>
                <w:kern w:val="0"/>
                <w:sz w:val="20"/>
                <w:szCs w:val="20"/>
                <w:shd w:val="clear" w:color="auto" w:fill="auto"/>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widowControl/>
              <w:shd w:val="clear" w:color="auto" w:fill="auto"/>
              <w:snapToGrid w:val="0"/>
              <w:spacing w:before="0" w:beforeAutospacing="0" w:after="0" w:afterAutospacing="0"/>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（八）加油站等的地下油罐未使用双层罐或者采取建设防渗池等其他有效措施，或者未进行防渗漏监测的。</w:t>
            </w:r>
          </w:p>
          <w:p>
            <w:pPr>
              <w:widowControl/>
              <w:shd w:val="clear" w:color="auto" w:fill="auto"/>
              <w:snapToGrid w:val="0"/>
              <w:spacing w:before="0" w:beforeAutospacing="0" w:after="0" w:afterAutospacing="0"/>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rPr>
          <w:trHeight w:val="312" w:hRule="atLeast"/>
          <w:jc w:val="center"/>
        </w:trPr>
        <w:tc>
          <w:tcPr>
            <w:tcW w:w="1368"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12" w:hRule="atLeast"/>
          <w:jc w:val="center"/>
        </w:trPr>
        <w:tc>
          <w:tcPr>
            <w:tcW w:w="1368"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已使用双层罐或者采取建设防渗池等其他有效措施，未进行防渗漏监测的</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12" w:hRule="atLeast"/>
          <w:jc w:val="center"/>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未</w:t>
            </w:r>
            <w:r>
              <w:rPr>
                <w:rFonts w:hint="default" w:ascii="Times New Roman" w:hAnsi="Times New Roman" w:cs="Times New Roman"/>
                <w:color w:val="auto"/>
                <w:sz w:val="20"/>
                <w:szCs w:val="20"/>
                <w:shd w:val="clear" w:color="auto" w:fill="auto"/>
              </w:rPr>
              <w:t>使用双层罐或者采取建设防渗池等其他有效措施，进行防渗漏监测的</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12" w:hRule="atLeast"/>
          <w:jc w:val="center"/>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未使用双层罐或者采取建设防渗池等其他有效措施的</w:t>
            </w:r>
          </w:p>
          <w:p>
            <w:pPr>
              <w:shd w:val="clear" w:color="auto" w:fill="auto"/>
              <w:spacing w:before="0" w:beforeAutospacing="0" w:after="0" w:afterAutospacing="0"/>
              <w:ind w:left="0" w:right="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未进行防渗漏监测</w:t>
            </w:r>
          </w:p>
        </w:tc>
        <w:tc>
          <w:tcPr>
            <w:tcW w:w="2646" w:type="dxa"/>
            <w:vAlign w:val="center"/>
          </w:tcPr>
          <w:p>
            <w:pPr>
              <w:shd w:val="clear" w:color="auto" w:fill="auto"/>
              <w:spacing w:before="0" w:beforeAutospacing="0" w:after="0" w:afterAutospacing="0"/>
              <w:ind w:left="0" w:right="0" w:firstLine="1260" w:firstLineChars="600"/>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eastAsia="zh-CN"/>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地下油罐</w:t>
            </w:r>
          </w:p>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容积</w:t>
            </w:r>
          </w:p>
        </w:tc>
        <w:tc>
          <w:tcPr>
            <w:tcW w:w="50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100m</w:t>
            </w:r>
            <w:r>
              <w:rPr>
                <w:rFonts w:hint="default" w:ascii="Times New Roman" w:hAnsi="Times New Roman" w:cs="Times New Roman"/>
                <w:color w:val="auto"/>
                <w:sz w:val="20"/>
                <w:szCs w:val="20"/>
                <w:shd w:val="clear" w:color="auto" w:fill="auto"/>
                <w:vertAlign w:val="superscript"/>
              </w:rPr>
              <w:t>3</w:t>
            </w:r>
            <w:r>
              <w:rPr>
                <w:rFonts w:hint="default" w:ascii="Times New Roman" w:hAnsi="Times New Roman" w:cs="Times New Roman"/>
                <w:color w:val="auto"/>
                <w:sz w:val="20"/>
                <w:szCs w:val="20"/>
                <w:shd w:val="clear" w:color="auto" w:fill="auto"/>
              </w:rPr>
              <w:t>以下的</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100m</w:t>
            </w:r>
            <w:r>
              <w:rPr>
                <w:rFonts w:hint="default" w:ascii="Times New Roman" w:hAnsi="Times New Roman" w:cs="Times New Roman"/>
                <w:color w:val="auto"/>
                <w:sz w:val="20"/>
                <w:szCs w:val="20"/>
                <w:shd w:val="clear" w:color="auto" w:fill="auto"/>
                <w:vertAlign w:val="superscript"/>
              </w:rPr>
              <w:t>3</w:t>
            </w:r>
            <w:r>
              <w:rPr>
                <w:rFonts w:hint="default" w:ascii="Times New Roman" w:hAnsi="Times New Roman" w:cs="Times New Roman"/>
                <w:color w:val="auto"/>
                <w:sz w:val="20"/>
                <w:szCs w:val="20"/>
                <w:shd w:val="clear" w:color="auto" w:fill="auto"/>
              </w:rPr>
              <w:t>以上500m</w:t>
            </w:r>
            <w:r>
              <w:rPr>
                <w:rFonts w:hint="default" w:ascii="Times New Roman" w:hAnsi="Times New Roman" w:cs="Times New Roman"/>
                <w:color w:val="auto"/>
                <w:sz w:val="20"/>
                <w:szCs w:val="20"/>
                <w:shd w:val="clear" w:color="auto" w:fill="auto"/>
                <w:vertAlign w:val="superscript"/>
              </w:rPr>
              <w:t>3</w:t>
            </w:r>
            <w:r>
              <w:rPr>
                <w:rFonts w:hint="default" w:ascii="Times New Roman" w:hAnsi="Times New Roman" w:cs="Times New Roman"/>
                <w:color w:val="auto"/>
                <w:sz w:val="20"/>
                <w:szCs w:val="20"/>
                <w:shd w:val="clear" w:color="auto" w:fill="auto"/>
              </w:rPr>
              <w:t>以</w:t>
            </w:r>
            <w:r>
              <w:rPr>
                <w:rFonts w:hint="default" w:ascii="Times New Roman" w:hAnsi="Times New Roman" w:cs="Times New Roman"/>
                <w:color w:val="auto"/>
                <w:sz w:val="20"/>
                <w:szCs w:val="20"/>
                <w:shd w:val="clear" w:color="auto" w:fill="auto"/>
                <w:lang w:eastAsia="zh-CN"/>
              </w:rPr>
              <w:t>下</w:t>
            </w:r>
            <w:r>
              <w:rPr>
                <w:rFonts w:hint="default" w:ascii="Times New Roman" w:hAnsi="Times New Roman" w:cs="Times New Roman"/>
                <w:color w:val="auto"/>
                <w:sz w:val="20"/>
                <w:szCs w:val="20"/>
                <w:shd w:val="clear" w:color="auto" w:fill="auto"/>
              </w:rPr>
              <w:t>的</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500m</w:t>
            </w:r>
            <w:r>
              <w:rPr>
                <w:rFonts w:hint="default" w:ascii="Times New Roman" w:hAnsi="Times New Roman" w:cs="Times New Roman"/>
                <w:color w:val="auto"/>
                <w:sz w:val="20"/>
                <w:szCs w:val="20"/>
                <w:shd w:val="clear" w:color="auto" w:fill="auto"/>
                <w:vertAlign w:val="superscript"/>
              </w:rPr>
              <w:t>3</w:t>
            </w:r>
            <w:r>
              <w:rPr>
                <w:rFonts w:hint="default" w:ascii="Times New Roman" w:hAnsi="Times New Roman" w:cs="Times New Roman"/>
                <w:color w:val="auto"/>
                <w:sz w:val="20"/>
                <w:szCs w:val="20"/>
                <w:shd w:val="clear" w:color="auto" w:fill="auto"/>
              </w:rPr>
              <w:t>以上的</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加油站</w:t>
            </w:r>
          </w:p>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年销售量</w:t>
            </w:r>
          </w:p>
        </w:tc>
        <w:tc>
          <w:tcPr>
            <w:tcW w:w="50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1000吨</w:t>
            </w:r>
            <w:r>
              <w:rPr>
                <w:rFonts w:hint="default" w:ascii="Times New Roman" w:hAnsi="Times New Roman" w:cs="Times New Roman"/>
                <w:color w:val="auto"/>
                <w:sz w:val="20"/>
                <w:szCs w:val="20"/>
                <w:shd w:val="clear" w:color="auto" w:fill="auto"/>
                <w:lang w:eastAsia="zh-CN"/>
              </w:rPr>
              <w:t>以下</w:t>
            </w:r>
          </w:p>
        </w:tc>
        <w:tc>
          <w:tcPr>
            <w:tcW w:w="2646" w:type="dxa"/>
            <w:vAlign w:val="center"/>
          </w:tcPr>
          <w:p>
            <w:pPr>
              <w:widowControl/>
              <w:shd w:val="clear" w:color="auto" w:fill="auto"/>
              <w:snapToGrid w:val="0"/>
              <w:spacing w:before="0" w:beforeAutospacing="0" w:after="0" w:afterAutospacing="0"/>
              <w:ind w:left="0" w:right="0"/>
              <w:jc w:val="center"/>
              <w:textAlignment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1000吨以上5000吨</w:t>
            </w:r>
            <w:r>
              <w:rPr>
                <w:rFonts w:hint="default" w:ascii="Times New Roman" w:hAnsi="Times New Roman" w:cs="Times New Roman"/>
                <w:color w:val="auto"/>
                <w:sz w:val="20"/>
                <w:szCs w:val="20"/>
                <w:shd w:val="clear" w:color="auto" w:fill="auto"/>
                <w:lang w:eastAsia="zh-CN"/>
              </w:rPr>
              <w:t>以下</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2</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5000吨以上10000吨</w:t>
            </w:r>
            <w:r>
              <w:rPr>
                <w:rFonts w:hint="default" w:ascii="Times New Roman" w:hAnsi="Times New Roman" w:cs="Times New Roman"/>
                <w:color w:val="auto"/>
                <w:sz w:val="20"/>
                <w:szCs w:val="20"/>
                <w:shd w:val="clear" w:color="auto" w:fill="auto"/>
                <w:lang w:eastAsia="zh-CN"/>
              </w:rPr>
              <w:t>以下</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10000吨以</w:t>
            </w:r>
            <w:r>
              <w:rPr>
                <w:rFonts w:hint="default" w:ascii="Times New Roman" w:hAnsi="Times New Roman" w:cs="Times New Roman"/>
                <w:color w:val="auto"/>
                <w:sz w:val="20"/>
                <w:szCs w:val="20"/>
                <w:shd w:val="clear" w:color="auto" w:fill="auto"/>
                <w:lang w:eastAsia="zh-CN"/>
              </w:rPr>
              <w:t>上</w:t>
            </w:r>
            <w:r>
              <w:rPr>
                <w:rFonts w:hint="default" w:ascii="Times New Roman" w:hAnsi="Times New Roman" w:cs="Times New Roman"/>
                <w:color w:val="auto"/>
                <w:sz w:val="20"/>
                <w:szCs w:val="20"/>
                <w:shd w:val="clear" w:color="auto" w:fill="auto"/>
              </w:rPr>
              <w:t>20000吨</w:t>
            </w:r>
            <w:r>
              <w:rPr>
                <w:rFonts w:hint="default" w:ascii="Times New Roman" w:hAnsi="Times New Roman" w:cs="Times New Roman"/>
                <w:color w:val="auto"/>
                <w:sz w:val="20"/>
                <w:szCs w:val="20"/>
                <w:shd w:val="clear" w:color="auto" w:fill="auto"/>
                <w:lang w:eastAsia="zh-CN"/>
              </w:rPr>
              <w:t>以下</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4</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20000吨以上</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5</w:t>
            </w:r>
          </w:p>
        </w:tc>
      </w:tr>
      <w:tr>
        <w:trPr>
          <w:trHeight w:val="425" w:hRule="atLeast"/>
          <w:jc w:val="center"/>
        </w:trPr>
        <w:tc>
          <w:tcPr>
            <w:tcW w:w="1368" w:type="dxa"/>
            <w:vMerge w:val="restart"/>
            <w:vAlign w:val="center"/>
          </w:tcPr>
          <w:p>
            <w:pPr>
              <w:widowControl w:val="0"/>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color w:val="auto"/>
                <w:sz w:val="21"/>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1"/>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1"/>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jc w:val="center"/>
        </w:trPr>
        <w:tc>
          <w:tcPr>
            <w:tcW w:w="1368" w:type="dxa"/>
            <w:vMerge w:val="continue"/>
            <w:vAlign w:val="center"/>
          </w:tcPr>
          <w:p>
            <w:pPr>
              <w:widowControl w:val="0"/>
              <w:shd w:val="clear" w:color="auto" w:fill="auto"/>
              <w:snapToGrid w:val="0"/>
              <w:spacing w:before="0" w:beforeAutospacing="0" w:after="0" w:afterAutospacing="0"/>
              <w:ind w:left="0" w:leftChars="0" w:right="0"/>
              <w:jc w:val="center"/>
              <w:rPr>
                <w:rFonts w:hint="default" w:ascii="Times New Roman" w:hAnsi="Times New Roman" w:cs="Times New Roman"/>
                <w:b/>
                <w:color w:val="auto"/>
                <w:sz w:val="21"/>
                <w:szCs w:val="20"/>
                <w:shd w:val="clear" w:color="auto" w:fill="auto"/>
              </w:rPr>
            </w:pPr>
          </w:p>
        </w:tc>
        <w:tc>
          <w:tcPr>
            <w:tcW w:w="50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1"/>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1"/>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jc w:val="center"/>
        </w:trPr>
        <w:tc>
          <w:tcPr>
            <w:tcW w:w="1368" w:type="dxa"/>
            <w:vMerge w:val="continue"/>
            <w:vAlign w:val="center"/>
          </w:tcPr>
          <w:p>
            <w:pPr>
              <w:widowControl w:val="0"/>
              <w:shd w:val="clear" w:color="auto" w:fill="auto"/>
              <w:snapToGrid w:val="0"/>
              <w:spacing w:before="0" w:beforeAutospacing="0" w:after="0" w:afterAutospacing="0"/>
              <w:ind w:left="0" w:leftChars="0" w:right="0"/>
              <w:jc w:val="center"/>
              <w:rPr>
                <w:rFonts w:hint="default" w:ascii="Times New Roman" w:hAnsi="Times New Roman" w:cs="Times New Roman"/>
                <w:b/>
                <w:color w:val="auto"/>
                <w:sz w:val="21"/>
                <w:szCs w:val="20"/>
                <w:shd w:val="clear" w:color="auto" w:fill="auto"/>
              </w:rPr>
            </w:pPr>
          </w:p>
        </w:tc>
        <w:tc>
          <w:tcPr>
            <w:tcW w:w="50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1"/>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1"/>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jc w:val="center"/>
        </w:trPr>
        <w:tc>
          <w:tcPr>
            <w:tcW w:w="1368" w:type="dxa"/>
            <w:vMerge w:val="continue"/>
            <w:vAlign w:val="center"/>
          </w:tcPr>
          <w:p>
            <w:pPr>
              <w:widowControl w:val="0"/>
              <w:shd w:val="clear" w:color="auto" w:fill="auto"/>
              <w:snapToGrid w:val="0"/>
              <w:spacing w:before="0" w:beforeAutospacing="0" w:after="0" w:afterAutospacing="0"/>
              <w:ind w:left="0" w:leftChars="0" w:right="0"/>
              <w:jc w:val="center"/>
              <w:rPr>
                <w:rFonts w:hint="default" w:ascii="Times New Roman" w:hAnsi="Times New Roman" w:cs="Times New Roman"/>
                <w:b/>
                <w:color w:val="auto"/>
                <w:sz w:val="21"/>
                <w:szCs w:val="20"/>
                <w:shd w:val="clear" w:color="auto" w:fill="auto"/>
              </w:rPr>
            </w:pPr>
          </w:p>
        </w:tc>
        <w:tc>
          <w:tcPr>
            <w:tcW w:w="50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1"/>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1"/>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jc w:val="center"/>
        </w:trPr>
        <w:tc>
          <w:tcPr>
            <w:tcW w:w="1368" w:type="dxa"/>
            <w:vMerge w:val="continue"/>
            <w:vAlign w:val="center"/>
          </w:tcPr>
          <w:p>
            <w:pPr>
              <w:widowControl w:val="0"/>
              <w:shd w:val="clear" w:color="auto" w:fill="auto"/>
              <w:snapToGrid w:val="0"/>
              <w:spacing w:before="0" w:beforeAutospacing="0" w:after="0" w:afterAutospacing="0"/>
              <w:ind w:left="0" w:leftChars="0" w:right="0"/>
              <w:jc w:val="center"/>
              <w:rPr>
                <w:rFonts w:hint="default" w:ascii="Times New Roman" w:hAnsi="Times New Roman" w:cs="Times New Roman"/>
                <w:b/>
                <w:color w:val="auto"/>
                <w:sz w:val="21"/>
                <w:szCs w:val="20"/>
                <w:shd w:val="clear" w:color="auto" w:fill="auto"/>
              </w:rPr>
            </w:pPr>
          </w:p>
        </w:tc>
        <w:tc>
          <w:tcPr>
            <w:tcW w:w="50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1"/>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1"/>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val="en-US"/>
              </w:rPr>
              <w:t>改正时间</w:t>
            </w:r>
          </w:p>
        </w:tc>
        <w:tc>
          <w:tcPr>
            <w:tcW w:w="50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kern w:val="2"/>
                <w:sz w:val="21"/>
                <w:szCs w:val="21"/>
                <w:shd w:val="clear" w:color="auto" w:fill="auto"/>
                <w:lang w:eastAsia="zh-CN"/>
              </w:rPr>
              <w:t>限期改正</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w:t>
            </w:r>
            <w:r>
              <w:rPr>
                <w:rFonts w:hint="default" w:ascii="Times New Roman" w:hAnsi="Times New Roman" w:cs="Times New Roman"/>
                <w:b/>
                <w:bCs/>
                <w:color w:val="auto"/>
                <w:sz w:val="20"/>
                <w:szCs w:val="20"/>
                <w:shd w:val="clear" w:color="auto" w:fill="auto"/>
              </w:rPr>
              <w:t>次数</w:t>
            </w:r>
          </w:p>
        </w:tc>
        <w:tc>
          <w:tcPr>
            <w:tcW w:w="50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8"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eastAsia="FangSong_GB2312" w:cs="Times New Roman"/>
          <w:b/>
          <w:bCs/>
          <w:color w:val="auto"/>
          <w:shd w:val="clear" w:color="auto" w:fill="auto"/>
        </w:rPr>
      </w:pPr>
    </w:p>
    <w:p>
      <w:pPr>
        <w:shd w:val="clear" w:color="auto" w:fill="auto"/>
        <w:snapToGrid w:val="0"/>
        <w:rPr>
          <w:rFonts w:hint="default" w:ascii="Times New Roman" w:hAnsi="Times New Roman" w:eastAsia="FangSong_GB2312" w:cs="Times New Roman"/>
          <w:b/>
          <w:bCs/>
          <w:color w:val="auto"/>
          <w:shd w:val="clear" w:color="auto" w:fill="auto"/>
        </w:rPr>
      </w:pPr>
    </w:p>
    <w:p>
      <w:pPr>
        <w:shd w:val="clear" w:color="auto" w:fill="auto"/>
        <w:snapToGrid w:val="0"/>
        <w:rPr>
          <w:rFonts w:hint="default" w:ascii="Times New Roman" w:hAnsi="Times New Roman" w:eastAsia="FangSong_GB2312" w:cs="Times New Roman"/>
          <w:b/>
          <w:bCs/>
          <w:color w:val="auto"/>
          <w:shd w:val="clear" w:color="auto" w:fill="auto"/>
        </w:rPr>
      </w:pPr>
    </w:p>
    <w:p>
      <w:pPr>
        <w:shd w:val="clear" w:color="auto" w:fill="auto"/>
        <w:snapToGrid w:val="0"/>
        <w:rPr>
          <w:rFonts w:hint="default" w:ascii="Times New Roman" w:hAnsi="Times New Roman" w:eastAsia="FangSong_GB2312" w:cs="Times New Roman"/>
          <w:b/>
          <w:bCs/>
          <w:color w:val="auto"/>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r>
        <w:rPr>
          <w:rFonts w:hint="default" w:ascii="Times New Roman" w:hAnsi="Times New Roman" w:eastAsia="FangSong_GB2312" w:cs="Times New Roman"/>
          <w:b/>
          <w:bCs/>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6"/>
        <w:gridCol w:w="2646"/>
      </w:tblGrid>
      <w:tr>
        <w:trPr>
          <w:trHeight w:val="340"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（三）水污染防治类</w:t>
            </w:r>
          </w:p>
        </w:tc>
      </w:tr>
      <w:tr>
        <w:trPr>
          <w:trHeight w:val="340"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42" w:name="_Toc25300"/>
            <w:r>
              <w:rPr>
                <w:rFonts w:hint="default" w:ascii="Times New Roman" w:hAnsi="Times New Roman" w:cs="Times New Roman"/>
                <w:color w:val="auto"/>
                <w:sz w:val="20"/>
                <w:szCs w:val="20"/>
                <w:shd w:val="clear" w:color="auto" w:fill="auto"/>
              </w:rPr>
              <w:t>19</w:t>
            </w:r>
            <w:bookmarkEnd w:id="142"/>
          </w:p>
        </w:tc>
      </w:tr>
      <w:tr>
        <w:trPr>
          <w:trHeight w:val="340"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69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0" w:firstLineChars="200"/>
              <w:outlineLvl w:val="9"/>
              <w:rPr>
                <w:rFonts w:hint="default" w:ascii="Times New Roman" w:hAnsi="Times New Roman" w:cs="Times New Roman"/>
                <w:color w:val="auto"/>
                <w:kern w:val="0"/>
                <w:sz w:val="20"/>
                <w:szCs w:val="20"/>
                <w:shd w:val="clear" w:color="auto" w:fill="auto"/>
              </w:rPr>
            </w:pPr>
            <w:bookmarkStart w:id="143" w:name="_Toc3133"/>
            <w:r>
              <w:rPr>
                <w:rFonts w:hint="default" w:ascii="Times New Roman" w:hAnsi="Times New Roman" w:cs="Times New Roman"/>
                <w:color w:val="auto"/>
                <w:kern w:val="0"/>
                <w:sz w:val="20"/>
                <w:szCs w:val="20"/>
                <w:shd w:val="clear" w:color="auto" w:fill="auto"/>
              </w:rPr>
              <w:t>未按照规定采取防护性措施，或者利用无防渗漏措施的沟渠、坑塘等输送或者存贮含有毒污染物的废水、含病原体的污水或者其他废弃物的</w:t>
            </w:r>
            <w:bookmarkEnd w:id="143"/>
          </w:p>
        </w:tc>
      </w:tr>
      <w:tr>
        <w:trPr>
          <w:trHeight w:val="340"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《中华人民共和国水污染防治法》第四十条第三款</w:t>
            </w:r>
            <w:r>
              <w:rPr>
                <w:rFonts w:hint="default" w:ascii="Times New Roman" w:hAnsi="Times New Roman" w:cs="Times New Roman"/>
                <w:color w:val="auto"/>
                <w:kern w:val="0"/>
                <w:sz w:val="20"/>
                <w:szCs w:val="20"/>
                <w:shd w:val="clear" w:color="auto" w:fill="auto"/>
              </w:rPr>
              <w:t xml:space="preserve"> 禁止利用无防渗漏措施的沟渠、坑塘等输送或者存贮含有毒污染物的废水、含病原体的污水和其他废弃物。</w:t>
            </w:r>
          </w:p>
        </w:tc>
      </w:tr>
      <w:tr>
        <w:trPr>
          <w:trHeight w:val="340"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widowControl/>
              <w:shd w:val="clear" w:color="auto" w:fill="auto"/>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《中华人民共和国水污染防治法》第八十五条第一款第（九）项、第二款 </w:t>
            </w:r>
            <w:r>
              <w:rPr>
                <w:rFonts w:hint="default" w:ascii="Times New Roman" w:hAnsi="Times New Roman" w:cs="Times New Roman"/>
                <w:color w:val="auto"/>
                <w:kern w:val="0"/>
                <w:sz w:val="20"/>
                <w:szCs w:val="20"/>
                <w:shd w:val="clear" w:color="auto" w:fill="auto"/>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widowControl/>
              <w:shd w:val="clear" w:color="auto" w:fill="auto"/>
              <w:snapToGrid w:val="0"/>
              <w:spacing w:before="0" w:beforeAutospacing="0" w:after="0" w:afterAutospacing="0" w:line="320" w:lineRule="exact"/>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（九）未按照规定采取防护性措施，或者利用无防渗漏措施的沟渠、坑塘等输送或者存贮含有毒污染物的废水、含病原体的污水或者其他废弃物的。</w:t>
            </w:r>
          </w:p>
          <w:p>
            <w:pPr>
              <w:widowControl/>
              <w:shd w:val="clear" w:color="auto" w:fill="auto"/>
              <w:snapToGrid w:val="0"/>
              <w:spacing w:before="0" w:beforeAutospacing="0" w:after="0" w:afterAutospacing="0" w:line="320" w:lineRule="exact"/>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未按照规定采取防护性措施，或者利用无防渗漏措施的沟渠、坑塘等输送或者存贮其他废弃物的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未按照规定采取防护性措施，或者利用无防渗漏措施的沟渠、坑塘等输送或者存贮含有毒污染物的废水、含病原体的污水的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3</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数量</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2吨以下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2吨以上5吨以下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5吨以上10吨以下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10吨以上20吨以下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20吨以上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污染物排放类别</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其他废弃物</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一般工程废水</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一般工业废水</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含有毒污染物的废水</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可溶性剧毒废渣或含病原体污水</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企业规模</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微型企业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小型企业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中型企业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rPr>
              <w:t>4</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425" w:hRule="atLeast"/>
          <w:jc w:val="center"/>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0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lang/>
              </w:rPr>
            </w:pPr>
            <w:r>
              <w:rPr>
                <w:rFonts w:hint="eastAsia" w:ascii="Times New Roman" w:hAnsi="Times New Roman" w:cs="Times New Roman"/>
                <w:color w:val="auto"/>
                <w:kern w:val="2"/>
                <w:sz w:val="21"/>
                <w:szCs w:val="21"/>
                <w:shd w:val="clear" w:color="auto" w:fill="auto"/>
                <w:lang w:eastAsia="zh-CN"/>
              </w:rPr>
              <w:t>限期改正</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69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widowControl/>
        <w:shd w:val="clear" w:color="auto" w:fill="auto"/>
        <w:snapToGrid w:val="0"/>
        <w:ind w:firstLine="200" w:firstLineChars="200"/>
        <w:jc w:val="left"/>
        <w:rPr>
          <w:rFonts w:hint="default" w:ascii="Times New Roman" w:hAnsi="Times New Roman" w:eastAsia="FangSong_GB2312" w:cs="Times New Roman"/>
          <w:color w:val="auto"/>
          <w:sz w:val="10"/>
          <w:szCs w:val="10"/>
          <w:shd w:val="clear" w:color="auto" w:fill="auto"/>
        </w:rPr>
      </w:pPr>
    </w:p>
    <w:p>
      <w:pPr>
        <w:widowControl/>
        <w:shd w:val="clear" w:color="auto" w:fill="auto"/>
        <w:snapToGrid w:val="0"/>
        <w:ind w:firstLine="200" w:firstLineChars="200"/>
        <w:jc w:val="left"/>
        <w:rPr>
          <w:rFonts w:hint="default" w:ascii="Times New Roman" w:hAnsi="Times New Roman" w:eastAsia="FangSong_GB2312" w:cs="Times New Roman"/>
          <w:color w:val="auto"/>
          <w:sz w:val="10"/>
          <w:szCs w:val="10"/>
          <w:shd w:val="clear" w:color="auto" w:fill="auto"/>
        </w:rPr>
      </w:pPr>
    </w:p>
    <w:p>
      <w:pPr>
        <w:widowControl/>
        <w:shd w:val="clear" w:color="auto" w:fill="auto"/>
        <w:snapToGrid w:val="0"/>
        <w:ind w:firstLine="200" w:firstLineChars="200"/>
        <w:jc w:val="left"/>
        <w:rPr>
          <w:rFonts w:hint="default" w:ascii="Times New Roman" w:hAnsi="Times New Roman" w:eastAsia="FangSong_GB2312" w:cs="Times New Roman"/>
          <w:color w:val="auto"/>
          <w:sz w:val="10"/>
          <w:szCs w:val="10"/>
          <w:shd w:val="clear" w:color="auto" w:fill="auto"/>
        </w:rPr>
      </w:pPr>
    </w:p>
    <w:p>
      <w:pPr>
        <w:widowControl/>
        <w:shd w:val="clear" w:color="auto" w:fill="auto"/>
        <w:snapToGrid w:val="0"/>
        <w:ind w:firstLine="200" w:firstLineChars="200"/>
        <w:jc w:val="left"/>
        <w:rPr>
          <w:rFonts w:hint="default" w:ascii="Times New Roman" w:hAnsi="Times New Roman" w:eastAsia="FangSong_GB2312" w:cs="Times New Roman"/>
          <w:color w:val="auto"/>
          <w:sz w:val="10"/>
          <w:szCs w:val="10"/>
          <w:shd w:val="clear" w:color="auto" w:fill="auto"/>
        </w:rPr>
      </w:pPr>
      <w:r>
        <w:rPr>
          <w:rFonts w:hint="default" w:ascii="Times New Roman" w:hAnsi="Times New Roman" w:eastAsia="FangSong_GB2312" w:cs="Times New Roman"/>
          <w:color w:val="auto"/>
          <w:sz w:val="10"/>
          <w:szCs w:val="10"/>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182"/>
        <w:gridCol w:w="2510"/>
      </w:tblGrid>
      <w:tr>
        <w:trPr>
          <w:trHeight w:val="369"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（三）水污染防治类</w:t>
            </w:r>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44" w:name="_Toc14647"/>
            <w:r>
              <w:rPr>
                <w:rFonts w:hint="default" w:ascii="Times New Roman" w:hAnsi="Times New Roman" w:cs="Times New Roman"/>
                <w:color w:val="auto"/>
                <w:sz w:val="20"/>
                <w:szCs w:val="20"/>
                <w:shd w:val="clear" w:color="auto" w:fill="auto"/>
              </w:rPr>
              <w:t>20</w:t>
            </w:r>
            <w:bookmarkEnd w:id="144"/>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firstLine="420"/>
              <w:outlineLvl w:val="9"/>
              <w:rPr>
                <w:rFonts w:hint="default" w:ascii="Times New Roman" w:hAnsi="Times New Roman" w:cs="Times New Roman"/>
                <w:color w:val="auto"/>
                <w:sz w:val="20"/>
                <w:szCs w:val="20"/>
                <w:shd w:val="clear" w:color="auto" w:fill="auto"/>
              </w:rPr>
            </w:pPr>
            <w:bookmarkStart w:id="145" w:name="_Toc27803"/>
            <w:r>
              <w:rPr>
                <w:rFonts w:hint="default" w:ascii="Times New Roman" w:hAnsi="Times New Roman" w:cs="Times New Roman"/>
                <w:color w:val="auto"/>
                <w:sz w:val="20"/>
                <w:szCs w:val="20"/>
                <w:shd w:val="clear" w:color="auto" w:fill="auto"/>
              </w:rPr>
              <w:t>在饮用水水源一级保护区内新建、改建、扩建与供水设施和保护水源无关的建设项目的</w:t>
            </w:r>
            <w:bookmarkEnd w:id="145"/>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《中华人民共和国水污染防治法》第六十五条第一款</w:t>
            </w:r>
            <w:r>
              <w:rPr>
                <w:rFonts w:hint="default" w:ascii="Times New Roman" w:hAnsi="Times New Roman" w:cs="Times New Roman"/>
                <w:color w:val="auto"/>
                <w:sz w:val="20"/>
                <w:szCs w:val="20"/>
                <w:shd w:val="clear" w:color="auto" w:fill="auto"/>
              </w:rPr>
              <w:t xml:space="preserve"> 禁止在饮用水水源一级保护区内新建、改建、扩建与供水设施和保护水源无关的建设项目；已建成的与供水设施和保护水源无关的建设项目，由县级以上人民政府责令拆除或者关闭。</w:t>
            </w:r>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《中华人民共和国水污染防治法》第九十一条第一款第（一）项</w:t>
            </w:r>
            <w:r>
              <w:rPr>
                <w:rFonts w:hint="default" w:ascii="Times New Roman" w:hAnsi="Times New Roman" w:cs="Times New Roman"/>
                <w:color w:val="auto"/>
                <w:sz w:val="20"/>
                <w:szCs w:val="20"/>
                <w:shd w:val="clear" w:color="auto" w:fill="auto"/>
              </w:rPr>
              <w:t xml:space="preserve"> 有下列行为之一的，由县级以上地方人民政府环境保护主管部门责令停止违法行为，处十万元以上五十万元以下的罚款；并报经有批准权的人民政府批准，责令拆除或者关闭：</w:t>
            </w:r>
          </w:p>
          <w:p>
            <w:pPr>
              <w:shd w:val="clear" w:color="auto" w:fill="auto"/>
              <w:snapToGrid w:val="0"/>
              <w:spacing w:before="0" w:beforeAutospacing="0" w:after="0" w:afterAutospacing="0" w:line="320" w:lineRule="exact"/>
              <w:ind w:left="0" w:right="0" w:firstLine="420"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（一）在饮用水水源一级保护区内新建、改建、扩建与供水设施和保护水源无关的建设项目的。</w:t>
            </w:r>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★建设项目</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废水类别</w:t>
            </w:r>
          </w:p>
        </w:tc>
        <w:tc>
          <w:tcPr>
            <w:tcW w:w="5182"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无废水排放或者生活废水</w:t>
            </w:r>
            <w:r>
              <w:rPr>
                <w:rFonts w:hint="eastAsia" w:ascii="Times New Roman" w:hAnsi="Times New Roman" w:cs="Times New Roman"/>
                <w:color w:val="auto"/>
                <w:sz w:val="20"/>
                <w:szCs w:val="20"/>
                <w:shd w:val="clear" w:color="auto" w:fill="auto"/>
                <w:lang w:val="en-US" w:eastAsia="zh-CN"/>
              </w:rPr>
              <w:t>/规模以下畜禽养殖废水</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服务业废水</w:t>
            </w:r>
            <w:r>
              <w:rPr>
                <w:rFonts w:hint="eastAsia" w:ascii="Times New Roman" w:hAnsi="Times New Roman" w:cs="Times New Roman"/>
                <w:color w:val="auto"/>
                <w:sz w:val="20"/>
                <w:szCs w:val="20"/>
                <w:shd w:val="clear" w:color="auto" w:fill="auto"/>
                <w:lang w:val="en-US" w:eastAsia="zh-CN"/>
              </w:rPr>
              <w:t>/规模化畜禽养殖废水</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一般工业废水</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含其他有毒有害物质的废水、医疗废水</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含一类污染物或重金属、病原体、放射性物质的废水</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水日</w:t>
            </w:r>
            <w:r>
              <w:rPr>
                <w:rFonts w:hint="default" w:ascii="Times New Roman" w:hAnsi="Times New Roman" w:cs="Times New Roman"/>
                <w:b/>
                <w:bCs/>
                <w:color w:val="auto"/>
                <w:sz w:val="20"/>
                <w:szCs w:val="20"/>
                <w:shd w:val="clear" w:color="auto" w:fill="auto"/>
              </w:rPr>
              <w:t>排放量</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1吨</w:t>
            </w:r>
            <w:r>
              <w:rPr>
                <w:rFonts w:hint="default" w:ascii="Times New Roman" w:hAnsi="Times New Roman" w:cs="Times New Roman"/>
                <w:color w:val="auto"/>
                <w:sz w:val="20"/>
                <w:szCs w:val="20"/>
                <w:shd w:val="clear" w:color="auto" w:fill="auto"/>
                <w:lang w:eastAsia="zh-CN"/>
              </w:rPr>
              <w:t>以下</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1吨以上10吨</w:t>
            </w:r>
            <w:r>
              <w:rPr>
                <w:rFonts w:hint="default" w:ascii="Times New Roman" w:hAnsi="Times New Roman" w:cs="Times New Roman"/>
                <w:color w:val="auto"/>
                <w:sz w:val="20"/>
                <w:szCs w:val="20"/>
                <w:shd w:val="clear" w:color="auto" w:fill="auto"/>
                <w:lang w:eastAsia="zh-CN"/>
              </w:rPr>
              <w:t>以下</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10吨以上50吨</w:t>
            </w:r>
            <w:r>
              <w:rPr>
                <w:rFonts w:hint="default" w:ascii="Times New Roman" w:hAnsi="Times New Roman" w:cs="Times New Roman"/>
                <w:color w:val="auto"/>
                <w:sz w:val="20"/>
                <w:szCs w:val="20"/>
                <w:shd w:val="clear" w:color="auto" w:fill="auto"/>
                <w:lang w:eastAsia="zh-CN"/>
              </w:rPr>
              <w:t>以下</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50吨以上100吨</w:t>
            </w:r>
            <w:r>
              <w:rPr>
                <w:rFonts w:hint="default" w:ascii="Times New Roman" w:hAnsi="Times New Roman" w:cs="Times New Roman"/>
                <w:color w:val="auto"/>
                <w:sz w:val="20"/>
                <w:szCs w:val="20"/>
                <w:shd w:val="clear" w:color="auto" w:fill="auto"/>
                <w:lang w:eastAsia="zh-CN"/>
              </w:rPr>
              <w:t>以下</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100吨以上</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情况</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项目未建成的</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项目已建成但尚未投入使用，未造成水体污染的</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项目已建成投入使用，或造成水体污染的</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配套污染防治设施建设情况</w:t>
            </w: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配套污染防治设施已建成</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配套污染防治设施已开工建设</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无配套污染防治设施</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行为情形</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改建</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扩建</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新建</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color w:val="auto"/>
                <w:sz w:val="21"/>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color w:val="auto"/>
                <w:sz w:val="21"/>
                <w:szCs w:val="20"/>
                <w:shd w:val="clear" w:color="auto" w:fill="auto"/>
              </w:rPr>
            </w:pP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color w:val="auto"/>
                <w:sz w:val="21"/>
                <w:szCs w:val="20"/>
                <w:shd w:val="clear" w:color="auto" w:fill="auto"/>
              </w:rPr>
            </w:pP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color w:val="auto"/>
                <w:sz w:val="21"/>
                <w:szCs w:val="20"/>
                <w:shd w:val="clear" w:color="auto" w:fill="auto"/>
              </w:rPr>
            </w:pP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color w:val="auto"/>
                <w:sz w:val="21"/>
                <w:szCs w:val="20"/>
                <w:shd w:val="clear" w:color="auto" w:fill="auto"/>
              </w:rPr>
            </w:pP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color w:val="auto"/>
                <w:sz w:val="21"/>
                <w:szCs w:val="20"/>
                <w:shd w:val="clear" w:color="auto" w:fill="auto"/>
              </w:rPr>
              <w:t>受处罚次数</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0"/>
                <w:shd w:val="clear" w:color="auto" w:fill="auto"/>
              </w:rPr>
              <w:t>两年内未受到过同类处罚</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0"/>
                <w:shd w:val="clear" w:color="auto" w:fill="auto"/>
              </w:rPr>
              <w:t>两年内受到同类处罚1次</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0"/>
                <w:shd w:val="clear" w:color="auto" w:fill="auto"/>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0"/>
                <w:shd w:val="clear" w:color="auto" w:fill="auto"/>
              </w:rPr>
              <w:t>两年内受到同类处罚2次以上</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0"/>
                <w:shd w:val="clear" w:color="auto" w:fill="auto"/>
              </w:rPr>
              <w:t>5</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r>
    </w:tbl>
    <w:p>
      <w:pPr>
        <w:widowControl/>
        <w:shd w:val="clear" w:color="auto" w:fill="auto"/>
        <w:snapToGrid w:val="0"/>
        <w:ind w:firstLine="640" w:firstLineChars="200"/>
        <w:jc w:val="left"/>
        <w:rPr>
          <w:rFonts w:hint="default" w:ascii="Times New Roman" w:hAnsi="Times New Roman" w:eastAsia="FangSong_GB2312" w:cs="Times New Roman"/>
          <w:color w:val="auto"/>
          <w:sz w:val="32"/>
          <w:szCs w:val="32"/>
          <w:shd w:val="clear" w:color="auto" w:fill="auto"/>
        </w:rPr>
      </w:pPr>
    </w:p>
    <w:p>
      <w:pPr>
        <w:widowControl/>
        <w:shd w:val="clear" w:color="auto" w:fill="auto"/>
        <w:snapToGrid w:val="0"/>
        <w:ind w:firstLine="640" w:firstLineChars="200"/>
        <w:jc w:val="left"/>
        <w:rPr>
          <w:rFonts w:hint="default" w:ascii="Times New Roman" w:hAnsi="Times New Roman" w:eastAsia="FangSong_GB2312" w:cs="Times New Roman"/>
          <w:color w:val="auto"/>
          <w:sz w:val="32"/>
          <w:szCs w:val="32"/>
          <w:shd w:val="clear" w:color="auto" w:fill="auto"/>
        </w:rPr>
      </w:pPr>
    </w:p>
    <w:p>
      <w:pPr>
        <w:widowControl/>
        <w:shd w:val="clear" w:color="auto" w:fill="auto"/>
        <w:snapToGrid w:val="0"/>
        <w:ind w:firstLine="640" w:firstLineChars="200"/>
        <w:jc w:val="left"/>
        <w:rPr>
          <w:rFonts w:hint="default" w:ascii="Times New Roman" w:hAnsi="Times New Roman" w:eastAsia="FangSong_GB2312" w:cs="Times New Roman"/>
          <w:color w:val="auto"/>
          <w:sz w:val="32"/>
          <w:szCs w:val="32"/>
          <w:shd w:val="clear" w:color="auto" w:fill="auto"/>
        </w:rPr>
      </w:pPr>
    </w:p>
    <w:p>
      <w:pPr>
        <w:widowControl/>
        <w:shd w:val="clear" w:color="auto" w:fill="auto"/>
        <w:snapToGrid w:val="0"/>
        <w:ind w:firstLine="640" w:firstLineChars="200"/>
        <w:jc w:val="left"/>
        <w:rPr>
          <w:rFonts w:hint="default" w:ascii="Times New Roman" w:hAnsi="Times New Roman" w:eastAsia="FangSong_GB2312" w:cs="Times New Roman"/>
          <w:color w:val="auto"/>
          <w:sz w:val="10"/>
          <w:szCs w:val="10"/>
          <w:shd w:val="clear" w:color="auto" w:fill="auto"/>
        </w:rPr>
      </w:pPr>
      <w:r>
        <w:rPr>
          <w:rFonts w:hint="default" w:ascii="Times New Roman" w:hAnsi="Times New Roman" w:eastAsia="FangSong_GB2312" w:cs="Times New Roman"/>
          <w:color w:val="auto"/>
          <w:sz w:val="32"/>
          <w:szCs w:val="32"/>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182"/>
        <w:gridCol w:w="2510"/>
      </w:tblGrid>
      <w:tr>
        <w:trPr>
          <w:trHeight w:val="397"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（三）水污染防治类</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46" w:name="_Toc16809"/>
            <w:r>
              <w:rPr>
                <w:rFonts w:hint="default" w:ascii="Times New Roman" w:hAnsi="Times New Roman" w:cs="Times New Roman"/>
                <w:color w:val="auto"/>
                <w:sz w:val="20"/>
                <w:szCs w:val="20"/>
                <w:shd w:val="clear" w:color="auto" w:fill="auto"/>
              </w:rPr>
              <w:t>21</w:t>
            </w:r>
            <w:bookmarkEnd w:id="146"/>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firstLine="420"/>
              <w:jc w:val="center"/>
              <w:outlineLvl w:val="9"/>
              <w:rPr>
                <w:rFonts w:hint="default" w:ascii="Times New Roman" w:hAnsi="Times New Roman" w:cs="Times New Roman"/>
                <w:color w:val="auto"/>
                <w:sz w:val="20"/>
                <w:szCs w:val="20"/>
                <w:shd w:val="clear" w:color="auto" w:fill="auto"/>
              </w:rPr>
            </w:pPr>
            <w:bookmarkStart w:id="147" w:name="_Toc23101"/>
            <w:r>
              <w:rPr>
                <w:rFonts w:hint="default" w:ascii="Times New Roman" w:hAnsi="Times New Roman" w:cs="Times New Roman"/>
                <w:color w:val="auto"/>
                <w:sz w:val="20"/>
                <w:szCs w:val="20"/>
                <w:shd w:val="clear" w:color="auto" w:fill="auto"/>
              </w:rPr>
              <w:t>在饮用水水源二级保护区内新建、改建、扩建排放污染物的建设项目的</w:t>
            </w:r>
            <w:bookmarkEnd w:id="147"/>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《中华人民共和国水污染防治法》第六十六条第一款</w:t>
            </w:r>
            <w:r>
              <w:rPr>
                <w:rFonts w:hint="default" w:ascii="Times New Roman" w:hAnsi="Times New Roman" w:cs="Times New Roman"/>
                <w:color w:val="auto"/>
                <w:sz w:val="20"/>
                <w:szCs w:val="20"/>
                <w:shd w:val="clear" w:color="auto" w:fill="auto"/>
              </w:rPr>
              <w:t xml:space="preserve"> 禁止在饮用水水源二级保护区内新建、改建、扩建排放污染物的建设项目；已建成的排放污染物的建设项目，由县级以上人民政府责令拆除或者关闭。</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《中华人民共和国水污染防治法》第九十一条第一款第（二）项</w:t>
            </w:r>
            <w:r>
              <w:rPr>
                <w:rFonts w:hint="default" w:ascii="Times New Roman" w:hAnsi="Times New Roman" w:cs="Times New Roman"/>
                <w:color w:val="auto"/>
                <w:sz w:val="20"/>
                <w:szCs w:val="20"/>
                <w:shd w:val="clear" w:color="auto" w:fill="auto"/>
              </w:rPr>
              <w:t xml:space="preserve"> 有下列行为之一的，由县级以上地方人民政府环境保护主管部门责令停止违法行为，处十万元以上五十万元以下的罚款；并报经有批准权的人民政府批准，责令拆除或者关闭：</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（二）在饮用水水源二级保护区内新建、改建、扩建排放污染物的建设项目的。</w:t>
            </w:r>
          </w:p>
        </w:tc>
      </w:tr>
      <w:tr>
        <w:trPr>
          <w:trHeight w:val="386"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86"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★建设项目</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废水类别</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生活废水</w:t>
            </w:r>
            <w:r>
              <w:rPr>
                <w:rFonts w:hint="eastAsia" w:ascii="Times New Roman" w:hAnsi="Times New Roman" w:cs="Times New Roman"/>
                <w:color w:val="auto"/>
                <w:sz w:val="20"/>
                <w:szCs w:val="20"/>
                <w:shd w:val="clear" w:color="auto" w:fill="auto"/>
                <w:lang w:val="en-US" w:eastAsia="zh-CN"/>
              </w:rPr>
              <w:t>/规模以下畜禽养殖废水</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服务业废水</w:t>
            </w:r>
            <w:r>
              <w:rPr>
                <w:rFonts w:hint="eastAsia" w:ascii="Times New Roman" w:hAnsi="Times New Roman" w:cs="Times New Roman"/>
                <w:color w:val="auto"/>
                <w:sz w:val="20"/>
                <w:szCs w:val="20"/>
                <w:shd w:val="clear" w:color="auto" w:fill="auto"/>
                <w:lang w:val="en-US" w:eastAsia="zh-CN"/>
              </w:rPr>
              <w:t>/规模化畜禽养殖废水</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一般工业废水</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含其他有毒有害物质的废水、医疗废水</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含一类污染物或重金属、病原体、放射性物质的废水</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水日</w:t>
            </w:r>
            <w:r>
              <w:rPr>
                <w:rFonts w:hint="default" w:ascii="Times New Roman" w:hAnsi="Times New Roman" w:cs="Times New Roman"/>
                <w:b/>
                <w:bCs/>
                <w:color w:val="auto"/>
                <w:sz w:val="20"/>
                <w:szCs w:val="20"/>
                <w:shd w:val="clear" w:color="auto" w:fill="auto"/>
              </w:rPr>
              <w:t>排放量</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5吨</w:t>
            </w:r>
            <w:r>
              <w:rPr>
                <w:rFonts w:hint="default" w:ascii="Times New Roman" w:hAnsi="Times New Roman" w:cs="Times New Roman"/>
                <w:color w:val="auto"/>
                <w:sz w:val="20"/>
                <w:szCs w:val="20"/>
                <w:shd w:val="clear" w:color="auto" w:fill="auto"/>
                <w:lang w:eastAsia="zh-CN"/>
              </w:rPr>
              <w:t>以下</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5吨以上50吨</w:t>
            </w:r>
            <w:r>
              <w:rPr>
                <w:rFonts w:hint="default" w:ascii="Times New Roman" w:hAnsi="Times New Roman" w:cs="Times New Roman"/>
                <w:color w:val="auto"/>
                <w:sz w:val="20"/>
                <w:szCs w:val="20"/>
                <w:shd w:val="clear" w:color="auto" w:fill="auto"/>
                <w:lang w:eastAsia="zh-CN"/>
              </w:rPr>
              <w:t>以下</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50吨以上100吨</w:t>
            </w:r>
            <w:r>
              <w:rPr>
                <w:rFonts w:hint="default" w:ascii="Times New Roman" w:hAnsi="Times New Roman" w:cs="Times New Roman"/>
                <w:color w:val="auto"/>
                <w:sz w:val="20"/>
                <w:szCs w:val="20"/>
                <w:shd w:val="clear" w:color="auto" w:fill="auto"/>
                <w:lang w:eastAsia="zh-CN"/>
              </w:rPr>
              <w:t>以下</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100吨以上500吨</w:t>
            </w:r>
            <w:r>
              <w:rPr>
                <w:rFonts w:hint="default" w:ascii="Times New Roman" w:hAnsi="Times New Roman" w:cs="Times New Roman"/>
                <w:color w:val="auto"/>
                <w:sz w:val="20"/>
                <w:szCs w:val="20"/>
                <w:shd w:val="clear" w:color="auto" w:fill="auto"/>
                <w:lang w:eastAsia="zh-CN"/>
              </w:rPr>
              <w:t>以下</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500吨以上</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情况</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项目未建成的</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项目已建成但尚未投入使用，未造成水体污染的</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项目已建成投入使用，或造成水体污染的</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配套污染防治设施建设情况</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配套污染防治设施已建成</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配套污染防治设施已开工建设</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无配套污染防治设施</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行为情形</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改建</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扩建</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新建</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86"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86"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86"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86"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受处罚次数</w:t>
            </w: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两年内未受到过同类处罚</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两年内受到同类处罚1次</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两年内受到同类处罚2次以上</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r>
    </w:tbl>
    <w:p>
      <w:pPr>
        <w:widowControl/>
        <w:shd w:val="clear" w:color="auto" w:fill="auto"/>
        <w:snapToGrid w:val="0"/>
        <w:ind w:firstLine="640" w:firstLineChars="200"/>
        <w:jc w:val="left"/>
        <w:rPr>
          <w:rFonts w:hint="default" w:ascii="Times New Roman" w:hAnsi="Times New Roman" w:eastAsia="FangSong_GB2312" w:cs="Times New Roman"/>
          <w:color w:val="auto"/>
          <w:sz w:val="32"/>
          <w:szCs w:val="32"/>
          <w:shd w:val="clear" w:color="auto" w:fill="auto"/>
        </w:rPr>
      </w:pPr>
    </w:p>
    <w:p>
      <w:pPr>
        <w:widowControl/>
        <w:shd w:val="clear" w:color="auto" w:fill="auto"/>
        <w:snapToGrid w:val="0"/>
        <w:ind w:firstLine="640" w:firstLineChars="200"/>
        <w:jc w:val="left"/>
        <w:rPr>
          <w:rFonts w:hint="default" w:ascii="Times New Roman" w:hAnsi="Times New Roman" w:eastAsia="FangSong_GB2312" w:cs="Times New Roman"/>
          <w:color w:val="auto"/>
          <w:sz w:val="10"/>
          <w:szCs w:val="10"/>
          <w:shd w:val="clear" w:color="auto" w:fill="auto"/>
        </w:rPr>
      </w:pPr>
      <w:r>
        <w:rPr>
          <w:rFonts w:hint="default" w:ascii="Times New Roman" w:hAnsi="Times New Roman" w:eastAsia="FangSong_GB2312" w:cs="Times New Roman"/>
          <w:color w:val="auto"/>
          <w:sz w:val="32"/>
          <w:szCs w:val="32"/>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182"/>
        <w:gridCol w:w="2510"/>
      </w:tblGrid>
      <w:tr>
        <w:trPr>
          <w:trHeight w:val="397"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（三）水污染防治类</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22</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firstLine="420"/>
              <w:outlineLvl w:val="9"/>
              <w:rPr>
                <w:rFonts w:hint="default" w:ascii="Times New Roman" w:hAnsi="Times New Roman" w:cs="Times New Roman"/>
                <w:color w:val="auto"/>
                <w:sz w:val="20"/>
                <w:szCs w:val="20"/>
                <w:shd w:val="clear" w:color="auto" w:fill="auto"/>
              </w:rPr>
            </w:pPr>
            <w:bookmarkStart w:id="148" w:name="_Toc5240"/>
            <w:r>
              <w:rPr>
                <w:rFonts w:hint="default" w:ascii="Times New Roman" w:hAnsi="Times New Roman" w:cs="Times New Roman"/>
                <w:color w:val="auto"/>
                <w:sz w:val="20"/>
                <w:szCs w:val="20"/>
                <w:shd w:val="clear" w:color="auto" w:fill="auto"/>
              </w:rPr>
              <w:t>在饮用水水源准保护区内新建、扩建对水体污染严重的建设项目，或者改建建设项目增加排污量的</w:t>
            </w:r>
            <w:bookmarkEnd w:id="148"/>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《中华人民共和国水污染防治法》第六十七条 </w:t>
            </w:r>
            <w:r>
              <w:rPr>
                <w:rFonts w:hint="default" w:ascii="Times New Roman" w:hAnsi="Times New Roman" w:cs="Times New Roman"/>
                <w:color w:val="auto"/>
                <w:sz w:val="20"/>
                <w:szCs w:val="20"/>
                <w:shd w:val="clear" w:color="auto" w:fill="auto"/>
              </w:rPr>
              <w:t>禁止在饮用水水源准保护区内新建、扩建对水体污染严重的建设项目；改建建设项目，不得增加排污量。</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《中华人民共和国水污染防治法》第九十一条第一款第（三）项</w:t>
            </w:r>
            <w:r>
              <w:rPr>
                <w:rFonts w:hint="default" w:ascii="Times New Roman" w:hAnsi="Times New Roman" w:cs="Times New Roman"/>
                <w:color w:val="auto"/>
                <w:sz w:val="20"/>
                <w:szCs w:val="20"/>
                <w:shd w:val="clear" w:color="auto" w:fill="auto"/>
              </w:rPr>
              <w:t xml:space="preserve"> 有下列行为之一的，由县级以上地方人民政府环境保护主管部门责令停止违法行为，处十万元以上五十万元以下的罚款；并报经有批准权的人民政府批准，责令拆除或者关闭：</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（一）在饮用水水源准保护区内新建、扩建对水体污染严重的建设项目，或者改建建设项目增加排污量的。</w:t>
            </w:r>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★建设项目</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排放废水</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类别</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生活废水</w:t>
            </w:r>
            <w:r>
              <w:rPr>
                <w:rFonts w:hint="eastAsia" w:ascii="Times New Roman" w:hAnsi="Times New Roman" w:cs="Times New Roman"/>
                <w:color w:val="auto"/>
                <w:sz w:val="20"/>
                <w:szCs w:val="20"/>
                <w:shd w:val="clear" w:color="auto" w:fill="auto"/>
                <w:lang w:val="en-US" w:eastAsia="zh-CN"/>
              </w:rPr>
              <w:t>/规模以下畜禽养殖废水</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服务业废水</w:t>
            </w:r>
            <w:r>
              <w:rPr>
                <w:rFonts w:hint="eastAsia" w:ascii="Times New Roman" w:hAnsi="Times New Roman" w:cs="Times New Roman"/>
                <w:color w:val="auto"/>
                <w:sz w:val="20"/>
                <w:szCs w:val="20"/>
                <w:shd w:val="clear" w:color="auto" w:fill="auto"/>
                <w:lang w:val="en-US" w:eastAsia="zh-CN"/>
              </w:rPr>
              <w:t>/规模化畜禽养殖废水</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一般工业废水</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含其他有毒有害物质的废水、医疗废水</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含一类污染物或重金属、病原体、放射性物质的废水</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水日</w:t>
            </w:r>
            <w:r>
              <w:rPr>
                <w:rFonts w:hint="default" w:ascii="Times New Roman" w:hAnsi="Times New Roman" w:cs="Times New Roman"/>
                <w:b/>
                <w:bCs/>
                <w:color w:val="auto"/>
                <w:sz w:val="20"/>
                <w:szCs w:val="20"/>
                <w:shd w:val="clear" w:color="auto" w:fill="auto"/>
              </w:rPr>
              <w:t>排放量（</w:t>
            </w:r>
            <w:r>
              <w:rPr>
                <w:rFonts w:hint="default" w:ascii="Times New Roman" w:hAnsi="Times New Roman" w:cs="Times New Roman"/>
                <w:b/>
                <w:bCs/>
                <w:color w:val="auto"/>
                <w:sz w:val="20"/>
                <w:szCs w:val="20"/>
                <w:shd w:val="clear" w:color="auto" w:fill="auto"/>
                <w:lang w:val="en-US"/>
              </w:rPr>
              <w:t>废水</w:t>
            </w:r>
            <w:r>
              <w:rPr>
                <w:rFonts w:hint="default" w:ascii="Times New Roman" w:hAnsi="Times New Roman" w:cs="Times New Roman"/>
                <w:b/>
                <w:bCs/>
                <w:color w:val="auto"/>
                <w:sz w:val="20"/>
                <w:szCs w:val="20"/>
                <w:shd w:val="clear" w:color="auto" w:fill="auto"/>
                <w:lang/>
              </w:rPr>
              <w:t>）</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10吨</w:t>
            </w:r>
            <w:r>
              <w:rPr>
                <w:rFonts w:hint="default" w:ascii="Times New Roman" w:hAnsi="Times New Roman" w:cs="Times New Roman"/>
                <w:color w:val="auto"/>
                <w:sz w:val="20"/>
                <w:szCs w:val="20"/>
                <w:shd w:val="clear" w:color="auto" w:fill="auto"/>
                <w:lang w:eastAsia="zh-CN"/>
              </w:rPr>
              <w:t>以下</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10吨以上100吨</w:t>
            </w:r>
            <w:r>
              <w:rPr>
                <w:rFonts w:hint="default" w:ascii="Times New Roman" w:hAnsi="Times New Roman" w:cs="Times New Roman"/>
                <w:color w:val="auto"/>
                <w:sz w:val="20"/>
                <w:szCs w:val="20"/>
                <w:shd w:val="clear" w:color="auto" w:fill="auto"/>
                <w:lang w:eastAsia="zh-CN"/>
              </w:rPr>
              <w:t>以下</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100吨以上500吨</w:t>
            </w:r>
            <w:r>
              <w:rPr>
                <w:rFonts w:hint="default" w:ascii="Times New Roman" w:hAnsi="Times New Roman" w:cs="Times New Roman"/>
                <w:color w:val="auto"/>
                <w:sz w:val="20"/>
                <w:szCs w:val="20"/>
                <w:shd w:val="clear" w:color="auto" w:fill="auto"/>
                <w:lang w:eastAsia="zh-CN"/>
              </w:rPr>
              <w:t>以下</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500吨以上1000吨</w:t>
            </w:r>
            <w:r>
              <w:rPr>
                <w:rFonts w:hint="default" w:ascii="Times New Roman" w:hAnsi="Times New Roman" w:cs="Times New Roman"/>
                <w:color w:val="auto"/>
                <w:sz w:val="20"/>
                <w:szCs w:val="20"/>
                <w:shd w:val="clear" w:color="auto" w:fill="auto"/>
                <w:lang w:eastAsia="zh-CN"/>
              </w:rPr>
              <w:t>以下</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1000吨以上</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情况</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项目未建成的或未增加排污量的</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项目已建成但尚未投入使用，未造成水体污染的</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项目已建成投入使用，或造成水体污染的</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污染防治设施建设情况</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配套污染防治设施已建成</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配套污染防治设施已开工建设</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无配套污染防治设施</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行为情形</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改建且增加排污量</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扩建对水体污染严重的建设项目</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新建对水体污染严重的建设项目</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受处罚次数</w:t>
            </w: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两年内未受到过同类处罚</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两年内受到同类处罚1次</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两年内受到同类处罚2次以上</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r>
    </w:tbl>
    <w:p>
      <w:pPr>
        <w:widowControl/>
        <w:shd w:val="clear" w:color="auto" w:fill="auto"/>
        <w:snapToGrid w:val="0"/>
        <w:ind w:firstLine="640" w:firstLineChars="200"/>
        <w:jc w:val="left"/>
        <w:rPr>
          <w:rFonts w:hint="default" w:ascii="Times New Roman" w:hAnsi="Times New Roman" w:eastAsia="FangSong_GB2312" w:cs="Times New Roman"/>
          <w:color w:val="auto"/>
          <w:sz w:val="32"/>
          <w:szCs w:val="32"/>
          <w:shd w:val="clear" w:color="auto" w:fill="auto"/>
        </w:rPr>
      </w:pPr>
    </w:p>
    <w:p>
      <w:pPr>
        <w:widowControl/>
        <w:shd w:val="clear" w:color="auto" w:fill="auto"/>
        <w:snapToGrid w:val="0"/>
        <w:ind w:firstLine="640" w:firstLineChars="200"/>
        <w:jc w:val="left"/>
        <w:rPr>
          <w:rFonts w:hint="default" w:ascii="Times New Roman" w:hAnsi="Times New Roman" w:eastAsia="FangSong_GB2312" w:cs="Times New Roman"/>
          <w:color w:val="auto"/>
          <w:sz w:val="32"/>
          <w:szCs w:val="32"/>
          <w:shd w:val="clear" w:color="auto" w:fill="auto"/>
        </w:rPr>
      </w:pPr>
    </w:p>
    <w:p>
      <w:pPr>
        <w:widowControl/>
        <w:shd w:val="clear" w:color="auto" w:fill="auto"/>
        <w:snapToGrid w:val="0"/>
        <w:ind w:firstLine="200" w:firstLineChars="200"/>
        <w:jc w:val="left"/>
        <w:rPr>
          <w:rFonts w:hint="default" w:ascii="Times New Roman" w:hAnsi="Times New Roman" w:eastAsia="FangSong_GB2312" w:cs="Times New Roman"/>
          <w:color w:val="auto"/>
          <w:sz w:val="10"/>
          <w:szCs w:val="10"/>
          <w:shd w:val="clear" w:color="auto" w:fill="auto"/>
        </w:rPr>
      </w:pPr>
      <w:r>
        <w:rPr>
          <w:rFonts w:hint="default" w:ascii="Times New Roman" w:hAnsi="Times New Roman" w:eastAsia="FangSong_GB2312" w:cs="Times New Roman"/>
          <w:color w:val="auto"/>
          <w:sz w:val="10"/>
          <w:szCs w:val="10"/>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182"/>
        <w:gridCol w:w="2510"/>
      </w:tblGrid>
      <w:tr>
        <w:trPr>
          <w:trHeight w:val="397"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（三）水污染防治类</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49" w:name="_Toc18478"/>
            <w:r>
              <w:rPr>
                <w:rFonts w:hint="default" w:ascii="Times New Roman" w:hAnsi="Times New Roman" w:cs="Times New Roman"/>
                <w:color w:val="auto"/>
                <w:sz w:val="20"/>
                <w:szCs w:val="20"/>
                <w:shd w:val="clear" w:color="auto" w:fill="auto"/>
              </w:rPr>
              <w:t>23</w:t>
            </w:r>
            <w:bookmarkEnd w:id="149"/>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firstLine="420"/>
              <w:outlineLvl w:val="9"/>
              <w:rPr>
                <w:rFonts w:hint="default" w:ascii="Times New Roman" w:hAnsi="Times New Roman" w:cs="Times New Roman"/>
                <w:color w:val="auto"/>
                <w:sz w:val="20"/>
                <w:szCs w:val="20"/>
                <w:shd w:val="clear" w:color="auto" w:fill="auto"/>
              </w:rPr>
            </w:pPr>
            <w:bookmarkStart w:id="150" w:name="_Toc4761"/>
            <w:r>
              <w:rPr>
                <w:rFonts w:hint="default" w:ascii="Times New Roman" w:hAnsi="Times New Roman" w:cs="Times New Roman"/>
                <w:color w:val="auto"/>
                <w:sz w:val="20"/>
                <w:szCs w:val="20"/>
                <w:shd w:val="clear" w:color="auto" w:fill="auto"/>
              </w:rPr>
              <w:t>在饮用水水源一级保护区内从事网箱养殖或者组织进行旅游、垂钓或者其他可能污染饮用水水体的活动的</w:t>
            </w:r>
            <w:bookmarkEnd w:id="150"/>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《中华人民共和国水污染防治法》第六十五条第二款 </w:t>
            </w:r>
            <w:r>
              <w:rPr>
                <w:rFonts w:hint="default" w:ascii="Times New Roman" w:hAnsi="Times New Roman" w:cs="Times New Roman"/>
                <w:color w:val="auto"/>
                <w:sz w:val="20"/>
                <w:szCs w:val="20"/>
                <w:shd w:val="clear" w:color="auto" w:fill="auto"/>
              </w:rPr>
              <w:t>禁止在饮用水水源一级保护区内从事网箱养殖、旅游、游泳、垂钓或者其他可能污染饮用水水体的活动。</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《中华人民共和国水污染防治法》第九十一条第二款 </w:t>
            </w:r>
            <w:r>
              <w:rPr>
                <w:rFonts w:hint="default" w:ascii="Times New Roman" w:hAnsi="Times New Roman" w:cs="Times New Roman"/>
                <w:color w:val="auto"/>
                <w:sz w:val="20"/>
                <w:szCs w:val="20"/>
                <w:shd w:val="clear" w:color="auto" w:fill="auto"/>
              </w:rPr>
              <w:t>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从事垂钓或者其他可能污染饮用水水体的活动的</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组织进行旅游的</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从事网箱养殖的</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持续时间</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5天</w:t>
            </w:r>
            <w:r>
              <w:rPr>
                <w:rFonts w:hint="default" w:ascii="Times New Roman" w:hAnsi="Times New Roman" w:cs="Times New Roman"/>
                <w:color w:val="auto"/>
                <w:sz w:val="20"/>
                <w:szCs w:val="20"/>
                <w:shd w:val="clear" w:color="auto" w:fill="auto"/>
                <w:lang w:val="en-US"/>
              </w:rPr>
              <w:t>以下</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5天以上10天</w:t>
            </w:r>
            <w:r>
              <w:rPr>
                <w:rFonts w:hint="default" w:ascii="Times New Roman" w:hAnsi="Times New Roman" w:cs="Times New Roman"/>
                <w:color w:val="auto"/>
                <w:sz w:val="20"/>
                <w:szCs w:val="20"/>
                <w:shd w:val="clear" w:color="auto" w:fill="auto"/>
                <w:lang w:val="en-US"/>
              </w:rPr>
              <w:t>以下</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10天以上20天</w:t>
            </w:r>
            <w:r>
              <w:rPr>
                <w:rFonts w:hint="default" w:ascii="Times New Roman" w:hAnsi="Times New Roman" w:cs="Times New Roman"/>
                <w:color w:val="auto"/>
                <w:sz w:val="20"/>
                <w:szCs w:val="20"/>
                <w:shd w:val="clear" w:color="auto" w:fill="auto"/>
                <w:lang w:val="en-US"/>
              </w:rPr>
              <w:t>以下</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20天以上1个月</w:t>
            </w:r>
            <w:r>
              <w:rPr>
                <w:rFonts w:hint="default" w:ascii="Times New Roman" w:hAnsi="Times New Roman" w:cs="Times New Roman"/>
                <w:color w:val="auto"/>
                <w:sz w:val="20"/>
                <w:szCs w:val="20"/>
                <w:shd w:val="clear" w:color="auto" w:fill="auto"/>
                <w:lang w:val="en-US"/>
              </w:rPr>
              <w:t>以下</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1个月以上</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val="en-US" w:eastAsia="zh-CN"/>
              </w:rPr>
              <w:t>企业规模</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微型企业</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小型企业</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中型企业</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大型企业</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69" w:hRule="atLeast"/>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182"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lang/>
              </w:rPr>
            </w:pPr>
            <w:r>
              <w:rPr>
                <w:rFonts w:hint="eastAsia" w:ascii="Times New Roman" w:hAnsi="Times New Roman" w:cs="Times New Roman"/>
                <w:color w:val="auto"/>
                <w:kern w:val="2"/>
                <w:sz w:val="21"/>
                <w:szCs w:val="21"/>
                <w:shd w:val="clear" w:color="auto" w:fill="auto"/>
                <w:lang w:eastAsia="zh-CN"/>
              </w:rPr>
              <w:t>限期改正</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3天以上7天以下</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69"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7天以上</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r>
    </w:tbl>
    <w:p>
      <w:pPr>
        <w:widowControl/>
        <w:shd w:val="clear" w:color="auto" w:fill="auto"/>
        <w:snapToGrid w:val="0"/>
        <w:ind w:firstLine="200" w:firstLineChars="200"/>
        <w:jc w:val="left"/>
        <w:rPr>
          <w:rFonts w:hint="default" w:ascii="Times New Roman" w:hAnsi="Times New Roman" w:eastAsia="FangSong_GB2312" w:cs="Times New Roman"/>
          <w:color w:val="auto"/>
          <w:sz w:val="10"/>
          <w:szCs w:val="10"/>
          <w:shd w:val="clear" w:color="auto" w:fill="auto"/>
        </w:rPr>
      </w:pP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182"/>
        <w:gridCol w:w="2510"/>
      </w:tblGrid>
      <w:tr>
        <w:trPr>
          <w:trHeight w:val="397"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（三）水污染防治类</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51" w:name="_Toc31071"/>
            <w:r>
              <w:rPr>
                <w:rFonts w:hint="default" w:ascii="Times New Roman" w:hAnsi="Times New Roman" w:cs="Times New Roman"/>
                <w:color w:val="auto"/>
                <w:sz w:val="20"/>
                <w:szCs w:val="20"/>
                <w:shd w:val="clear" w:color="auto" w:fill="auto"/>
              </w:rPr>
              <w:t>24</w:t>
            </w:r>
            <w:bookmarkEnd w:id="151"/>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firstLine="420"/>
              <w:jc w:val="center"/>
              <w:outlineLvl w:val="9"/>
              <w:rPr>
                <w:rFonts w:hint="default" w:ascii="Times New Roman" w:hAnsi="Times New Roman" w:cs="Times New Roman"/>
                <w:color w:val="auto"/>
                <w:sz w:val="20"/>
                <w:szCs w:val="20"/>
                <w:shd w:val="clear" w:color="auto" w:fill="auto"/>
              </w:rPr>
            </w:pPr>
            <w:bookmarkStart w:id="152" w:name="_Toc20204"/>
            <w:r>
              <w:rPr>
                <w:rFonts w:hint="default" w:ascii="Times New Roman" w:hAnsi="Times New Roman" w:cs="Times New Roman"/>
                <w:color w:val="auto"/>
                <w:sz w:val="20"/>
                <w:szCs w:val="20"/>
                <w:shd w:val="clear" w:color="auto" w:fill="auto"/>
              </w:rPr>
              <w:t>不按照规定制定水污染事故的应急方案的</w:t>
            </w:r>
            <w:bookmarkEnd w:id="152"/>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《中华人民共和国水污染防治法》第七十七条第一款 </w:t>
            </w:r>
            <w:r>
              <w:rPr>
                <w:rFonts w:hint="default" w:ascii="Times New Roman" w:hAnsi="Times New Roman" w:cs="Times New Roman"/>
                <w:color w:val="auto"/>
                <w:sz w:val="20"/>
                <w:szCs w:val="20"/>
                <w:shd w:val="clear" w:color="auto" w:fill="auto"/>
              </w:rPr>
              <w:t>可能发生水污染事故的企业事业单位，应当制定有关水污染事故的应急方案，做好应急准备，并定期进行演练。</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《中华人民共和国水污染防治法》第九十三条第（一）项 </w:t>
            </w:r>
            <w:r>
              <w:rPr>
                <w:rFonts w:hint="default" w:ascii="Times New Roman" w:hAnsi="Times New Roman" w:cs="Times New Roman"/>
                <w:color w:val="auto"/>
                <w:sz w:val="20"/>
                <w:szCs w:val="20"/>
                <w:shd w:val="clear" w:color="auto" w:fill="auto"/>
              </w:rPr>
              <w:t>企业事业单位有下列行为之一的，由县级以上人民政府环境保护主管部门责令改正；情节严重的，处二万元以上十万元以下的罚款：</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（一）不按照规定制定水污染事故的应急方案的。</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未按照规定制定水污染事故应急方案的</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未制定水污染事故的应急方案的</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废水类别</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生活废水</w:t>
            </w:r>
            <w:r>
              <w:rPr>
                <w:rFonts w:hint="eastAsia" w:ascii="Times New Roman" w:hAnsi="Times New Roman" w:cs="Times New Roman"/>
                <w:color w:val="auto"/>
                <w:sz w:val="20"/>
                <w:szCs w:val="20"/>
                <w:shd w:val="clear" w:color="auto" w:fill="auto"/>
                <w:lang w:val="en-US" w:eastAsia="zh-CN"/>
              </w:rPr>
              <w:t>/规模以下畜禽养殖废水</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服务业废水</w:t>
            </w:r>
            <w:r>
              <w:rPr>
                <w:rFonts w:hint="eastAsia" w:ascii="Times New Roman" w:hAnsi="Times New Roman" w:cs="Times New Roman"/>
                <w:color w:val="auto"/>
                <w:sz w:val="20"/>
                <w:szCs w:val="20"/>
                <w:shd w:val="clear" w:color="auto" w:fill="auto"/>
                <w:lang w:val="en-US" w:eastAsia="zh-CN"/>
              </w:rPr>
              <w:t>/规模化畜禽养殖废水</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一般工业废水</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含其他有毒有害物质的废水、医疗废水</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含一类污染物或重金属、病原体、放射性物质的废水</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lang w:val="en-US" w:bidi="ar-SA"/>
              </w:rPr>
            </w:pPr>
            <w:r>
              <w:rPr>
                <w:rFonts w:hint="default" w:ascii="Times New Roman" w:hAnsi="Times New Roman" w:cs="Times New Roman"/>
                <w:b/>
                <w:bCs/>
                <w:color w:val="auto"/>
                <w:sz w:val="20"/>
                <w:szCs w:val="20"/>
                <w:shd w:val="clear" w:color="auto" w:fill="auto"/>
                <w:lang w:val="en-US"/>
              </w:rPr>
              <w:t>改正时间</w:t>
            </w:r>
          </w:p>
        </w:tc>
        <w:tc>
          <w:tcPr>
            <w:tcW w:w="5182"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kern w:val="2"/>
                <w:sz w:val="21"/>
                <w:szCs w:val="21"/>
                <w:shd w:val="clear" w:color="auto" w:fill="auto"/>
                <w:lang w:eastAsia="zh-CN"/>
              </w:rPr>
              <w:t>限期改正</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182" w:type="dxa"/>
            <w:vAlign w:val="center"/>
          </w:tcPr>
          <w:p>
            <w:pPr>
              <w:shd w:val="clear" w:color="auto" w:fill="auto"/>
              <w:snapToGrid w:val="0"/>
              <w:spacing w:before="0" w:beforeAutospacing="0" w:after="0" w:afterAutospacing="0" w:line="300" w:lineRule="exact"/>
              <w:ind w:left="0" w:right="0"/>
              <w:jc w:val="center"/>
              <w:rPr>
                <w:rFonts w:hint="eastAsia"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97"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51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受处罚次数</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eastAsia="FangSong_GB2312" w:cs="Times New Roman"/>
          <w:b/>
          <w:bCs/>
          <w:color w:val="auto"/>
          <w:shd w:val="clear" w:color="auto" w:fill="auto"/>
        </w:rPr>
      </w:pPr>
    </w:p>
    <w:p>
      <w:pPr>
        <w:shd w:val="clear" w:color="auto" w:fill="auto"/>
        <w:snapToGrid w:val="0"/>
        <w:rPr>
          <w:rFonts w:hint="default" w:ascii="Times New Roman" w:hAnsi="Times New Roman" w:eastAsia="FangSong_GB2312" w:cs="Times New Roman"/>
          <w:b/>
          <w:bCs/>
          <w:color w:val="auto"/>
          <w:shd w:val="clear" w:color="auto" w:fill="auto"/>
        </w:rPr>
      </w:pPr>
    </w:p>
    <w:p>
      <w:pPr>
        <w:shd w:val="clear" w:color="auto" w:fill="auto"/>
        <w:snapToGrid w:val="0"/>
        <w:rPr>
          <w:rFonts w:hint="default" w:ascii="Times New Roman" w:hAnsi="Times New Roman" w:eastAsia="FangSong_GB2312" w:cs="Times New Roman"/>
          <w:b/>
          <w:bCs/>
          <w:color w:val="auto"/>
          <w:shd w:val="clear" w:color="auto" w:fill="auto"/>
        </w:rPr>
      </w:pPr>
    </w:p>
    <w:p>
      <w:pPr>
        <w:shd w:val="clear" w:color="auto" w:fill="auto"/>
        <w:snapToGrid w:val="0"/>
        <w:rPr>
          <w:rFonts w:hint="default" w:ascii="Times New Roman" w:hAnsi="Times New Roman" w:eastAsia="FangSong_GB2312" w:cs="Times New Roman"/>
          <w:b/>
          <w:bCs/>
          <w:color w:val="auto"/>
          <w:shd w:val="clear" w:color="auto" w:fill="auto"/>
        </w:rPr>
      </w:pPr>
    </w:p>
    <w:p>
      <w:pPr>
        <w:shd w:val="clear" w:color="auto" w:fill="auto"/>
        <w:snapToGrid w:val="0"/>
        <w:rPr>
          <w:rFonts w:hint="default" w:ascii="Times New Roman" w:hAnsi="Times New Roman" w:eastAsia="FangSong_GB2312" w:cs="Times New Roman"/>
          <w:b/>
          <w:bCs/>
          <w:color w:val="auto"/>
          <w:shd w:val="clear" w:color="auto" w:fill="auto"/>
        </w:rPr>
      </w:pPr>
    </w:p>
    <w:p>
      <w:pPr>
        <w:shd w:val="clear" w:color="auto" w:fill="auto"/>
        <w:snapToGrid w:val="0"/>
        <w:rPr>
          <w:rFonts w:hint="default" w:ascii="Times New Roman" w:hAnsi="Times New Roman" w:eastAsia="FangSong_GB2312" w:cs="Times New Roman"/>
          <w:b/>
          <w:bCs/>
          <w:color w:val="auto"/>
          <w:shd w:val="clear" w:color="auto" w:fill="auto"/>
        </w:rPr>
      </w:pPr>
    </w:p>
    <w:p>
      <w:pPr>
        <w:shd w:val="clear" w:color="auto" w:fill="auto"/>
        <w:snapToGrid w:val="0"/>
        <w:rPr>
          <w:rFonts w:hint="default" w:ascii="Times New Roman" w:hAnsi="Times New Roman" w:eastAsia="FangSong_GB2312" w:cs="Times New Roman"/>
          <w:b/>
          <w:bCs/>
          <w:color w:val="auto"/>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r>
        <w:rPr>
          <w:rFonts w:hint="default" w:ascii="Times New Roman" w:hAnsi="Times New Roman" w:eastAsia="FangSong_GB2312" w:cs="Times New Roman"/>
          <w:b/>
          <w:bCs/>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432"/>
        <w:gridCol w:w="2260"/>
      </w:tblGrid>
      <w:tr>
        <w:trPr>
          <w:trHeight w:val="340"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（三）水污染防治类</w:t>
            </w:r>
          </w:p>
        </w:tc>
      </w:tr>
      <w:tr>
        <w:trPr>
          <w:trHeight w:val="34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53" w:name="_Toc23772"/>
            <w:r>
              <w:rPr>
                <w:rFonts w:hint="default" w:ascii="Times New Roman" w:hAnsi="Times New Roman" w:cs="Times New Roman"/>
                <w:color w:val="auto"/>
                <w:sz w:val="20"/>
                <w:szCs w:val="20"/>
                <w:shd w:val="clear" w:color="auto" w:fill="auto"/>
              </w:rPr>
              <w:t>25</w:t>
            </w:r>
            <w:bookmarkEnd w:id="153"/>
          </w:p>
        </w:tc>
      </w:tr>
      <w:tr>
        <w:trPr>
          <w:trHeight w:val="34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firstLine="420"/>
              <w:outlineLvl w:val="9"/>
              <w:rPr>
                <w:rFonts w:hint="default" w:ascii="Times New Roman" w:hAnsi="Times New Roman" w:cs="Times New Roman"/>
                <w:color w:val="auto"/>
                <w:sz w:val="20"/>
                <w:szCs w:val="20"/>
                <w:shd w:val="clear" w:color="auto" w:fill="auto"/>
              </w:rPr>
            </w:pPr>
            <w:bookmarkStart w:id="154" w:name="_Toc17074"/>
            <w:r>
              <w:rPr>
                <w:rFonts w:hint="default" w:ascii="Times New Roman" w:hAnsi="Times New Roman" w:cs="Times New Roman"/>
                <w:color w:val="auto"/>
                <w:sz w:val="20"/>
                <w:szCs w:val="20"/>
                <w:shd w:val="clear" w:color="auto" w:fill="auto"/>
              </w:rPr>
              <w:t>水污染事故发生后，未及时启动水污染事故的应急方案，采取有关应急措施的</w:t>
            </w:r>
            <w:bookmarkEnd w:id="154"/>
          </w:p>
        </w:tc>
      </w:tr>
      <w:tr>
        <w:trPr>
          <w:trHeight w:val="197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《中华人民共和国水污染防治法》第七十八条第一款 </w:t>
            </w:r>
            <w:r>
              <w:rPr>
                <w:rFonts w:hint="default" w:ascii="Times New Roman" w:hAnsi="Times New Roman" w:cs="Times New Roman"/>
                <w:color w:val="auto"/>
                <w:sz w:val="20"/>
                <w:szCs w:val="20"/>
                <w:shd w:val="clear" w:color="auto" w:fill="auto"/>
              </w:rPr>
              <w:t>企业事业单位发生事故或者其他突发性事件，造成或者可能造成水污染事故的，应当立即启动本单位的应急方案，采取隔离等应急措施，防止水污染物进入水体，并向事故发生地的县级以上地方人民政府或者环境保护主管部门报告。环境保护主管部门接到报告后，应当及时向本级人民政府报告，并抄送有关部门。</w:t>
            </w:r>
          </w:p>
        </w:tc>
      </w:tr>
      <w:tr>
        <w:trPr>
          <w:trHeight w:val="191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《中华人民共和国水污染防治法》第九十三条第（二）项 </w:t>
            </w:r>
            <w:r>
              <w:rPr>
                <w:rFonts w:hint="default" w:ascii="Times New Roman" w:hAnsi="Times New Roman" w:cs="Times New Roman"/>
                <w:color w:val="auto"/>
                <w:sz w:val="20"/>
                <w:szCs w:val="20"/>
                <w:shd w:val="clear" w:color="auto" w:fill="auto"/>
              </w:rPr>
              <w:t>企业事业单位有下列行为之一的，由县级以上人民政府环境保护主管部门责令改正；情节严重的，处二万元以上十万元以下的罚款：</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（二）水污染事故发生后，未及时启动水污染事故的应急方案，采取有关应急措施的。</w:t>
            </w:r>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firstLine="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水污染事故发生后，未规范采取应急措施，未造成水体污染的</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水污染事故发生后，未规范采取应急措施，造成部分水体污染的</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水污染事故发生后，未采取应急措施，造成严重水体污染的</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污染事故</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等级</w:t>
            </w: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一般突发环境事件(IV)及以下事件</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较大突发环境事件(III)</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重大突发环境事件(II)</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特别重大突发环境事件(I)</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425"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受处罚次数</w:t>
            </w: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两年内未受到过同类处罚</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两年内受到同类处罚1次</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两年内受到同类处罚2次以上</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69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widowControl/>
        <w:shd w:val="clear" w:color="auto" w:fill="auto"/>
        <w:snapToGrid w:val="0"/>
        <w:jc w:val="left"/>
        <w:rPr>
          <w:rFonts w:hint="default" w:ascii="Times New Roman" w:hAnsi="Times New Roman" w:eastAsia="FangSong_GB2312" w:cs="Times New Roman"/>
          <w:b/>
          <w:bCs/>
          <w:color w:val="auto"/>
          <w:sz w:val="10"/>
          <w:szCs w:val="10"/>
          <w:shd w:val="clear" w:color="auto" w:fill="auto"/>
        </w:rPr>
      </w:pPr>
    </w:p>
    <w:p>
      <w:pPr>
        <w:widowControl/>
        <w:shd w:val="clear" w:color="auto" w:fill="auto"/>
        <w:snapToGrid w:val="0"/>
        <w:jc w:val="left"/>
        <w:rPr>
          <w:rFonts w:hint="default" w:ascii="Times New Roman" w:hAnsi="Times New Roman" w:eastAsia="FangSong_GB2312" w:cs="Times New Roman"/>
          <w:b/>
          <w:bCs/>
          <w:color w:val="auto"/>
          <w:sz w:val="10"/>
          <w:szCs w:val="10"/>
          <w:shd w:val="clear" w:color="auto" w:fill="auto"/>
        </w:rPr>
      </w:pPr>
    </w:p>
    <w:p>
      <w:pPr>
        <w:widowControl/>
        <w:shd w:val="clear" w:color="auto" w:fill="auto"/>
        <w:snapToGrid w:val="0"/>
        <w:jc w:val="left"/>
        <w:rPr>
          <w:rFonts w:hint="default" w:ascii="Times New Roman" w:hAnsi="Times New Roman" w:eastAsia="FangSong_GB2312" w:cs="Times New Roman"/>
          <w:b/>
          <w:bCs/>
          <w:color w:val="auto"/>
          <w:sz w:val="10"/>
          <w:szCs w:val="10"/>
          <w:shd w:val="clear" w:color="auto" w:fill="auto"/>
        </w:rPr>
      </w:pPr>
      <w:r>
        <w:rPr>
          <w:rFonts w:hint="default" w:ascii="Times New Roman" w:hAnsi="Times New Roman" w:eastAsia="FangSong_GB2312" w:cs="Times New Roman"/>
          <w:b/>
          <w:bCs/>
          <w:color w:val="auto"/>
          <w:sz w:val="10"/>
          <w:szCs w:val="10"/>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251"/>
        <w:gridCol w:w="2261"/>
      </w:tblGrid>
      <w:tr>
        <w:trPr>
          <w:trHeight w:val="415"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（三）水污染防治类</w:t>
            </w:r>
          </w:p>
        </w:tc>
      </w:tr>
      <w:tr>
        <w:trPr>
          <w:trHeight w:val="369"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51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55" w:name="_Toc28649"/>
            <w:r>
              <w:rPr>
                <w:rFonts w:hint="default" w:ascii="Times New Roman" w:hAnsi="Times New Roman" w:cs="Times New Roman"/>
                <w:color w:val="auto"/>
                <w:sz w:val="20"/>
                <w:szCs w:val="20"/>
                <w:shd w:val="clear" w:color="auto" w:fill="auto"/>
              </w:rPr>
              <w:t>26</w:t>
            </w:r>
            <w:bookmarkEnd w:id="155"/>
          </w:p>
        </w:tc>
      </w:tr>
      <w:tr>
        <w:trPr>
          <w:trHeight w:val="730"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512" w:type="dxa"/>
            <w:gridSpan w:val="2"/>
            <w:vAlign w:val="center"/>
          </w:tcPr>
          <w:p>
            <w:pPr>
              <w:shd w:val="clear" w:color="auto" w:fill="auto"/>
              <w:snapToGrid w:val="0"/>
              <w:spacing w:before="0" w:beforeAutospacing="0" w:after="0" w:afterAutospacing="0" w:line="320" w:lineRule="exact"/>
              <w:ind w:left="0" w:right="0" w:firstLine="420"/>
              <w:outlineLvl w:val="9"/>
              <w:rPr>
                <w:rFonts w:hint="default" w:ascii="Times New Roman" w:hAnsi="Times New Roman" w:cs="Times New Roman"/>
                <w:color w:val="auto"/>
                <w:sz w:val="20"/>
                <w:szCs w:val="20"/>
                <w:shd w:val="clear" w:color="auto" w:fill="auto"/>
              </w:rPr>
            </w:pPr>
            <w:bookmarkStart w:id="156" w:name="_Toc25354"/>
            <w:r>
              <w:rPr>
                <w:rFonts w:hint="default" w:ascii="Times New Roman" w:hAnsi="Times New Roman" w:cs="Times New Roman"/>
                <w:color w:val="auto"/>
                <w:sz w:val="20"/>
                <w:szCs w:val="20"/>
                <w:shd w:val="clear" w:color="auto" w:fill="auto"/>
              </w:rPr>
              <w:t>企业事业单位的实验室、检验室、化验室产生的废液未按照规定单独收集，废液直接排入城镇污水收集管网或者直接排入外环境的</w:t>
            </w:r>
            <w:bookmarkEnd w:id="156"/>
          </w:p>
        </w:tc>
      </w:tr>
      <w:tr>
        <w:trPr>
          <w:trHeight w:val="1200"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51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《河南省水污染防治条例》第三十七条第一款 </w:t>
            </w:r>
            <w:r>
              <w:rPr>
                <w:rFonts w:hint="default" w:ascii="Times New Roman" w:hAnsi="Times New Roman" w:cs="Times New Roman"/>
                <w:color w:val="auto"/>
                <w:sz w:val="20"/>
                <w:szCs w:val="20"/>
                <w:shd w:val="clear" w:color="auto" w:fill="auto"/>
              </w:rPr>
              <w:t>企业事业单位的实验室、检验室、化验室产生的废液应当按照有关危险废物的规定单独收集，进行安全处置，禁止直接排入城镇污水收集管网或者直接排入外环境。</w:t>
            </w:r>
          </w:p>
        </w:tc>
      </w:tr>
      <w:tr>
        <w:trPr>
          <w:trHeight w:val="1830"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51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《河南省水污染防治条例》第七十七条 </w:t>
            </w:r>
            <w:r>
              <w:rPr>
                <w:rFonts w:hint="default" w:ascii="Times New Roman" w:hAnsi="Times New Roman" w:cs="Times New Roman"/>
                <w:color w:val="auto"/>
                <w:sz w:val="20"/>
                <w:szCs w:val="20"/>
                <w:shd w:val="clear" w:color="auto" w:fill="auto"/>
              </w:rPr>
              <w:t>违反本条例第三十七条第一款规定，企业事业单位的实验室、检验室、化验室产生的废液直接排入城镇污水收集管网或者直接排入外环境的，由生态环境主管部门责令停止违法行为，限期采取治理措施，处二万元以上二十万元以下罚款；逾期不采取治理措施的，生态环境主管部门可以指定有治理能力的单位代为治理，所需费用由违法者承担。</w:t>
            </w:r>
          </w:p>
        </w:tc>
      </w:tr>
      <w:tr>
        <w:trPr>
          <w:trHeight w:val="369"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2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2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548" w:type="dxa"/>
            <w:vMerge w:val="restart"/>
            <w:vAlign w:val="center"/>
          </w:tcPr>
          <w:p>
            <w:pPr>
              <w:shd w:val="clear" w:color="auto" w:fill="auto"/>
              <w:snapToGrid w:val="0"/>
              <w:spacing w:before="0" w:beforeAutospacing="0" w:after="0" w:afterAutospacing="0" w:line="320" w:lineRule="exact"/>
              <w:ind w:left="0" w:right="0" w:firstLine="0"/>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2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未单独收集且未进行安全处置的</w:t>
            </w:r>
          </w:p>
        </w:tc>
        <w:tc>
          <w:tcPr>
            <w:tcW w:w="22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51"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rPr>
              <w:t>直接排入城镇污水收集管网或者直接排入外环境</w:t>
            </w:r>
          </w:p>
        </w:tc>
        <w:tc>
          <w:tcPr>
            <w:tcW w:w="22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w:t>
            </w:r>
          </w:p>
        </w:tc>
      </w:tr>
      <w:tr>
        <w:trPr>
          <w:trHeight w:val="425"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废液数量</w:t>
            </w:r>
          </w:p>
        </w:tc>
        <w:tc>
          <w:tcPr>
            <w:tcW w:w="5251"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0.3吨以下</w:t>
            </w:r>
          </w:p>
        </w:tc>
        <w:tc>
          <w:tcPr>
            <w:tcW w:w="22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51"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0.3吨以上0.5吨</w:t>
            </w:r>
            <w:r>
              <w:rPr>
                <w:rFonts w:hint="default" w:ascii="Times New Roman" w:hAnsi="Times New Roman" w:cs="Times New Roman"/>
                <w:color w:val="auto"/>
                <w:kern w:val="2"/>
                <w:sz w:val="21"/>
                <w:szCs w:val="21"/>
                <w:shd w:val="clear" w:color="auto" w:fill="auto"/>
                <w:lang w:eastAsia="zh-CN"/>
              </w:rPr>
              <w:t>以下</w:t>
            </w:r>
          </w:p>
        </w:tc>
        <w:tc>
          <w:tcPr>
            <w:tcW w:w="22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51"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0.5吨以上1吨</w:t>
            </w:r>
            <w:r>
              <w:rPr>
                <w:rFonts w:hint="default" w:ascii="Times New Roman" w:hAnsi="Times New Roman" w:cs="Times New Roman"/>
                <w:color w:val="auto"/>
                <w:kern w:val="2"/>
                <w:sz w:val="21"/>
                <w:szCs w:val="21"/>
                <w:shd w:val="clear" w:color="auto" w:fill="auto"/>
                <w:lang w:eastAsia="zh-CN"/>
              </w:rPr>
              <w:t>以下</w:t>
            </w:r>
          </w:p>
        </w:tc>
        <w:tc>
          <w:tcPr>
            <w:tcW w:w="22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51"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1吨以上2吨</w:t>
            </w:r>
            <w:r>
              <w:rPr>
                <w:rFonts w:hint="default" w:ascii="Times New Roman" w:hAnsi="Times New Roman" w:cs="Times New Roman"/>
                <w:color w:val="auto"/>
                <w:kern w:val="2"/>
                <w:sz w:val="21"/>
                <w:szCs w:val="21"/>
                <w:shd w:val="clear" w:color="auto" w:fill="auto"/>
                <w:lang w:eastAsia="zh-CN"/>
              </w:rPr>
              <w:t>以下</w:t>
            </w:r>
          </w:p>
        </w:tc>
        <w:tc>
          <w:tcPr>
            <w:tcW w:w="22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4</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51"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2吨以上</w:t>
            </w:r>
          </w:p>
        </w:tc>
        <w:tc>
          <w:tcPr>
            <w:tcW w:w="22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w:t>
            </w:r>
          </w:p>
        </w:tc>
      </w:tr>
      <w:tr>
        <w:trPr>
          <w:trHeight w:val="425"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2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微型企业</w:t>
            </w:r>
          </w:p>
        </w:tc>
        <w:tc>
          <w:tcPr>
            <w:tcW w:w="22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小型企业</w:t>
            </w:r>
          </w:p>
        </w:tc>
        <w:tc>
          <w:tcPr>
            <w:tcW w:w="22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中型企业</w:t>
            </w:r>
          </w:p>
        </w:tc>
        <w:tc>
          <w:tcPr>
            <w:tcW w:w="22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大型企业</w:t>
            </w:r>
          </w:p>
        </w:tc>
        <w:tc>
          <w:tcPr>
            <w:tcW w:w="22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2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26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26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26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425" w:hRule="atLeast"/>
        </w:trPr>
        <w:tc>
          <w:tcPr>
            <w:tcW w:w="154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25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26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54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25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26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54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25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26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54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25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26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54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25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26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trPr>
        <w:tc>
          <w:tcPr>
            <w:tcW w:w="154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r>
              <w:rPr>
                <w:rFonts w:hint="default" w:ascii="Times New Roman" w:hAnsi="Times New Roman" w:cs="Times New Roman"/>
                <w:b/>
                <w:bCs/>
                <w:color w:val="auto"/>
                <w:sz w:val="20"/>
                <w:szCs w:val="20"/>
                <w:shd w:val="clear" w:color="auto" w:fill="auto"/>
                <w:lang w:val="en-US"/>
              </w:rPr>
              <w:t>改正时间</w:t>
            </w:r>
          </w:p>
        </w:tc>
        <w:tc>
          <w:tcPr>
            <w:tcW w:w="5251"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kern w:val="2"/>
                <w:sz w:val="21"/>
                <w:szCs w:val="21"/>
                <w:shd w:val="clear" w:color="auto" w:fill="auto"/>
                <w:lang w:eastAsia="zh-CN"/>
              </w:rPr>
              <w:t>限期改正</w:t>
            </w:r>
          </w:p>
        </w:tc>
        <w:tc>
          <w:tcPr>
            <w:tcW w:w="226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425" w:hRule="atLeast"/>
        </w:trPr>
        <w:tc>
          <w:tcPr>
            <w:tcW w:w="154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2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26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54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2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26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4</w:t>
            </w:r>
          </w:p>
        </w:tc>
      </w:tr>
      <w:tr>
        <w:trPr>
          <w:trHeight w:val="425" w:hRule="atLeast"/>
        </w:trPr>
        <w:tc>
          <w:tcPr>
            <w:tcW w:w="154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2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7天以上</w:t>
            </w:r>
          </w:p>
        </w:tc>
        <w:tc>
          <w:tcPr>
            <w:tcW w:w="226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5</w:t>
            </w:r>
          </w:p>
        </w:tc>
      </w:tr>
      <w:tr>
        <w:trPr>
          <w:trHeight w:val="425" w:hRule="atLeast"/>
        </w:trPr>
        <w:tc>
          <w:tcPr>
            <w:tcW w:w="1548" w:type="dxa"/>
            <w:vMerge w:val="restart"/>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受处罚次数</w:t>
            </w:r>
          </w:p>
        </w:tc>
        <w:tc>
          <w:tcPr>
            <w:tcW w:w="525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两年内未受到过同类处罚</w:t>
            </w:r>
          </w:p>
        </w:tc>
        <w:tc>
          <w:tcPr>
            <w:tcW w:w="226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548" w:type="dxa"/>
            <w:vMerge w:val="continue"/>
            <w:vAlign w:val="center"/>
          </w:tcPr>
          <w:p>
            <w:pPr>
              <w:widowControl w:val="0"/>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525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两年内受到同类处罚1次</w:t>
            </w:r>
          </w:p>
        </w:tc>
        <w:tc>
          <w:tcPr>
            <w:tcW w:w="226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548" w:type="dxa"/>
            <w:vMerge w:val="continue"/>
            <w:vAlign w:val="center"/>
          </w:tcPr>
          <w:p>
            <w:pPr>
              <w:widowControl w:val="0"/>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525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两年内受到同类处罚2次以上</w:t>
            </w:r>
          </w:p>
        </w:tc>
        <w:tc>
          <w:tcPr>
            <w:tcW w:w="226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2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26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26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26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26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51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eastAsia="FangSong_GB2312" w:cs="Times New Roman"/>
          <w:b/>
          <w:bCs/>
          <w:color w:val="auto"/>
          <w:shd w:val="clear" w:color="auto" w:fill="auto"/>
        </w:rPr>
      </w:pPr>
    </w:p>
    <w:p>
      <w:pPr>
        <w:shd w:val="clear" w:color="auto" w:fill="auto"/>
        <w:snapToGrid w:val="0"/>
        <w:rPr>
          <w:rFonts w:hint="default" w:ascii="Times New Roman" w:hAnsi="Times New Roman" w:eastAsia="FangSong_GB2312" w:cs="Times New Roman"/>
          <w:b/>
          <w:bCs/>
          <w:color w:val="auto"/>
          <w:shd w:val="clear" w:color="auto" w:fill="auto"/>
        </w:rPr>
      </w:pPr>
    </w:p>
    <w:p>
      <w:pPr>
        <w:shd w:val="clear" w:color="auto" w:fill="auto"/>
        <w:snapToGrid w:val="0"/>
        <w:rPr>
          <w:rFonts w:hint="default" w:ascii="Times New Roman" w:hAnsi="Times New Roman" w:eastAsia="FangSong_GB2312" w:cs="Times New Roman"/>
          <w:b/>
          <w:bCs/>
          <w:color w:val="auto"/>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r>
        <w:rPr>
          <w:rFonts w:hint="default" w:ascii="Times New Roman" w:hAnsi="Times New Roman" w:eastAsia="FangSong_GB2312" w:cs="Times New Roman"/>
          <w:b/>
          <w:bCs/>
          <w:color w:val="auto"/>
          <w:sz w:val="10"/>
          <w:szCs w:val="10"/>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432"/>
        <w:gridCol w:w="2260"/>
      </w:tblGrid>
      <w:tr>
        <w:trPr>
          <w:trHeight w:val="415"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（三）水污染防治类</w:t>
            </w:r>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57" w:name="_Toc5258"/>
            <w:r>
              <w:rPr>
                <w:rFonts w:hint="default" w:ascii="Times New Roman" w:hAnsi="Times New Roman" w:cs="Times New Roman"/>
                <w:color w:val="auto"/>
                <w:sz w:val="20"/>
                <w:szCs w:val="20"/>
                <w:shd w:val="clear" w:color="auto" w:fill="auto"/>
              </w:rPr>
              <w:t>27</w:t>
            </w:r>
            <w:bookmarkEnd w:id="157"/>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58" w:name="_Toc11734"/>
            <w:r>
              <w:rPr>
                <w:rFonts w:hint="default" w:ascii="Times New Roman" w:hAnsi="Times New Roman" w:cs="Times New Roman"/>
                <w:color w:val="auto"/>
                <w:sz w:val="20"/>
                <w:szCs w:val="20"/>
                <w:shd w:val="clear" w:color="auto" w:fill="auto"/>
              </w:rPr>
              <w:t>损毁、涂改或者擅自移动饮用水水源保护区的地理界标、警示标志的</w:t>
            </w:r>
            <w:bookmarkEnd w:id="158"/>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《河南省水污染防治条例》第五十条第二款 </w:t>
            </w:r>
            <w:r>
              <w:rPr>
                <w:rFonts w:hint="default" w:ascii="Times New Roman" w:hAnsi="Times New Roman" w:cs="Times New Roman"/>
                <w:color w:val="auto"/>
                <w:sz w:val="20"/>
                <w:szCs w:val="20"/>
                <w:shd w:val="clear" w:color="auto" w:fill="auto"/>
              </w:rPr>
              <w:t>有关地方人民政府应当在饮用水水源保护区的边界设立明确的地理界标和明显的警示标志。任何单位和个人不得损毁、涂改或者擅自移动地理界标和警示标志。</w:t>
            </w:r>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《河南省水污染防治条例》第八十条 </w:t>
            </w:r>
            <w:r>
              <w:rPr>
                <w:rFonts w:hint="default" w:ascii="Times New Roman" w:hAnsi="Times New Roman" w:cs="Times New Roman"/>
                <w:color w:val="auto"/>
                <w:sz w:val="20"/>
                <w:szCs w:val="20"/>
                <w:shd w:val="clear" w:color="auto" w:fill="auto"/>
              </w:rPr>
              <w:t>违反本条例第五十条第二款规定，损毁、涂改或者擅自移动饮用水水源保护区的地理界标和警示标志的，由生态环境主管部门责令恢复原状或者赔偿损失，并可处二千元以上二万元以下罚款。</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★水体类别</w:t>
            </w: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饮用水水源准保护区</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饮用水水源二级保护区内</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饮用水水源一级保护区内</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擅自移动</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涂改</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损毁</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企业规模</w:t>
            </w: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微型企业</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小型企业</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中型企业</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大型企业</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eastAsia="FangSong_GB2312" w:cs="Times New Roman"/>
          <w:b/>
          <w:bCs/>
          <w:color w:val="auto"/>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432"/>
        <w:gridCol w:w="2260"/>
      </w:tblGrid>
      <w:tr>
        <w:trPr>
          <w:trHeight w:val="397"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（三）水污染防治类</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59" w:name="_Toc11577"/>
            <w:r>
              <w:rPr>
                <w:rFonts w:hint="default" w:ascii="Times New Roman" w:hAnsi="Times New Roman" w:cs="Times New Roman"/>
                <w:color w:val="auto"/>
                <w:sz w:val="20"/>
                <w:szCs w:val="20"/>
                <w:shd w:val="clear" w:color="auto" w:fill="auto"/>
              </w:rPr>
              <w:t>28</w:t>
            </w:r>
            <w:bookmarkEnd w:id="159"/>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firstLine="420"/>
              <w:outlineLvl w:val="9"/>
              <w:rPr>
                <w:rFonts w:hint="default" w:ascii="Times New Roman" w:hAnsi="Times New Roman" w:cs="Times New Roman"/>
                <w:color w:val="auto"/>
                <w:sz w:val="20"/>
                <w:szCs w:val="20"/>
                <w:shd w:val="clear" w:color="auto" w:fill="auto"/>
              </w:rPr>
            </w:pPr>
            <w:bookmarkStart w:id="160" w:name="_Toc3882"/>
            <w:r>
              <w:rPr>
                <w:rFonts w:hint="default" w:ascii="Times New Roman" w:hAnsi="Times New Roman" w:cs="Times New Roman"/>
                <w:color w:val="auto"/>
                <w:sz w:val="20"/>
                <w:szCs w:val="20"/>
                <w:shd w:val="clear" w:color="auto" w:fill="auto"/>
              </w:rPr>
              <w:t>在饮用水水源二级保护区内设置装卸垃圾、危险化学品、煤炭、矿砂、水泥、粪便、油渍和有毒物品的码头的</w:t>
            </w:r>
            <w:bookmarkEnd w:id="160"/>
          </w:p>
        </w:tc>
      </w:tr>
      <w:tr>
        <w:trPr>
          <w:trHeight w:val="143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《河南省水污染防治条例》第五十二条第（三）项 </w:t>
            </w:r>
            <w:r>
              <w:rPr>
                <w:rFonts w:hint="default" w:ascii="Times New Roman" w:hAnsi="Times New Roman" w:cs="Times New Roman"/>
                <w:color w:val="auto"/>
                <w:sz w:val="20"/>
                <w:szCs w:val="20"/>
                <w:shd w:val="clear" w:color="auto" w:fill="auto"/>
              </w:rPr>
              <w:t>在饮用水水源二级保护区内除本条例第五十一条规定的以外，还禁止下列行为：</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（三）设置装卸垃圾、危险化学品、煤炭、矿砂、水泥、粪便、油渍和有毒物品的码头。</w:t>
            </w:r>
          </w:p>
        </w:tc>
      </w:tr>
      <w:tr>
        <w:trPr>
          <w:trHeight w:val="115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《河南省水污染防治条例》第八十一条第一款 </w:t>
            </w:r>
            <w:r>
              <w:rPr>
                <w:rFonts w:hint="default" w:ascii="Times New Roman" w:hAnsi="Times New Roman" w:cs="Times New Roman"/>
                <w:color w:val="auto"/>
                <w:sz w:val="20"/>
                <w:szCs w:val="20"/>
                <w:shd w:val="clear" w:color="auto" w:fill="auto"/>
              </w:rPr>
              <w:t>违反本条例第五十二条第三项、第五项规定的，由县级以上人民政府责令拆除或者关闭，由生态环境主管部门处十万元以上五十万元以下罚款。</w:t>
            </w:r>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违法事实</w:t>
            </w: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项目未建成的</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项目已建成</w:t>
            </w:r>
            <w:r>
              <w:rPr>
                <w:rFonts w:hint="default" w:ascii="Times New Roman" w:hAnsi="Times New Roman" w:cs="Times New Roman"/>
                <w:color w:val="auto"/>
                <w:sz w:val="20"/>
                <w:szCs w:val="20"/>
                <w:shd w:val="clear" w:color="auto" w:fill="auto"/>
                <w:lang w:val="en-US"/>
              </w:rPr>
              <w:t>未投入使用</w:t>
            </w:r>
            <w:r>
              <w:rPr>
                <w:rFonts w:hint="default" w:ascii="Times New Roman" w:hAnsi="Times New Roman" w:cs="Times New Roman"/>
                <w:color w:val="auto"/>
                <w:sz w:val="20"/>
                <w:szCs w:val="20"/>
                <w:shd w:val="clear" w:color="auto" w:fill="auto"/>
              </w:rPr>
              <w:t>，未造成水体污染的</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项目已建成投入使用，或造成水体污染的</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码头规模</w:t>
            </w: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年吞吐量100万吨</w:t>
            </w:r>
            <w:r>
              <w:rPr>
                <w:rFonts w:hint="default" w:ascii="Times New Roman" w:hAnsi="Times New Roman" w:cs="Times New Roman"/>
                <w:color w:val="auto"/>
                <w:sz w:val="20"/>
                <w:szCs w:val="20"/>
                <w:shd w:val="clear" w:color="auto" w:fill="auto"/>
                <w:lang w:eastAsia="zh-CN"/>
              </w:rPr>
              <w:t>以下</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年吞吐量100万吨</w:t>
            </w:r>
            <w:r>
              <w:rPr>
                <w:rFonts w:hint="default"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1000万吨</w:t>
            </w:r>
            <w:r>
              <w:rPr>
                <w:rFonts w:hint="default" w:ascii="Times New Roman" w:hAnsi="Times New Roman" w:cs="Times New Roman"/>
                <w:color w:val="auto"/>
                <w:sz w:val="20"/>
                <w:szCs w:val="20"/>
                <w:shd w:val="clear" w:color="auto" w:fill="auto"/>
                <w:lang w:eastAsia="zh-CN"/>
              </w:rPr>
              <w:t>以下</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年吞吐量1000万吨</w:t>
            </w:r>
            <w:r>
              <w:rPr>
                <w:rFonts w:hint="default"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3000万吨</w:t>
            </w:r>
            <w:r>
              <w:rPr>
                <w:rFonts w:hint="default" w:ascii="Times New Roman" w:hAnsi="Times New Roman" w:cs="Times New Roman"/>
                <w:color w:val="auto"/>
                <w:sz w:val="20"/>
                <w:szCs w:val="20"/>
                <w:shd w:val="clear" w:color="auto" w:fill="auto"/>
                <w:lang w:eastAsia="zh-CN"/>
              </w:rPr>
              <w:t>以下</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年吞吐量3000万吨</w:t>
            </w:r>
            <w:r>
              <w:rPr>
                <w:rFonts w:hint="default" w:ascii="Times New Roman" w:hAnsi="Times New Roman" w:cs="Times New Roman"/>
                <w:color w:val="auto"/>
                <w:sz w:val="20"/>
                <w:szCs w:val="20"/>
                <w:shd w:val="clear" w:color="auto" w:fill="auto"/>
                <w:lang w:eastAsia="zh-CN"/>
              </w:rPr>
              <w:t>以上</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涉及污染物种类</w:t>
            </w: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垃圾、粪便</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煤炭、矿砂、水泥</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油渍</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危险化学品、有毒物品</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企业规模</w:t>
            </w: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微型企业</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小型企业</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中型企业</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大型企业</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水体类别</w:t>
            </w: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饮用水水源二级保护区内</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饮用水水源一级保护区内</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受处罚次数</w:t>
            </w: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两年内未受到过同类处罚</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两年内受到同类处罚1次</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两年内受到同类处罚2次以上</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eastAsia="FangSong_GB2312" w:cs="Times New Roman"/>
          <w:b/>
          <w:bCs/>
          <w:color w:val="auto"/>
          <w:shd w:val="clear" w:color="auto" w:fill="auto"/>
        </w:rPr>
      </w:pPr>
    </w:p>
    <w:p>
      <w:pPr>
        <w:shd w:val="clear" w:color="auto" w:fill="auto"/>
        <w:snapToGrid w:val="0"/>
        <w:rPr>
          <w:rFonts w:hint="default" w:ascii="Times New Roman" w:hAnsi="Times New Roman" w:eastAsia="FangSong_GB2312" w:cs="Times New Roman"/>
          <w:b/>
          <w:bCs/>
          <w:color w:val="auto"/>
          <w:shd w:val="clear" w:color="auto" w:fill="auto"/>
        </w:rPr>
      </w:pPr>
    </w:p>
    <w:p>
      <w:pPr>
        <w:shd w:val="clear" w:color="auto" w:fill="auto"/>
        <w:snapToGrid w:val="0"/>
        <w:rPr>
          <w:rFonts w:hint="default" w:ascii="Times New Roman" w:hAnsi="Times New Roman" w:eastAsia="FangSong_GB2312" w:cs="Times New Roman"/>
          <w:b/>
          <w:bCs/>
          <w:color w:val="auto"/>
          <w:shd w:val="clear" w:color="auto" w:fill="auto"/>
        </w:rPr>
      </w:pPr>
    </w:p>
    <w:p>
      <w:pPr>
        <w:shd w:val="clear" w:color="auto" w:fill="auto"/>
        <w:snapToGrid w:val="0"/>
        <w:rPr>
          <w:rFonts w:hint="default" w:ascii="Times New Roman" w:hAnsi="Times New Roman" w:eastAsia="FangSong_GB2312" w:cs="Times New Roman"/>
          <w:b/>
          <w:bCs/>
          <w:color w:val="auto"/>
          <w:shd w:val="clear" w:color="auto" w:fill="auto"/>
        </w:rPr>
      </w:pPr>
    </w:p>
    <w:p>
      <w:pPr>
        <w:shd w:val="clear" w:color="auto" w:fill="auto"/>
        <w:snapToGrid w:val="0"/>
        <w:rPr>
          <w:rFonts w:hint="default" w:ascii="Times New Roman" w:hAnsi="Times New Roman" w:eastAsia="FangSong_GB2312" w:cs="Times New Roman"/>
          <w:b/>
          <w:bCs/>
          <w:color w:val="auto"/>
          <w:shd w:val="clear" w:color="auto" w:fill="auto"/>
        </w:rPr>
      </w:pPr>
    </w:p>
    <w:p>
      <w:pPr>
        <w:shd w:val="clear" w:color="auto" w:fill="auto"/>
        <w:snapToGrid w:val="0"/>
        <w:rPr>
          <w:rFonts w:hint="default" w:ascii="Times New Roman" w:hAnsi="Times New Roman" w:eastAsia="FangSong_GB2312" w:cs="Times New Roman"/>
          <w:b/>
          <w:bCs/>
          <w:color w:val="auto"/>
          <w:sz w:val="10"/>
          <w:szCs w:val="10"/>
          <w:shd w:val="clear" w:color="auto" w:fill="auto"/>
        </w:rPr>
      </w:pPr>
      <w:r>
        <w:rPr>
          <w:rFonts w:hint="default" w:ascii="Times New Roman" w:hAnsi="Times New Roman" w:eastAsia="FangSong_GB2312" w:cs="Times New Roman"/>
          <w:b/>
          <w:bCs/>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432"/>
        <w:gridCol w:w="2260"/>
      </w:tblGrid>
      <w:tr>
        <w:trPr>
          <w:trHeight w:val="415"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（三）水污染防治类</w:t>
            </w:r>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61" w:name="_Toc17213"/>
            <w:r>
              <w:rPr>
                <w:rFonts w:hint="default" w:ascii="Times New Roman" w:hAnsi="Times New Roman" w:cs="Times New Roman"/>
                <w:color w:val="auto"/>
                <w:sz w:val="20"/>
                <w:szCs w:val="20"/>
                <w:shd w:val="clear" w:color="auto" w:fill="auto"/>
              </w:rPr>
              <w:t>29</w:t>
            </w:r>
            <w:bookmarkEnd w:id="161"/>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62" w:name="_Toc27329"/>
            <w:r>
              <w:rPr>
                <w:rFonts w:hint="default" w:ascii="Times New Roman" w:hAnsi="Times New Roman" w:cs="Times New Roman"/>
                <w:color w:val="auto"/>
                <w:sz w:val="20"/>
                <w:szCs w:val="20"/>
                <w:shd w:val="clear" w:color="auto" w:fill="auto"/>
              </w:rPr>
              <w:t>在饮用水水源二级保护区内建设畜禽养殖场、养殖小区的</w:t>
            </w:r>
            <w:bookmarkEnd w:id="162"/>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《河南省水污染防治条例》第五十二条第（五）项 </w:t>
            </w:r>
            <w:r>
              <w:rPr>
                <w:rFonts w:hint="default" w:ascii="Times New Roman" w:hAnsi="Times New Roman" w:cs="Times New Roman"/>
                <w:color w:val="auto"/>
                <w:sz w:val="20"/>
                <w:szCs w:val="20"/>
                <w:shd w:val="clear" w:color="auto" w:fill="auto"/>
              </w:rPr>
              <w:t>在饮用水水源二级保护区内除本条例第五十一条规定的以外，还禁止下列行为：</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（五）建设畜禽养殖场、养殖小区。已建成的排放污染物的建设项目，由县级以上人民政府责令拆除或者关闭。</w:t>
            </w:r>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《河南省水污染防治条例》第八十一条第一款 </w:t>
            </w:r>
            <w:r>
              <w:rPr>
                <w:rFonts w:hint="default" w:ascii="Times New Roman" w:hAnsi="Times New Roman" w:cs="Times New Roman"/>
                <w:color w:val="auto"/>
                <w:sz w:val="20"/>
                <w:szCs w:val="20"/>
                <w:shd w:val="clear" w:color="auto" w:fill="auto"/>
              </w:rPr>
              <w:t>违反本条例第五十二条第三项、第五项规定的，由县级以上人民政府责令拆除或者关闭，由生态环境主管部门处十万元以上五十万元以下罚款。</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项目</w:t>
            </w:r>
            <w:r>
              <w:rPr>
                <w:rFonts w:hint="default" w:ascii="Times New Roman" w:hAnsi="Times New Roman" w:cs="Times New Roman"/>
                <w:b/>
                <w:bCs/>
                <w:color w:val="auto"/>
                <w:sz w:val="20"/>
                <w:szCs w:val="20"/>
                <w:shd w:val="clear" w:color="auto" w:fill="auto"/>
                <w:lang w:eastAsia="zh-CN"/>
              </w:rPr>
              <w:t>建设情况</w:t>
            </w: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项目未建成</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项目已建成</w:t>
            </w:r>
            <w:r>
              <w:rPr>
                <w:rFonts w:hint="default" w:ascii="Times New Roman" w:hAnsi="Times New Roman" w:cs="Times New Roman"/>
                <w:color w:val="auto"/>
                <w:sz w:val="20"/>
                <w:szCs w:val="20"/>
                <w:shd w:val="clear" w:color="auto" w:fill="auto"/>
                <w:lang w:val="en-US"/>
              </w:rPr>
              <w:t>未投入使用</w:t>
            </w:r>
            <w:r>
              <w:rPr>
                <w:rFonts w:hint="default" w:ascii="Times New Roman" w:hAnsi="Times New Roman" w:cs="Times New Roman"/>
                <w:color w:val="auto"/>
                <w:sz w:val="20"/>
                <w:szCs w:val="20"/>
                <w:shd w:val="clear" w:color="auto" w:fill="auto"/>
                <w:lang w:eastAsia="zh-CN"/>
              </w:rPr>
              <w:t>，未造成水体污染</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项目已投入使用，或造成水体污染</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w:t>
            </w:r>
            <w:r>
              <w:rPr>
                <w:rFonts w:hint="default" w:ascii="Times New Roman" w:hAnsi="Times New Roman" w:cs="Times New Roman"/>
                <w:b/>
                <w:bCs/>
                <w:color w:val="auto"/>
                <w:sz w:val="20"/>
                <w:szCs w:val="20"/>
                <w:shd w:val="clear" w:color="auto" w:fill="auto"/>
                <w:lang w:val="en-US"/>
              </w:rPr>
              <w:t>处理</w:t>
            </w:r>
            <w:r>
              <w:rPr>
                <w:rFonts w:hint="default" w:ascii="Times New Roman" w:hAnsi="Times New Roman" w:cs="Times New Roman"/>
                <w:b/>
                <w:bCs/>
                <w:color w:val="auto"/>
                <w:sz w:val="20"/>
                <w:szCs w:val="20"/>
                <w:shd w:val="clear" w:color="auto" w:fill="auto"/>
              </w:rPr>
              <w:t>设施</w:t>
            </w:r>
            <w:r>
              <w:rPr>
                <w:rFonts w:hint="default" w:ascii="Times New Roman" w:hAnsi="Times New Roman" w:cs="Times New Roman"/>
                <w:b/>
                <w:bCs/>
                <w:color w:val="auto"/>
                <w:sz w:val="20"/>
                <w:szCs w:val="20"/>
                <w:shd w:val="clear" w:color="auto" w:fill="auto"/>
                <w:lang w:val="en-US"/>
              </w:rPr>
              <w:t>建设情况</w:t>
            </w: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污染物处理设施已建成并</w:t>
            </w:r>
            <w:r>
              <w:rPr>
                <w:rFonts w:hint="default" w:ascii="Times New Roman" w:hAnsi="Times New Roman" w:cs="Times New Roman"/>
                <w:color w:val="auto"/>
                <w:sz w:val="20"/>
                <w:szCs w:val="20"/>
                <w:shd w:val="clear" w:color="auto" w:fill="auto"/>
                <w:lang w:val="en-US"/>
              </w:rPr>
              <w:t>投入</w:t>
            </w:r>
            <w:r>
              <w:rPr>
                <w:rFonts w:hint="default" w:ascii="Times New Roman" w:hAnsi="Times New Roman" w:cs="Times New Roman"/>
                <w:color w:val="auto"/>
                <w:sz w:val="20"/>
                <w:szCs w:val="20"/>
                <w:shd w:val="clear" w:color="auto" w:fill="auto"/>
              </w:rPr>
              <w:t>使用的</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污染物处理设施</w:t>
            </w:r>
            <w:r>
              <w:rPr>
                <w:rFonts w:hint="default" w:ascii="Times New Roman" w:hAnsi="Times New Roman" w:cs="Times New Roman"/>
                <w:color w:val="auto"/>
                <w:sz w:val="20"/>
                <w:szCs w:val="20"/>
                <w:shd w:val="clear" w:color="auto" w:fill="auto"/>
                <w:lang w:val="en-US"/>
              </w:rPr>
              <w:t>未建成</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未建设污染物处理设施的</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废水外排</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情况</w:t>
            </w: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无畜禽养殖废水外排</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rPr>
              <w:t>存在畜禽养殖废水外排</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排放去向</w:t>
            </w: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饮用水水源二级保护区</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饮用水水源</w:t>
            </w:r>
            <w:r>
              <w:rPr>
                <w:rFonts w:hint="default" w:ascii="Times New Roman" w:hAnsi="Times New Roman" w:cs="Times New Roman"/>
                <w:color w:val="auto"/>
                <w:sz w:val="20"/>
                <w:szCs w:val="20"/>
                <w:shd w:val="clear" w:color="auto" w:fill="auto"/>
                <w:lang w:val="en-US"/>
              </w:rPr>
              <w:t>一</w:t>
            </w:r>
            <w:r>
              <w:rPr>
                <w:rFonts w:hint="default" w:ascii="Times New Roman" w:hAnsi="Times New Roman" w:cs="Times New Roman"/>
                <w:color w:val="auto"/>
                <w:sz w:val="20"/>
                <w:szCs w:val="20"/>
                <w:shd w:val="clear" w:color="auto" w:fill="auto"/>
              </w:rPr>
              <w:t>级保护区</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eastAsia="FangSong_GB2312" w:cs="Times New Roman"/>
          <w:b/>
          <w:bCs/>
          <w:color w:val="auto"/>
          <w:shd w:val="clear" w:color="auto" w:fill="auto"/>
        </w:rPr>
      </w:pPr>
    </w:p>
    <w:p>
      <w:pPr>
        <w:shd w:val="clear" w:color="auto" w:fill="auto"/>
        <w:snapToGrid w:val="0"/>
        <w:spacing w:line="288" w:lineRule="auto"/>
        <w:jc w:val="center"/>
        <w:outlineLvl w:val="9"/>
        <w:rPr>
          <w:rFonts w:hint="default" w:ascii="Times New Roman" w:hAnsi="Times New Roman" w:eastAsia="FangSong_GB2312" w:cs="Times New Roman"/>
          <w:b/>
          <w:bCs/>
          <w:color w:val="auto"/>
          <w:shd w:val="clear" w:color="auto" w:fill="auto"/>
        </w:rPr>
      </w:pPr>
      <w:bookmarkStart w:id="163" w:name="_Toc25240284"/>
    </w:p>
    <w:p>
      <w:pPr>
        <w:shd w:val="clear" w:color="auto" w:fill="auto"/>
        <w:snapToGrid w:val="0"/>
        <w:spacing w:line="288" w:lineRule="auto"/>
        <w:jc w:val="center"/>
        <w:outlineLvl w:val="9"/>
        <w:rPr>
          <w:rFonts w:hint="default" w:ascii="Times New Roman" w:hAnsi="Times New Roman" w:eastAsia="FangSong_GB2312" w:cs="Times New Roman"/>
          <w:b/>
          <w:bCs/>
          <w:color w:val="auto"/>
          <w:shd w:val="clear" w:color="auto" w:fill="auto"/>
        </w:rPr>
      </w:pPr>
    </w:p>
    <w:p>
      <w:pPr>
        <w:shd w:val="clear" w:color="auto" w:fill="auto"/>
        <w:snapToGrid w:val="0"/>
        <w:spacing w:line="288" w:lineRule="auto"/>
        <w:jc w:val="center"/>
        <w:outlineLvl w:val="9"/>
        <w:rPr>
          <w:rFonts w:hint="default" w:ascii="Times New Roman" w:hAnsi="Times New Roman" w:eastAsia="FangSong_GB2312" w:cs="Times New Roman"/>
          <w:b/>
          <w:bCs/>
          <w:color w:val="auto"/>
          <w:shd w:val="clear" w:color="auto" w:fill="auto"/>
        </w:rPr>
      </w:pPr>
    </w:p>
    <w:p>
      <w:pPr>
        <w:shd w:val="clear" w:color="auto" w:fill="auto"/>
        <w:snapToGrid w:val="0"/>
        <w:spacing w:line="590" w:lineRule="exact"/>
        <w:ind w:firstLine="640" w:firstLineChars="200"/>
        <w:outlineLvl w:val="1"/>
        <w:rPr>
          <w:rFonts w:hint="default" w:ascii="Times New Roman" w:hAnsi="Times New Roman" w:eastAsia="方正楷体_GBK" w:cs="Times New Roman"/>
          <w:bCs/>
          <w:color w:val="auto"/>
          <w:sz w:val="32"/>
          <w:szCs w:val="32"/>
          <w:shd w:val="clear" w:color="auto" w:fill="auto"/>
        </w:rPr>
      </w:pPr>
      <w:bookmarkStart w:id="164" w:name="_Toc29863"/>
      <w:bookmarkStart w:id="165" w:name="_Toc22087"/>
      <w:r>
        <w:rPr>
          <w:rFonts w:hint="default" w:ascii="Times New Roman" w:hAnsi="Times New Roman" w:eastAsia="方正楷体_GBK" w:cs="Times New Roman"/>
          <w:bCs/>
          <w:color w:val="auto"/>
          <w:sz w:val="32"/>
          <w:szCs w:val="32"/>
          <w:shd w:val="clear" w:color="auto" w:fill="auto"/>
        </w:rPr>
        <w:t>（四）固体废物污染防治类</w:t>
      </w:r>
      <w:bookmarkEnd w:id="163"/>
      <w:bookmarkEnd w:id="164"/>
      <w:bookmarkEnd w:id="165"/>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产生、收集、贮存、运输、利用、处置固体废物的单位未依法及时公开固体废物污染环境防治信息的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生活垃圾处理单位未按照国家有关规定安装使用监测设备、实时监测污染物的排放情况并公开污染排放数据的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3.</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将列入限期淘汰名录被淘汰的设备转让给他人使用的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4.</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在生态保护红线区域、永久基本农田集中区域和其他需要特别保护的区域内，禁止建设工业固体废物、危险废物集中贮存、利用、处置的设施、场所和生活垃圾填埋场</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5.</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转移固体废物出省、自治区、直辖市行政区域贮存、处置未经批准的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6.</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转移固体废物出省、自治区、直辖市行政区域利用未报备案的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7.</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擅自倾倒、堆放、丢弃、遗撒工业固体废物，或者未采取相应防范措施，造成工业固体废物扬散、流失、渗漏或者其他环境污染的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8.</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未建立固体废物管理台账并如实记录的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9.</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违反规定委托他人运输、利用、处置工业固体废物的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10.</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贮存工业固体废物未采取符合国家环境保护标准的防护措施的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11.</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以拖延、围堵、滞留执法人员等方式拒绝、阻挠监督检查，或者在接受监督检查时弄虚作假的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12.</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未依法取得排污许可证产生工业固体废物的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13.</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从事畜禽规模养殖未按照国家有关规定收集、贮存、处置畜禽粪便，造成环境污染的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14.</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尾矿、矸石、废石等矿业固体废物贮存设施停止使用后，未按照国家有关环境保护规定进行封场的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15.</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未按照规定设置危险废物识别标志的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16.</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未按照国家有关规定制定危险废物管理计划或者申报危险废物有关资料的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17.</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擅自倾倒、堆放危险废物的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18.</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将危险废物提供或者委托给无许可证的单位从事经营活动的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19.</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不按照国家规定填写、运行危险废物转移联单或者未经批准擅自转移危险废物的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20.</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未按照国家环境保护标准贮存、利用、处置危险废物或者将危险废物混入非危险废物中贮存</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21.</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未经安全性处置，混合收集、贮存、运输、处置具有不相容性质的危险废物的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22.</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将危险废物与旅客在同一运输工具上载运的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23.</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未经消除污染的处理将收集、贮存、运输、处置危险废物的场所、设施、设备和容器、包装物及其他物品转作他用的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24.</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未采取相应防范措施，造成危险废物扬散、流失、渗漏或者造成其他环境污染的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25.</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在运输过程中沿途丢弃、遗撒危险废物的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26.</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未制定危险废物意外事故防范措施和应急预案的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27.</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未按照国家有关规定建立危险废物管理台账并如实记录的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28.</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危险废物产生者不处置其产生的危险废物被责令改正后拒不改正的；拒不承担代为处置费用的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29.</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无许可证从事收集、贮存、利用、处置危险废物经营活动的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30.</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未按照许可证规定从事收集、贮存、利用、处置危险废物经营活动的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31.</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造成固体废物污染环境事故的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32.</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贮存设施或者设备不符合环境保护、卫生要求的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33.</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未使用符合标准的专用车辆运送医疗废物或者使用运送医疗废物的车辆运送其他物品的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34.</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未安装污染物排放在线监控装置或者监控装置未经常处于正常运行状态的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35.</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在运送过程中丢弃医疗废物，在非贮存地点倾倒、堆放医疗废物或者将医疗废物混入其他废物和生活垃圾的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36.</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未执行危险废物转移联单管理制度的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37.</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将医疗废物交给未取得许可证的单位或者个人收集、运送、贮存、处置的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38.</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对医疗废物的处置不符合国家规定的环境保护、卫生标准、规范的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39.</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医疗卫生机构、医疗废物集中处置单位发生医疗废物流失、泄漏、扩散时，未采取紧急处理措施</w:t>
      </w:r>
      <w:bookmarkStart w:id="166" w:name="OLE_LINK59"/>
      <w:bookmarkStart w:id="167" w:name="OLE_LINK58"/>
      <w:r>
        <w:rPr>
          <w:rFonts w:ascii="Times New Roman" w:hAnsi="Times New Roman" w:eastAsia="方正仿宋_GBK" w:cs="Times New Roman"/>
          <w:color w:val="auto"/>
          <w:sz w:val="32"/>
          <w:szCs w:val="32"/>
          <w:shd w:val="clear" w:color="auto" w:fill="auto"/>
        </w:rPr>
        <w:t>，或者未及时向环境保护行政主管部门报告的</w:t>
      </w:r>
      <w:bookmarkEnd w:id="166"/>
      <w:bookmarkEnd w:id="167"/>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40.</w:t>
      </w:r>
      <w:r>
        <w:rPr>
          <w:rFonts w:hint="eastAsia" w:ascii="Times New Roman" w:hAnsi="Times New Roman" w:eastAsia="方正仿宋_GBK" w:cs="Times New Roman"/>
          <w:color w:val="auto"/>
          <w:sz w:val="32"/>
          <w:szCs w:val="32"/>
          <w:shd w:val="clear" w:color="auto" w:fill="auto"/>
          <w:lang w:val="en-US" w:eastAsia="zh-CN"/>
        </w:rPr>
        <w:t xml:space="preserve"> </w:t>
      </w:r>
      <w:r>
        <w:rPr>
          <w:rFonts w:ascii="Times New Roman" w:hAnsi="Times New Roman" w:eastAsia="方正仿宋_GBK" w:cs="Times New Roman"/>
          <w:color w:val="auto"/>
          <w:sz w:val="32"/>
          <w:szCs w:val="32"/>
          <w:shd w:val="clear" w:color="auto" w:fill="auto"/>
        </w:rPr>
        <w:t>未取得许可证从事医疗废物的收集、运送、贮存、处置等活动的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41.</w:t>
      </w:r>
      <w:r>
        <w:rPr>
          <w:rFonts w:hint="eastAsia" w:ascii="Times New Roman" w:hAnsi="Times New Roman" w:eastAsia="方正仿宋_GBK" w:cs="Times New Roman"/>
          <w:color w:val="auto"/>
          <w:sz w:val="32"/>
          <w:szCs w:val="32"/>
          <w:shd w:val="clear" w:color="auto" w:fill="auto"/>
          <w:lang w:val="en-US" w:eastAsia="zh-CN"/>
        </w:rPr>
        <w:t xml:space="preserve"> </w:t>
      </w:r>
      <w:r>
        <w:rPr>
          <w:rFonts w:ascii="Times New Roman" w:hAnsi="Times New Roman" w:eastAsia="方正仿宋_GBK" w:cs="Times New Roman"/>
          <w:color w:val="auto"/>
          <w:sz w:val="32"/>
          <w:szCs w:val="32"/>
          <w:shd w:val="clear" w:color="auto" w:fill="auto"/>
        </w:rPr>
        <w:t>不按规定重新申请危险废物许可证或者换证的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42</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lang w:val="en-US" w:eastAsia="zh-CN"/>
        </w:rPr>
        <w:t xml:space="preserve"> </w:t>
      </w:r>
      <w:r>
        <w:rPr>
          <w:rFonts w:hint="default" w:ascii="Times New Roman" w:hAnsi="Times New Roman" w:eastAsia="方正仿宋_GBK" w:cs="Times New Roman"/>
          <w:color w:val="auto"/>
          <w:sz w:val="32"/>
          <w:szCs w:val="32"/>
          <w:shd w:val="clear" w:color="auto" w:fill="auto"/>
        </w:rPr>
        <w:t>危险废物经营单位终止从事收集、贮存、处置危险废物经营活动，或者危险废物的经营设施在废弃或者改作其他用途前，或者填埋危险废物的经营设施服役期届满后，未按照规定采取污染防治设施，责令限期改正逾期不改正的</w:t>
      </w:r>
      <w:r>
        <w:rPr>
          <w:rFonts w:hint="default" w:ascii="Times New Roman" w:hAnsi="Times New Roman" w:eastAsia="方正仿宋_GBK" w:cs="Times New Roman"/>
          <w:color w:val="auto"/>
          <w:sz w:val="32"/>
          <w:szCs w:val="32"/>
          <w:shd w:val="clear" w:color="auto" w:fill="auto"/>
        </w:rPr>
        <w:tab/>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43</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lang w:val="en-US" w:eastAsia="zh-CN"/>
        </w:rPr>
        <w:t xml:space="preserve"> </w:t>
      </w:r>
      <w:r>
        <w:rPr>
          <w:rFonts w:hint="default" w:ascii="Times New Roman" w:hAnsi="Times New Roman" w:eastAsia="方正仿宋_GBK" w:cs="Times New Roman"/>
          <w:color w:val="auto"/>
          <w:sz w:val="32"/>
          <w:szCs w:val="32"/>
          <w:shd w:val="clear" w:color="auto" w:fill="auto"/>
        </w:rPr>
        <w:t>伪造、变造、转让危险废物许可证的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44</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lang w:val="en-US" w:eastAsia="zh-CN"/>
        </w:rPr>
        <w:t xml:space="preserve"> </w:t>
      </w:r>
      <w:r>
        <w:rPr>
          <w:rFonts w:hint="default" w:ascii="Times New Roman" w:hAnsi="Times New Roman" w:eastAsia="方正仿宋_GBK" w:cs="Times New Roman"/>
          <w:color w:val="auto"/>
          <w:sz w:val="32"/>
          <w:szCs w:val="32"/>
          <w:shd w:val="clear" w:color="auto" w:fill="auto"/>
        </w:rPr>
        <w:t>领取危险废物收集许可证的单位，未与处置单位签订接收合同，未将收集的废矿物油和废镉镍电池在90个工作日内提供或者委托给处置单位进行处置，责令限期改正逾期不改正的</w:t>
      </w:r>
      <w:r>
        <w:rPr>
          <w:rFonts w:hint="eastAsia" w:ascii="Times New Roman" w:hAnsi="Times New Roman" w:eastAsia="方正仿宋_GBK" w:cs="Times New Roman"/>
          <w:color w:val="auto"/>
          <w:sz w:val="32"/>
          <w:szCs w:val="32"/>
          <w:shd w:val="clear" w:color="auto" w:fill="auto"/>
          <w:lang w:eastAsia="zh-CN"/>
        </w:rPr>
        <w:t>；</w:t>
      </w:r>
      <w:r>
        <w:rPr>
          <w:rFonts w:hint="default" w:ascii="Times New Roman" w:hAnsi="Times New Roman" w:eastAsia="方正仿宋_GBK" w:cs="Times New Roman"/>
          <w:color w:val="auto"/>
          <w:sz w:val="32"/>
          <w:szCs w:val="32"/>
          <w:shd w:val="clear" w:color="auto" w:fill="auto"/>
        </w:rPr>
        <w:t>45</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lang w:val="en-US" w:eastAsia="zh-CN"/>
        </w:rPr>
        <w:t xml:space="preserve"> </w:t>
      </w:r>
      <w:r>
        <w:rPr>
          <w:rFonts w:hint="default" w:ascii="Times New Roman" w:hAnsi="Times New Roman" w:eastAsia="方正仿宋_GBK" w:cs="Times New Roman"/>
          <w:color w:val="auto"/>
          <w:sz w:val="32"/>
          <w:szCs w:val="32"/>
          <w:shd w:val="clear" w:color="auto" w:fill="auto"/>
        </w:rPr>
        <w:t>未取得废弃电器电子产品处理资格擅自从事废弃电器电子产品处理活动的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46</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lang w:val="en-US" w:eastAsia="zh-CN"/>
        </w:rPr>
        <w:t xml:space="preserve"> </w:t>
      </w:r>
      <w:r>
        <w:rPr>
          <w:rFonts w:hint="default" w:ascii="Times New Roman" w:hAnsi="Times New Roman" w:eastAsia="方正仿宋_GBK" w:cs="Times New Roman"/>
          <w:color w:val="auto"/>
          <w:sz w:val="32"/>
          <w:szCs w:val="32"/>
          <w:shd w:val="clear" w:color="auto" w:fill="auto"/>
        </w:rPr>
        <w:t>处理企业未建立废弃电器电子产品的数据信息管理系统，未按规定报送基本数据和有关情况或者报送基本数据、有关情况不真实，或者未按规定期限保存基本数据的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eastAsia"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t>47</w:t>
      </w:r>
      <w:r>
        <w:rPr>
          <w:rFonts w:hint="eastAsia" w:ascii="Times New Roman" w:hAnsi="Times New Roman" w:eastAsia="方正仿宋_GBK" w:cs="Times New Roman"/>
          <w:color w:val="auto"/>
          <w:sz w:val="32"/>
          <w:szCs w:val="32"/>
          <w:shd w:val="clear" w:color="auto" w:fill="auto"/>
          <w:lang w:eastAsia="zh-CN"/>
        </w:rPr>
        <w:t>.</w:t>
      </w:r>
      <w:r>
        <w:rPr>
          <w:rFonts w:hint="eastAsia" w:ascii="Times New Roman" w:hAnsi="Times New Roman" w:eastAsia="方正仿宋_GBK" w:cs="Times New Roman"/>
          <w:color w:val="auto"/>
          <w:sz w:val="32"/>
          <w:szCs w:val="32"/>
          <w:shd w:val="clear" w:color="auto" w:fill="auto"/>
          <w:lang w:val="en-US" w:eastAsia="zh-CN"/>
        </w:rPr>
        <w:t xml:space="preserve"> </w:t>
      </w:r>
      <w:r>
        <w:rPr>
          <w:rFonts w:hint="default" w:ascii="Times New Roman" w:hAnsi="Times New Roman" w:eastAsia="方正仿宋_GBK" w:cs="Times New Roman"/>
          <w:color w:val="auto"/>
          <w:sz w:val="32"/>
          <w:szCs w:val="32"/>
          <w:shd w:val="clear" w:color="auto" w:fill="auto"/>
        </w:rPr>
        <w:t>处理企业未建立日常环境监测制度或者未开展日常环境监测的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default" w:ascii="Times New Roman" w:hAnsi="Times New Roman" w:eastAsia="方正仿宋_GBK" w:cs="Times New Roman"/>
          <w:color w:val="auto"/>
          <w:sz w:val="32"/>
          <w:szCs w:val="32"/>
          <w:shd w:val="clear" w:color="auto" w:fill="auto"/>
        </w:rPr>
      </w:pP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default" w:ascii="Times New Roman" w:hAnsi="Times New Roman" w:eastAsia="方正仿宋_GBK" w:cs="Times New Roman"/>
          <w:color w:val="auto"/>
          <w:sz w:val="32"/>
          <w:szCs w:val="32"/>
          <w:shd w:val="clear" w:color="auto" w:fill="auto"/>
        </w:rPr>
      </w:pP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rPr>
          <w:rFonts w:hint="default" w:ascii="Times New Roman" w:hAnsi="Times New Roman" w:eastAsia="方正仿宋_GBK" w:cs="Times New Roman"/>
          <w:color w:val="auto"/>
          <w:sz w:val="32"/>
          <w:szCs w:val="32"/>
          <w:shd w:val="clear" w:color="auto" w:fill="auto"/>
        </w:rPr>
      </w:pP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rPr>
          <w:rFonts w:hint="default" w:ascii="Times New Roman" w:hAnsi="Times New Roman" w:eastAsia="方正仿宋_GBK" w:cs="Times New Roman"/>
          <w:color w:val="auto"/>
          <w:sz w:val="32"/>
          <w:szCs w:val="32"/>
          <w:shd w:val="clear" w:color="auto" w:fill="auto"/>
        </w:rPr>
      </w:pP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rPr>
          <w:rFonts w:hint="default" w:ascii="Times New Roman" w:hAnsi="Times New Roman" w:eastAsia="方正仿宋_GBK" w:cs="Times New Roman"/>
          <w:color w:val="auto"/>
          <w:sz w:val="32"/>
          <w:szCs w:val="32"/>
          <w:shd w:val="clear" w:color="auto" w:fill="auto"/>
        </w:rPr>
      </w:pP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649"/>
      </w:tblGrid>
      <w:tr>
        <w:trPr>
          <w:trHeight w:val="397"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68" w:name="_Toc12942"/>
            <w:r>
              <w:rPr>
                <w:rFonts w:hint="default" w:ascii="Times New Roman" w:hAnsi="Times New Roman" w:cs="Times New Roman"/>
                <w:color w:val="auto"/>
                <w:sz w:val="20"/>
                <w:szCs w:val="20"/>
                <w:shd w:val="clear" w:color="auto" w:fill="auto"/>
              </w:rPr>
              <w:t>1</w:t>
            </w:r>
            <w:bookmarkEnd w:id="168"/>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69" w:name="_Toc3905"/>
            <w:r>
              <w:rPr>
                <w:rFonts w:hint="default" w:ascii="Times New Roman" w:hAnsi="Times New Roman" w:cs="Times New Roman"/>
                <w:color w:val="auto"/>
                <w:sz w:val="20"/>
                <w:szCs w:val="20"/>
                <w:shd w:val="clear" w:color="auto" w:fill="auto"/>
              </w:rPr>
              <w:t>产生、收集、贮存、运输、利用、处置固体废物的单位未依法及时公开固体废物污染环境防治信息的</w:t>
            </w:r>
            <w:bookmarkEnd w:id="169"/>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top"/>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《中华人民共和国固体废物污染环境防治法》第二十九条第二款</w:t>
            </w:r>
            <w:r>
              <w:rPr>
                <w:rFonts w:hint="default" w:ascii="Times New Roman" w:hAnsi="Times New Roman" w:cs="Times New Roman"/>
                <w:color w:val="auto"/>
                <w:kern w:val="2"/>
                <w:sz w:val="21"/>
                <w:szCs w:val="21"/>
                <w:shd w:val="clear" w:color="auto" w:fill="auto"/>
              </w:rPr>
              <w:t xml:space="preserve">   产生、收集、贮存、运输、利用、处置固体废物的单位，应当依法及时公开固体废物污染环境防治信息，主动接受社会监督。</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top"/>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《中华人民共和国固体废物污染环境防治法》第一百零二条第一款第（一）项　、第二款　</w:t>
            </w:r>
            <w:r>
              <w:rPr>
                <w:rFonts w:hint="default" w:ascii="Times New Roman" w:hAnsi="Times New Roman" w:cs="Times New Roman"/>
                <w:color w:val="auto"/>
                <w:kern w:val="2"/>
                <w:sz w:val="21"/>
                <w:szCs w:val="21"/>
                <w:shd w:val="clear" w:color="auto" w:fill="auto"/>
              </w:rPr>
              <w:t>违反本法规定，有下列行为之一，由生态环境主管部门责令改正，处以罚款，没收违法所得；情节严重的，报经有批准权的人民政府批准，可以责令停业或者关闭：</w:t>
            </w:r>
          </w:p>
          <w:p>
            <w:pPr>
              <w:pStyle w:val="19"/>
              <w:numPr>
                <w:ilvl w:val="0"/>
                <w:numId w:val="8"/>
              </w:num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产生、收集、贮存、运输、利用、处置固体废物的单位未依法及时公开固体废物污染环境防治信息的。</w:t>
            </w:r>
          </w:p>
          <w:p>
            <w:pPr>
              <w:pStyle w:val="19"/>
              <w:shd w:val="clear" w:color="auto" w:fill="auto"/>
              <w:snapToGrid w:val="0"/>
              <w:spacing w:before="0" w:beforeAutospacing="0" w:after="0" w:afterAutospacing="0" w:line="320" w:lineRule="exact"/>
              <w:ind w:left="0" w:right="0" w:firstLine="420" w:firstLineChars="20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r>
      <w:tr>
        <w:trPr>
          <w:trHeight w:val="465"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6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未依法及时公开</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6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未公开</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6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弄虚作假的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6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固废类别</w:t>
            </w: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第Ⅰ类一般工业固体废物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6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第Ⅱ类一般工业固体废物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6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危险废物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65"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6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6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6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6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6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w:t>
            </w:r>
            <w:r>
              <w:rPr>
                <w:rFonts w:hint="default" w:ascii="Times New Roman" w:hAnsi="Times New Roman" w:cs="Times New Roman"/>
                <w:b/>
                <w:bCs/>
                <w:color w:val="auto"/>
                <w:sz w:val="20"/>
                <w:szCs w:val="20"/>
                <w:shd w:val="clear" w:color="auto" w:fill="auto"/>
                <w:lang w:val="en-US"/>
              </w:rPr>
              <w:t>规模</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6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6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6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2090" w:firstLineChars="1100"/>
              <w:jc w:val="both"/>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登记管理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r>
              <w:rPr>
                <w:rFonts w:hint="default" w:ascii="Times New Roman" w:hAnsi="Times New Roman" w:cs="Times New Roman"/>
                <w:b/>
                <w:bCs/>
                <w:color w:val="auto"/>
                <w:sz w:val="20"/>
                <w:szCs w:val="20"/>
                <w:shd w:val="clear" w:color="auto" w:fill="auto"/>
                <w:lang w:val="en-US"/>
              </w:rPr>
              <w:t>改正时间</w:t>
            </w:r>
          </w:p>
        </w:tc>
        <w:tc>
          <w:tcPr>
            <w:tcW w:w="504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kern w:val="2"/>
                <w:sz w:val="21"/>
                <w:szCs w:val="21"/>
                <w:shd w:val="clear" w:color="auto" w:fill="auto"/>
                <w:lang w:eastAsia="zh-CN"/>
              </w:rPr>
              <w:t>限期改正</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7天以上</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5</w:t>
            </w:r>
          </w:p>
        </w:tc>
      </w:tr>
      <w:tr>
        <w:trPr>
          <w:trHeight w:val="397"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受处罚次数</w:t>
            </w: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两年内未受到过同类处罚</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两年内受到同类处罚1次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两年内受到同类处罚2次以上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default" w:ascii="Times New Roman" w:hAnsi="Times New Roman" w:eastAsia="方正仿宋_GBK" w:cs="Times New Roman"/>
          <w:color w:val="auto"/>
          <w:sz w:val="32"/>
          <w:szCs w:val="32"/>
          <w:shd w:val="clear" w:color="auto" w:fill="auto"/>
        </w:rPr>
      </w:pP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70" w:lineRule="exact"/>
        <w:ind w:firstLine="640" w:firstLineChars="200"/>
        <w:rPr>
          <w:rFonts w:hint="default" w:ascii="Times New Roman" w:hAnsi="Times New Roman" w:eastAsia="方正仿宋_GBK" w:cs="Times New Roman"/>
          <w:color w:val="auto"/>
          <w:sz w:val="32"/>
          <w:szCs w:val="32"/>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851"/>
        <w:gridCol w:w="1841"/>
      </w:tblGrid>
      <w:tr>
        <w:trPr>
          <w:trHeight w:val="425"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425"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2</w:t>
            </w:r>
          </w:p>
        </w:tc>
      </w:tr>
      <w:tr>
        <w:trPr>
          <w:trHeight w:val="425"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top"/>
          </w:tcPr>
          <w:p>
            <w:pPr>
              <w:shd w:val="clear" w:color="auto" w:fill="auto"/>
              <w:snapToGrid w:val="0"/>
              <w:spacing w:before="0" w:beforeAutospacing="0" w:after="0" w:afterAutospacing="0" w:line="320" w:lineRule="exact"/>
              <w:ind w:left="0" w:right="0" w:firstLine="420"/>
              <w:jc w:val="left"/>
              <w:outlineLvl w:val="9"/>
              <w:rPr>
                <w:rFonts w:hint="default" w:ascii="Times New Roman" w:hAnsi="Times New Roman" w:cs="Times New Roman"/>
                <w:color w:val="auto"/>
                <w:sz w:val="20"/>
                <w:szCs w:val="20"/>
                <w:shd w:val="clear" w:color="auto" w:fill="auto"/>
              </w:rPr>
            </w:pPr>
            <w:bookmarkStart w:id="170" w:name="_Toc10229"/>
            <w:r>
              <w:rPr>
                <w:rFonts w:hint="default" w:ascii="Times New Roman" w:hAnsi="Times New Roman" w:cs="Times New Roman"/>
                <w:color w:val="auto"/>
                <w:sz w:val="20"/>
                <w:szCs w:val="20"/>
                <w:shd w:val="clear" w:color="auto" w:fill="auto"/>
              </w:rPr>
              <w:t>生活垃圾处理单位未按照国家有关规定安装使用监测设备、实时监测污染物的排放情况并公开污染排放数据的</w:t>
            </w:r>
            <w:bookmarkEnd w:id="170"/>
          </w:p>
        </w:tc>
      </w:tr>
      <w:tr>
        <w:trPr>
          <w:trHeight w:val="425"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top"/>
          </w:tcPr>
          <w:p>
            <w:pPr>
              <w:pStyle w:val="19"/>
              <w:shd w:val="clear" w:color="auto" w:fill="auto"/>
              <w:snapToGrid w:val="0"/>
              <w:spacing w:before="0" w:beforeAutospacing="0" w:after="0" w:afterAutospacing="0" w:line="320" w:lineRule="exact"/>
              <w:ind w:left="0" w:right="0" w:firstLine="357"/>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《中华人民共和国固体废物污染环境防治法》第五十六条</w:t>
            </w:r>
            <w:r>
              <w:rPr>
                <w:rFonts w:hint="default" w:ascii="Times New Roman" w:hAnsi="Times New Roman" w:cs="Times New Roman"/>
                <w:color w:val="auto"/>
                <w:kern w:val="2"/>
                <w:sz w:val="21"/>
                <w:szCs w:val="21"/>
                <w:shd w:val="clear" w:color="auto" w:fill="auto"/>
              </w:rPr>
              <w:t xml:space="preserve">   生活垃圾处理单位应当按照国家有关规定，安装使用监测设备，实时监测污染物的排放情况，将污染排放数据实时公开。监测设备应当与所在地生态环境主管部门的监控设备联网。</w:t>
            </w:r>
          </w:p>
        </w:tc>
      </w:tr>
      <w:tr>
        <w:trPr>
          <w:trHeight w:val="425"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top"/>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《中华人民共和国固体废物污染环境防治法》第一百零二条第一款第（二）项　、第二款 　</w:t>
            </w:r>
            <w:r>
              <w:rPr>
                <w:rFonts w:hint="default" w:ascii="Times New Roman" w:hAnsi="Times New Roman" w:cs="Times New Roman"/>
                <w:color w:val="auto"/>
                <w:kern w:val="2"/>
                <w:sz w:val="21"/>
                <w:szCs w:val="21"/>
                <w:shd w:val="clear" w:color="auto" w:fill="auto"/>
              </w:rPr>
              <w:t>违反本法规定，有下列行为之一，由生态环境主管部门责令改正，处以罚款，没收违法所得；情节严重的，报经有批准权的人民政府批准，可以责令停业或者关闭：</w:t>
            </w:r>
          </w:p>
          <w:p>
            <w:pPr>
              <w:pStyle w:val="18"/>
              <w:numPr>
                <w:ilvl w:val="0"/>
                <w:numId w:val="9"/>
              </w:num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生活垃圾处理单位未按照国家有关规定安装使用监测设备、实时监测污染物的排放情况并公开污染排放数据的。</w:t>
            </w:r>
          </w:p>
          <w:p>
            <w:pPr>
              <w:pStyle w:val="18"/>
              <w:shd w:val="clear" w:color="auto" w:fill="auto"/>
              <w:snapToGrid w:val="0"/>
              <w:spacing w:before="0" w:beforeAutospacing="0" w:after="0" w:afterAutospacing="0" w:line="320" w:lineRule="exact"/>
              <w:ind w:left="0" w:right="0" w:firstLine="420" w:firstLineChars="20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r>
      <w:tr>
        <w:trPr>
          <w:trHeight w:val="425"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8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18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highlight w:val="none"/>
                <w:shd w:val="clear" w:color="auto" w:fill="auto"/>
              </w:rPr>
              <w:t>★违法事实</w:t>
            </w:r>
          </w:p>
        </w:tc>
        <w:tc>
          <w:tcPr>
            <w:tcW w:w="585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1"/>
                <w:szCs w:val="21"/>
                <w:shd w:val="clear" w:color="auto" w:fill="auto"/>
              </w:rPr>
            </w:pPr>
            <w:r>
              <w:rPr>
                <w:rFonts w:hint="default" w:ascii="Times New Roman" w:hAnsi="Times New Roman" w:cs="Times New Roman"/>
                <w:color w:val="auto"/>
                <w:kern w:val="2"/>
                <w:sz w:val="21"/>
                <w:szCs w:val="21"/>
                <w:shd w:val="clear" w:color="auto" w:fill="auto"/>
              </w:rPr>
              <w:t>监测设备已安装使用，</w:t>
            </w:r>
            <w:r>
              <w:rPr>
                <w:rFonts w:hint="default" w:ascii="Times New Roman" w:hAnsi="Times New Roman" w:cs="Times New Roman"/>
                <w:color w:val="auto"/>
                <w:kern w:val="2"/>
                <w:sz w:val="21"/>
                <w:szCs w:val="21"/>
                <w:shd w:val="clear" w:color="auto" w:fill="auto"/>
                <w:lang w:eastAsia="zh-CN"/>
              </w:rPr>
              <w:t>并实时监测污染物排放，但</w:t>
            </w:r>
            <w:r>
              <w:rPr>
                <w:rFonts w:hint="default" w:ascii="Times New Roman" w:hAnsi="Times New Roman" w:cs="Times New Roman"/>
                <w:color w:val="auto"/>
                <w:kern w:val="2"/>
                <w:sz w:val="21"/>
                <w:szCs w:val="21"/>
                <w:shd w:val="clear" w:color="auto" w:fill="auto"/>
              </w:rPr>
              <w:t>未公开污染排放数据</w:t>
            </w:r>
          </w:p>
        </w:tc>
        <w:tc>
          <w:tcPr>
            <w:tcW w:w="18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5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1"/>
                <w:szCs w:val="21"/>
                <w:shd w:val="clear" w:color="auto" w:fill="auto"/>
                <w:lang w:eastAsia="zh-CN"/>
              </w:rPr>
            </w:pPr>
            <w:r>
              <w:rPr>
                <w:rFonts w:hint="default" w:ascii="Times New Roman" w:hAnsi="Times New Roman" w:cs="Times New Roman"/>
                <w:color w:val="auto"/>
                <w:kern w:val="2"/>
                <w:sz w:val="21"/>
                <w:szCs w:val="21"/>
                <w:shd w:val="clear" w:color="auto" w:fill="auto"/>
              </w:rPr>
              <w:t>监测设备已安装使用</w:t>
            </w:r>
            <w:r>
              <w:rPr>
                <w:rFonts w:hint="default" w:ascii="Times New Roman" w:hAnsi="Times New Roman" w:cs="Times New Roman"/>
                <w:color w:val="auto"/>
                <w:kern w:val="2"/>
                <w:sz w:val="21"/>
                <w:szCs w:val="21"/>
                <w:shd w:val="clear" w:color="auto" w:fill="auto"/>
                <w:lang w:eastAsia="zh-CN"/>
              </w:rPr>
              <w:t>，但未做到实时监测</w:t>
            </w:r>
          </w:p>
        </w:tc>
        <w:tc>
          <w:tcPr>
            <w:tcW w:w="18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5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lang w:eastAsia="zh-CN"/>
              </w:rPr>
              <w:t>未按照规定安装使用</w:t>
            </w:r>
            <w:r>
              <w:rPr>
                <w:rFonts w:hint="default" w:ascii="Times New Roman" w:hAnsi="Times New Roman" w:cs="Times New Roman"/>
                <w:color w:val="auto"/>
                <w:kern w:val="2"/>
                <w:sz w:val="21"/>
                <w:szCs w:val="21"/>
                <w:shd w:val="clear" w:color="auto" w:fill="auto"/>
              </w:rPr>
              <w:t>监测设备</w:t>
            </w:r>
          </w:p>
        </w:tc>
        <w:tc>
          <w:tcPr>
            <w:tcW w:w="18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日处理能力</w:t>
            </w:r>
          </w:p>
        </w:tc>
        <w:tc>
          <w:tcPr>
            <w:tcW w:w="585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1000吨以下</w:t>
            </w:r>
          </w:p>
        </w:tc>
        <w:tc>
          <w:tcPr>
            <w:tcW w:w="18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5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1000吨以上3000吨以下</w:t>
            </w:r>
          </w:p>
        </w:tc>
        <w:tc>
          <w:tcPr>
            <w:tcW w:w="18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3000吨以上的</w:t>
            </w:r>
          </w:p>
        </w:tc>
        <w:tc>
          <w:tcPr>
            <w:tcW w:w="18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改正时间</w:t>
            </w:r>
          </w:p>
        </w:tc>
        <w:tc>
          <w:tcPr>
            <w:tcW w:w="5851"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val="0"/>
                <w:bCs w:val="0"/>
                <w:color w:val="auto"/>
                <w:kern w:val="2"/>
                <w:sz w:val="21"/>
                <w:szCs w:val="21"/>
                <w:shd w:val="clear" w:color="auto" w:fill="auto"/>
                <w:lang/>
              </w:rPr>
            </w:pPr>
            <w:r>
              <w:rPr>
                <w:rFonts w:hint="eastAsia" w:ascii="Times New Roman" w:hAnsi="Times New Roman" w:cs="Times New Roman"/>
                <w:color w:val="auto"/>
                <w:kern w:val="2"/>
                <w:sz w:val="21"/>
                <w:szCs w:val="21"/>
                <w:shd w:val="clear" w:color="auto" w:fill="auto"/>
                <w:lang w:eastAsia="zh-CN"/>
              </w:rPr>
              <w:t>限期改正</w:t>
            </w:r>
          </w:p>
        </w:tc>
        <w:tc>
          <w:tcPr>
            <w:tcW w:w="18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8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18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8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val="0"/>
                <w:bCs w:val="0"/>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3天以上7天以下</w:t>
            </w:r>
          </w:p>
        </w:tc>
        <w:tc>
          <w:tcPr>
            <w:tcW w:w="18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425"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8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val="0"/>
                <w:bCs w:val="0"/>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7天以上</w:t>
            </w:r>
          </w:p>
        </w:tc>
        <w:tc>
          <w:tcPr>
            <w:tcW w:w="18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425"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85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184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5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184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5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184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5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184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5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184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8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18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18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18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51" w:type="dxa"/>
            <w:vAlign w:val="center"/>
          </w:tcPr>
          <w:p>
            <w:pPr>
              <w:shd w:val="clear" w:color="auto" w:fill="auto"/>
              <w:snapToGrid w:val="0"/>
              <w:spacing w:before="0" w:beforeAutospacing="0" w:after="0" w:afterAutospacing="0" w:line="320" w:lineRule="exact"/>
              <w:ind w:left="0" w:right="0" w:firstLine="2470" w:firstLineChars="1300"/>
              <w:jc w:val="left"/>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18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8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18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18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18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受处罚次数</w:t>
            </w:r>
          </w:p>
        </w:tc>
        <w:tc>
          <w:tcPr>
            <w:tcW w:w="58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18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18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18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8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18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18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18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18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z w:val="10"/>
          <w:szCs w:val="10"/>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649"/>
      </w:tblGrid>
      <w:tr>
        <w:trPr>
          <w:trHeight w:val="397"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71" w:name="_Toc14917"/>
            <w:r>
              <w:rPr>
                <w:rFonts w:hint="default" w:ascii="Times New Roman" w:hAnsi="Times New Roman" w:cs="Times New Roman"/>
                <w:color w:val="auto"/>
                <w:sz w:val="20"/>
                <w:szCs w:val="20"/>
                <w:shd w:val="clear" w:color="auto" w:fill="auto"/>
              </w:rPr>
              <w:t>3</w:t>
            </w:r>
            <w:bookmarkEnd w:id="171"/>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72" w:name="_Toc14969"/>
            <w:r>
              <w:rPr>
                <w:rFonts w:hint="default" w:ascii="Times New Roman" w:hAnsi="Times New Roman" w:cs="Times New Roman"/>
                <w:color w:val="auto"/>
                <w:sz w:val="20"/>
                <w:szCs w:val="20"/>
                <w:shd w:val="clear" w:color="auto" w:fill="auto"/>
              </w:rPr>
              <w:t>将列入限期淘汰名录被淘汰的设备转让给他人使用的</w:t>
            </w:r>
            <w:bookmarkEnd w:id="172"/>
          </w:p>
        </w:tc>
      </w:tr>
      <w:tr>
        <w:trPr>
          <w:trHeight w:val="87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《中华人民共和国固体废物污染环境防治法》第三十三条第三款</w:t>
            </w:r>
            <w:r>
              <w:rPr>
                <w:rFonts w:hint="default" w:ascii="Times New Roman" w:hAnsi="Times New Roman" w:cs="Times New Roman"/>
                <w:color w:val="auto"/>
                <w:sz w:val="21"/>
                <w:szCs w:val="21"/>
                <w:shd w:val="clear" w:color="auto" w:fill="auto"/>
              </w:rPr>
              <w:t xml:space="preserve">  </w:t>
            </w:r>
            <w:r>
              <w:rPr>
                <w:rFonts w:hint="default" w:ascii="Times New Roman" w:hAnsi="Times New Roman" w:cs="Times New Roman"/>
                <w:color w:val="auto"/>
                <w:kern w:val="2"/>
                <w:sz w:val="21"/>
                <w:szCs w:val="21"/>
                <w:shd w:val="clear" w:color="auto" w:fill="auto"/>
              </w:rPr>
              <w:t>列入限期淘汰名录被淘汰的设备，不得转让给他人使用。</w:t>
            </w:r>
          </w:p>
        </w:tc>
      </w:tr>
      <w:tr>
        <w:trPr>
          <w:trHeight w:val="341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《中华人民共和国固体废物污染环境防治法》</w:t>
            </w:r>
            <w:r>
              <w:rPr>
                <w:rFonts w:hint="default" w:ascii="Times New Roman" w:hAnsi="Times New Roman" w:cs="Times New Roman"/>
                <w:color w:val="auto"/>
                <w:sz w:val="20"/>
                <w:szCs w:val="20"/>
                <w:shd w:val="clear" w:color="auto" w:fill="auto"/>
              </w:rPr>
              <w:t xml:space="preserve"> </w:t>
            </w:r>
            <w:r>
              <w:rPr>
                <w:rFonts w:hint="default" w:ascii="Times New Roman" w:hAnsi="Times New Roman" w:cs="Times New Roman"/>
                <w:b/>
                <w:bCs/>
                <w:color w:val="auto"/>
                <w:kern w:val="0"/>
                <w:sz w:val="20"/>
                <w:szCs w:val="20"/>
                <w:shd w:val="clear" w:color="auto" w:fill="auto"/>
              </w:rPr>
              <w:t>第一百零二条第一款第（三）项</w:t>
            </w:r>
            <w:r>
              <w:rPr>
                <w:rFonts w:hint="default" w:ascii="Times New Roman" w:hAnsi="Times New Roman" w:cs="Times New Roman"/>
                <w:color w:val="auto"/>
                <w:sz w:val="20"/>
                <w:szCs w:val="20"/>
                <w:shd w:val="clear" w:color="auto" w:fill="auto"/>
              </w:rPr>
              <w:t>　</w:t>
            </w:r>
            <w:r>
              <w:rPr>
                <w:rFonts w:hint="default" w:ascii="Times New Roman" w:hAnsi="Times New Roman" w:cs="Times New Roman"/>
                <w:b/>
                <w:bCs/>
                <w:color w:val="auto"/>
                <w:kern w:val="0"/>
                <w:sz w:val="20"/>
                <w:szCs w:val="20"/>
                <w:shd w:val="clear" w:color="auto" w:fill="auto"/>
              </w:rPr>
              <w:t xml:space="preserve">、第二款  </w:t>
            </w:r>
            <w:r>
              <w:rPr>
                <w:rFonts w:hint="default" w:ascii="Times New Roman" w:hAnsi="Times New Roman" w:cs="Times New Roman"/>
                <w:color w:val="auto"/>
                <w:sz w:val="20"/>
                <w:szCs w:val="20"/>
                <w:shd w:val="clear" w:color="auto" w:fill="auto"/>
              </w:rPr>
              <w:t>违反本法规定，有下列行为之一，由生态环境主管部门责令改正，处以罚款，没收违法所得；情节严重的，报经有批准权的人民政府批准，可以责令停业或者关闭：</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（三）将列入限期淘汰名录被淘汰的设备转让给他人使用的；</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r>
      <w:tr>
        <w:trPr>
          <w:trHeight w:val="386"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highlight w:val="none"/>
                <w:shd w:val="clear" w:color="auto" w:fill="auto"/>
                <w:lang w:eastAsia="zh-CN"/>
              </w:rPr>
              <w:t>转让</w:t>
            </w:r>
            <w:r>
              <w:rPr>
                <w:rFonts w:hint="default" w:ascii="Times New Roman" w:hAnsi="Times New Roman" w:cs="Times New Roman"/>
                <w:b/>
                <w:bCs/>
                <w:color w:val="auto"/>
                <w:sz w:val="20"/>
                <w:szCs w:val="20"/>
                <w:shd w:val="clear" w:color="auto" w:fill="auto"/>
              </w:rPr>
              <w:t>设备数量</w:t>
            </w: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1件</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1件以上5件以下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5件以上10件以下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10件以上20件以下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20件以上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w:t>
            </w:r>
            <w:r>
              <w:rPr>
                <w:rFonts w:hint="default" w:ascii="Times New Roman" w:hAnsi="Times New Roman" w:cs="Times New Roman"/>
                <w:b/>
                <w:bCs/>
                <w:color w:val="auto"/>
                <w:sz w:val="20"/>
                <w:szCs w:val="20"/>
                <w:shd w:val="clear" w:color="auto" w:fill="auto"/>
                <w:lang w:val="en-US"/>
              </w:rPr>
              <w:t>规模</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2090" w:firstLineChars="1100"/>
              <w:jc w:val="both"/>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43" w:type="dxa"/>
            <w:vAlign w:val="center"/>
          </w:tcPr>
          <w:p>
            <w:pPr>
              <w:shd w:val="clear" w:color="auto" w:fill="auto"/>
              <w:spacing w:before="0" w:beforeAutospacing="0" w:after="0" w:afterAutospacing="0" w:line="300" w:lineRule="exact"/>
              <w:ind w:left="0" w:right="0" w:firstLine="2100" w:firstLineChars="1000"/>
              <w:rPr>
                <w:rFonts w:hint="default" w:ascii="Times New Roman" w:hAnsi="Times New Roman" w:eastAsia="宋体" w:cs="Times New Roman"/>
                <w:color w:val="auto"/>
                <w:sz w:val="21"/>
                <w:szCs w:val="21"/>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pacing w:before="0" w:beforeAutospacing="0" w:after="0" w:afterAutospacing="0" w:line="300" w:lineRule="exact"/>
              <w:ind w:left="0" w:right="0" w:firstLine="2100" w:firstLineChars="1000"/>
              <w:rPr>
                <w:rFonts w:hint="default" w:ascii="Times New Roman" w:hAnsi="Times New Roman" w:eastAsia="宋体" w:cs="Times New Roman"/>
                <w:color w:val="auto"/>
                <w:sz w:val="21"/>
                <w:szCs w:val="21"/>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none"/>
                <w:shd w:val="clear" w:color="auto" w:fill="auto"/>
              </w:rPr>
            </w:pPr>
            <w:r>
              <w:rPr>
                <w:rFonts w:hint="default" w:ascii="Times New Roman" w:hAnsi="Times New Roman" w:cs="Times New Roman"/>
                <w:b/>
                <w:bCs/>
                <w:color w:val="auto"/>
                <w:sz w:val="20"/>
                <w:szCs w:val="20"/>
                <w:highlight w:val="none"/>
                <w:shd w:val="clear" w:color="auto" w:fill="auto"/>
              </w:rPr>
              <w:t>转让设备</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highlight w:val="none"/>
                <w:shd w:val="clear" w:color="auto" w:fill="auto"/>
                <w:lang w:eastAsia="zh-CN"/>
              </w:rPr>
            </w:pPr>
            <w:r>
              <w:rPr>
                <w:rFonts w:hint="default" w:ascii="Times New Roman" w:hAnsi="Times New Roman" w:cs="Times New Roman"/>
                <w:b/>
                <w:bCs/>
                <w:color w:val="auto"/>
                <w:sz w:val="20"/>
                <w:szCs w:val="20"/>
                <w:highlight w:val="none"/>
                <w:shd w:val="clear" w:color="auto" w:fill="auto"/>
              </w:rPr>
              <w:t>价</w:t>
            </w:r>
            <w:r>
              <w:rPr>
                <w:rFonts w:hint="default" w:ascii="Times New Roman" w:hAnsi="Times New Roman" w:cs="Times New Roman"/>
                <w:b/>
                <w:bCs/>
                <w:color w:val="auto"/>
                <w:sz w:val="20"/>
                <w:szCs w:val="20"/>
                <w:highlight w:val="none"/>
                <w:shd w:val="clear" w:color="auto" w:fill="auto"/>
                <w:lang w:eastAsia="zh-CN"/>
              </w:rPr>
              <w:t>格</w:t>
            </w:r>
          </w:p>
        </w:tc>
        <w:tc>
          <w:tcPr>
            <w:tcW w:w="504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highlight w:val="none"/>
                <w:shd w:val="clear" w:color="auto" w:fill="auto"/>
              </w:rPr>
            </w:pPr>
            <w:r>
              <w:rPr>
                <w:rFonts w:hint="default" w:ascii="Times New Roman" w:hAnsi="Times New Roman" w:cs="Times New Roman"/>
                <w:color w:val="auto"/>
                <w:sz w:val="21"/>
                <w:szCs w:val="21"/>
                <w:highlight w:val="none"/>
                <w:shd w:val="clear" w:color="auto" w:fill="auto"/>
              </w:rPr>
              <w:t>转让设备价</w:t>
            </w:r>
            <w:r>
              <w:rPr>
                <w:rFonts w:hint="default" w:ascii="Times New Roman" w:hAnsi="Times New Roman" w:cs="Times New Roman"/>
                <w:color w:val="auto"/>
                <w:sz w:val="21"/>
                <w:szCs w:val="21"/>
                <w:highlight w:val="none"/>
                <w:shd w:val="clear" w:color="auto" w:fill="auto"/>
                <w:lang w:eastAsia="zh-CN"/>
              </w:rPr>
              <w:t>格</w:t>
            </w:r>
            <w:r>
              <w:rPr>
                <w:rFonts w:hint="default" w:ascii="Times New Roman" w:hAnsi="Times New Roman" w:cs="Times New Roman"/>
                <w:color w:val="auto"/>
                <w:sz w:val="21"/>
                <w:szCs w:val="21"/>
                <w:highlight w:val="none"/>
                <w:shd w:val="clear" w:color="auto" w:fill="auto"/>
              </w:rPr>
              <w:t>10万元</w:t>
            </w:r>
            <w:r>
              <w:rPr>
                <w:rFonts w:hint="default" w:ascii="Times New Roman" w:hAnsi="Times New Roman" w:cs="Times New Roman"/>
                <w:color w:val="auto"/>
                <w:sz w:val="21"/>
                <w:szCs w:val="21"/>
                <w:highlight w:val="none"/>
                <w:shd w:val="clear" w:color="auto" w:fill="auto"/>
                <w:lang/>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none"/>
                <w:shd w:val="clear" w:color="auto" w:fill="auto"/>
              </w:rPr>
            </w:pPr>
          </w:p>
        </w:tc>
        <w:tc>
          <w:tcPr>
            <w:tcW w:w="504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highlight w:val="none"/>
                <w:shd w:val="clear" w:color="auto" w:fill="auto"/>
              </w:rPr>
            </w:pPr>
            <w:r>
              <w:rPr>
                <w:rFonts w:hint="default" w:ascii="Times New Roman" w:hAnsi="Times New Roman" w:cs="Times New Roman"/>
                <w:color w:val="auto"/>
                <w:sz w:val="21"/>
                <w:szCs w:val="21"/>
                <w:highlight w:val="none"/>
                <w:shd w:val="clear" w:color="auto" w:fill="auto"/>
              </w:rPr>
              <w:t>转让设备价</w:t>
            </w:r>
            <w:r>
              <w:rPr>
                <w:rFonts w:hint="default" w:ascii="Times New Roman" w:hAnsi="Times New Roman" w:cs="Times New Roman"/>
                <w:color w:val="auto"/>
                <w:sz w:val="21"/>
                <w:szCs w:val="21"/>
                <w:highlight w:val="none"/>
                <w:shd w:val="clear" w:color="auto" w:fill="auto"/>
                <w:lang w:eastAsia="zh-CN"/>
              </w:rPr>
              <w:t>格</w:t>
            </w:r>
            <w:r>
              <w:rPr>
                <w:rFonts w:hint="default" w:ascii="Times New Roman" w:hAnsi="Times New Roman" w:cs="Times New Roman"/>
                <w:color w:val="auto"/>
                <w:sz w:val="21"/>
                <w:szCs w:val="21"/>
                <w:highlight w:val="none"/>
                <w:shd w:val="clear" w:color="auto" w:fill="auto"/>
              </w:rPr>
              <w:t>10万元以上30万元</w:t>
            </w:r>
            <w:r>
              <w:rPr>
                <w:rFonts w:hint="default" w:ascii="Times New Roman" w:hAnsi="Times New Roman" w:cs="Times New Roman"/>
                <w:color w:val="auto"/>
                <w:sz w:val="21"/>
                <w:szCs w:val="21"/>
                <w:highlight w:val="none"/>
                <w:shd w:val="clear" w:color="auto" w:fill="auto"/>
                <w:lang/>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highlight w:val="none"/>
                <w:shd w:val="clear" w:color="auto" w:fill="auto"/>
              </w:rPr>
            </w:pPr>
            <w:r>
              <w:rPr>
                <w:rFonts w:hint="default" w:ascii="Times New Roman" w:hAnsi="Times New Roman" w:cs="Times New Roman"/>
                <w:color w:val="auto"/>
                <w:sz w:val="20"/>
                <w:szCs w:val="20"/>
                <w:highlight w:val="none"/>
                <w:shd w:val="clear" w:color="auto" w:fill="auto"/>
              </w:rPr>
              <w:t>2</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none"/>
                <w:shd w:val="clear" w:color="auto" w:fill="auto"/>
              </w:rPr>
            </w:pPr>
          </w:p>
        </w:tc>
        <w:tc>
          <w:tcPr>
            <w:tcW w:w="504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highlight w:val="none"/>
                <w:shd w:val="clear" w:color="auto" w:fill="auto"/>
              </w:rPr>
            </w:pPr>
            <w:r>
              <w:rPr>
                <w:rFonts w:hint="default" w:ascii="Times New Roman" w:hAnsi="Times New Roman" w:cs="Times New Roman"/>
                <w:color w:val="auto"/>
                <w:sz w:val="21"/>
                <w:szCs w:val="21"/>
                <w:highlight w:val="none"/>
                <w:shd w:val="clear" w:color="auto" w:fill="auto"/>
              </w:rPr>
              <w:t>转让设备价</w:t>
            </w:r>
            <w:r>
              <w:rPr>
                <w:rFonts w:hint="default" w:ascii="Times New Roman" w:hAnsi="Times New Roman" w:cs="Times New Roman"/>
                <w:color w:val="auto"/>
                <w:sz w:val="21"/>
                <w:szCs w:val="21"/>
                <w:highlight w:val="none"/>
                <w:shd w:val="clear" w:color="auto" w:fill="auto"/>
                <w:lang w:eastAsia="zh-CN"/>
              </w:rPr>
              <w:t>格</w:t>
            </w:r>
            <w:r>
              <w:rPr>
                <w:rFonts w:hint="default" w:ascii="Times New Roman" w:hAnsi="Times New Roman" w:cs="Times New Roman"/>
                <w:color w:val="auto"/>
                <w:sz w:val="21"/>
                <w:szCs w:val="21"/>
                <w:highlight w:val="none"/>
                <w:shd w:val="clear" w:color="auto" w:fill="auto"/>
              </w:rPr>
              <w:t>30万元以上50万元</w:t>
            </w:r>
            <w:r>
              <w:rPr>
                <w:rFonts w:hint="default" w:ascii="Times New Roman" w:hAnsi="Times New Roman" w:cs="Times New Roman"/>
                <w:color w:val="auto"/>
                <w:sz w:val="21"/>
                <w:szCs w:val="21"/>
                <w:highlight w:val="none"/>
                <w:shd w:val="clear" w:color="auto" w:fill="auto"/>
                <w:lang/>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highlight w:val="none"/>
                <w:shd w:val="clear" w:color="auto" w:fill="auto"/>
              </w:rPr>
            </w:pPr>
            <w:r>
              <w:rPr>
                <w:rFonts w:hint="default" w:ascii="Times New Roman" w:hAnsi="Times New Roman" w:cs="Times New Roman"/>
                <w:color w:val="auto"/>
                <w:sz w:val="20"/>
                <w:szCs w:val="20"/>
                <w:highlight w:val="none"/>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none"/>
                <w:shd w:val="clear" w:color="auto" w:fill="auto"/>
              </w:rPr>
            </w:pPr>
          </w:p>
        </w:tc>
        <w:tc>
          <w:tcPr>
            <w:tcW w:w="504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highlight w:val="none"/>
                <w:shd w:val="clear" w:color="auto" w:fill="auto"/>
              </w:rPr>
            </w:pPr>
            <w:r>
              <w:rPr>
                <w:rFonts w:hint="default" w:ascii="Times New Roman" w:hAnsi="Times New Roman" w:cs="Times New Roman"/>
                <w:color w:val="auto"/>
                <w:sz w:val="21"/>
                <w:szCs w:val="21"/>
                <w:highlight w:val="none"/>
                <w:shd w:val="clear" w:color="auto" w:fill="auto"/>
              </w:rPr>
              <w:t>转让设备价</w:t>
            </w:r>
            <w:r>
              <w:rPr>
                <w:rFonts w:hint="default" w:ascii="Times New Roman" w:hAnsi="Times New Roman" w:cs="Times New Roman"/>
                <w:color w:val="auto"/>
                <w:sz w:val="21"/>
                <w:szCs w:val="21"/>
                <w:highlight w:val="none"/>
                <w:shd w:val="clear" w:color="auto" w:fill="auto"/>
                <w:lang w:eastAsia="zh-CN"/>
              </w:rPr>
              <w:t>格</w:t>
            </w:r>
            <w:r>
              <w:rPr>
                <w:rFonts w:hint="default" w:ascii="Times New Roman" w:hAnsi="Times New Roman" w:cs="Times New Roman"/>
                <w:color w:val="auto"/>
                <w:sz w:val="21"/>
                <w:szCs w:val="21"/>
                <w:highlight w:val="none"/>
                <w:shd w:val="clear" w:color="auto" w:fill="auto"/>
              </w:rPr>
              <w:t>50万元以上100万元</w:t>
            </w:r>
            <w:r>
              <w:rPr>
                <w:rFonts w:hint="default" w:ascii="Times New Roman" w:hAnsi="Times New Roman" w:cs="Times New Roman"/>
                <w:color w:val="auto"/>
                <w:sz w:val="21"/>
                <w:szCs w:val="21"/>
                <w:highlight w:val="none"/>
                <w:shd w:val="clear" w:color="auto" w:fill="auto"/>
                <w:lang/>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highlight w:val="none"/>
                <w:shd w:val="clear" w:color="auto" w:fill="auto"/>
              </w:rPr>
            </w:pPr>
            <w:r>
              <w:rPr>
                <w:rFonts w:hint="default" w:ascii="Times New Roman" w:hAnsi="Times New Roman" w:cs="Times New Roman"/>
                <w:color w:val="auto"/>
                <w:sz w:val="20"/>
                <w:szCs w:val="20"/>
                <w:highlight w:val="none"/>
                <w:shd w:val="clear" w:color="auto" w:fill="auto"/>
              </w:rPr>
              <w:t>4</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none"/>
                <w:shd w:val="clear" w:color="auto" w:fill="auto"/>
              </w:rPr>
            </w:pPr>
          </w:p>
        </w:tc>
        <w:tc>
          <w:tcPr>
            <w:tcW w:w="504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highlight w:val="none"/>
                <w:shd w:val="clear" w:color="auto" w:fill="auto"/>
              </w:rPr>
            </w:pPr>
            <w:r>
              <w:rPr>
                <w:rFonts w:hint="default" w:ascii="Times New Roman" w:hAnsi="Times New Roman" w:cs="Times New Roman"/>
                <w:color w:val="auto"/>
                <w:sz w:val="21"/>
                <w:szCs w:val="21"/>
                <w:highlight w:val="none"/>
                <w:shd w:val="clear" w:color="auto" w:fill="auto"/>
              </w:rPr>
              <w:t>转让设备价</w:t>
            </w:r>
            <w:r>
              <w:rPr>
                <w:rFonts w:hint="default" w:ascii="Times New Roman" w:hAnsi="Times New Roman" w:cs="Times New Roman"/>
                <w:color w:val="auto"/>
                <w:sz w:val="21"/>
                <w:szCs w:val="21"/>
                <w:highlight w:val="none"/>
                <w:shd w:val="clear" w:color="auto" w:fill="auto"/>
                <w:lang w:eastAsia="zh-CN"/>
              </w:rPr>
              <w:t>格</w:t>
            </w:r>
            <w:r>
              <w:rPr>
                <w:rFonts w:hint="default" w:ascii="Times New Roman" w:hAnsi="Times New Roman" w:cs="Times New Roman"/>
                <w:color w:val="auto"/>
                <w:sz w:val="21"/>
                <w:szCs w:val="21"/>
                <w:highlight w:val="none"/>
                <w:shd w:val="clear" w:color="auto" w:fill="auto"/>
              </w:rPr>
              <w:t>100万元以上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highlight w:val="none"/>
                <w:shd w:val="clear" w:color="auto" w:fill="auto"/>
              </w:rPr>
            </w:pPr>
            <w:r>
              <w:rPr>
                <w:rFonts w:hint="default" w:ascii="Times New Roman" w:hAnsi="Times New Roman" w:cs="Times New Roman"/>
                <w:color w:val="auto"/>
                <w:sz w:val="20"/>
                <w:szCs w:val="20"/>
                <w:highlight w:val="none"/>
                <w:shd w:val="clear" w:color="auto" w:fill="auto"/>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highlight w:val="none"/>
                <w:shd w:val="clear" w:color="auto" w:fill="auto"/>
                <w:lang w:val="en-US" w:eastAsia="zh-CN"/>
              </w:rPr>
            </w:pPr>
            <w:r>
              <w:rPr>
                <w:rFonts w:hint="default" w:ascii="Times New Roman" w:hAnsi="Times New Roman" w:cs="Times New Roman"/>
                <w:b/>
                <w:bCs/>
                <w:color w:val="auto"/>
                <w:sz w:val="20"/>
                <w:szCs w:val="20"/>
                <w:highlight w:val="none"/>
                <w:shd w:val="clear" w:color="auto" w:fill="auto"/>
                <w:lang w:val="en-US" w:eastAsia="zh-CN"/>
              </w:rPr>
              <w:t>转让设备产生的固体废物类别</w:t>
            </w:r>
          </w:p>
        </w:tc>
        <w:tc>
          <w:tcPr>
            <w:tcW w:w="504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highlight w:val="none"/>
                <w:shd w:val="clear" w:color="auto" w:fill="auto"/>
              </w:rPr>
            </w:pPr>
            <w:r>
              <w:rPr>
                <w:rFonts w:hint="default" w:ascii="Times New Roman" w:hAnsi="Times New Roman" w:cs="Times New Roman"/>
                <w:color w:val="auto"/>
                <w:sz w:val="21"/>
                <w:szCs w:val="21"/>
                <w:highlight w:val="none"/>
                <w:shd w:val="clear" w:color="auto" w:fill="auto"/>
              </w:rPr>
              <w:t>生活垃圾</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highlight w:val="none"/>
                <w:shd w:val="clear" w:color="auto" w:fill="auto"/>
                <w:lang w:val="en-US" w:eastAsia="zh-CN"/>
              </w:rPr>
            </w:pPr>
            <w:r>
              <w:rPr>
                <w:rFonts w:hint="default" w:ascii="Times New Roman" w:hAnsi="Times New Roman" w:cs="Times New Roman"/>
                <w:color w:val="auto"/>
                <w:sz w:val="20"/>
                <w:szCs w:val="20"/>
                <w:highlight w:val="none"/>
                <w:shd w:val="clear" w:color="auto" w:fill="auto"/>
                <w:lang w:val="en-US" w:eastAsia="zh-CN"/>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highlight w:val="none"/>
                <w:shd w:val="clear" w:color="auto" w:fill="auto"/>
                <w:lang w:val="en-US" w:eastAsia="zh-CN"/>
              </w:rPr>
            </w:pPr>
          </w:p>
        </w:tc>
        <w:tc>
          <w:tcPr>
            <w:tcW w:w="504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highlight w:val="none"/>
                <w:shd w:val="clear" w:color="auto" w:fill="auto"/>
              </w:rPr>
            </w:pPr>
            <w:r>
              <w:rPr>
                <w:rFonts w:hint="default" w:ascii="Times New Roman" w:hAnsi="Times New Roman" w:cs="Times New Roman"/>
                <w:color w:val="auto"/>
                <w:sz w:val="21"/>
                <w:szCs w:val="21"/>
                <w:highlight w:val="none"/>
                <w:shd w:val="clear" w:color="auto" w:fill="auto"/>
              </w:rPr>
              <w:t>I类一般工业固体废物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highlight w:val="none"/>
                <w:shd w:val="clear" w:color="auto" w:fill="auto"/>
                <w:lang w:val="en-US" w:eastAsia="zh-CN"/>
              </w:rPr>
            </w:pPr>
            <w:r>
              <w:rPr>
                <w:rFonts w:hint="default" w:ascii="Times New Roman" w:hAnsi="Times New Roman" w:cs="Times New Roman"/>
                <w:color w:val="auto"/>
                <w:sz w:val="20"/>
                <w:szCs w:val="20"/>
                <w:highlight w:val="none"/>
                <w:shd w:val="clear" w:color="auto" w:fill="auto"/>
                <w:lang w:val="en-US" w:eastAsia="zh-CN"/>
              </w:rPr>
              <w:t>2</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none"/>
                <w:shd w:val="clear" w:color="auto" w:fill="auto"/>
              </w:rPr>
            </w:pPr>
          </w:p>
        </w:tc>
        <w:tc>
          <w:tcPr>
            <w:tcW w:w="504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highlight w:val="none"/>
                <w:shd w:val="clear" w:color="auto" w:fill="auto"/>
              </w:rPr>
            </w:pPr>
            <w:r>
              <w:rPr>
                <w:rFonts w:hint="default" w:ascii="Times New Roman" w:hAnsi="Times New Roman" w:cs="Times New Roman"/>
                <w:color w:val="auto"/>
                <w:sz w:val="21"/>
                <w:szCs w:val="21"/>
                <w:highlight w:val="none"/>
                <w:shd w:val="clear" w:color="auto" w:fill="auto"/>
              </w:rPr>
              <w:t>II类一般工业固体废物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highlight w:val="none"/>
                <w:shd w:val="clear" w:color="auto" w:fill="auto"/>
                <w:lang w:val="en-US" w:eastAsia="zh-CN"/>
              </w:rPr>
            </w:pPr>
            <w:r>
              <w:rPr>
                <w:rFonts w:hint="default" w:ascii="Times New Roman" w:hAnsi="Times New Roman" w:cs="Times New Roman"/>
                <w:color w:val="auto"/>
                <w:sz w:val="20"/>
                <w:szCs w:val="20"/>
                <w:highlight w:val="none"/>
                <w:shd w:val="clear" w:color="auto" w:fill="auto"/>
                <w:lang w:val="en-US" w:eastAsia="zh-CN"/>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none"/>
                <w:shd w:val="clear" w:color="auto" w:fill="auto"/>
              </w:rPr>
            </w:pPr>
          </w:p>
        </w:tc>
        <w:tc>
          <w:tcPr>
            <w:tcW w:w="504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highlight w:val="none"/>
                <w:shd w:val="clear" w:color="auto" w:fill="auto"/>
              </w:rPr>
            </w:pPr>
            <w:r>
              <w:rPr>
                <w:rFonts w:hint="default" w:ascii="Times New Roman" w:hAnsi="Times New Roman" w:cs="Times New Roman"/>
                <w:color w:val="auto"/>
                <w:sz w:val="21"/>
                <w:szCs w:val="21"/>
                <w:highlight w:val="none"/>
                <w:shd w:val="clear" w:color="auto" w:fill="auto"/>
              </w:rPr>
              <w:t>危险废物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highlight w:val="none"/>
                <w:shd w:val="clear" w:color="auto" w:fill="auto"/>
                <w:lang w:val="en-US" w:eastAsia="zh-CN"/>
              </w:rPr>
            </w:pPr>
            <w:r>
              <w:rPr>
                <w:rFonts w:hint="default" w:ascii="Times New Roman" w:hAnsi="Times New Roman" w:cs="Times New Roman"/>
                <w:color w:val="auto"/>
                <w:sz w:val="20"/>
                <w:szCs w:val="20"/>
                <w:highlight w:val="none"/>
                <w:shd w:val="clear" w:color="auto" w:fill="auto"/>
                <w:lang w:val="en-US" w:eastAsia="zh-CN"/>
              </w:rPr>
              <w:t>4</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限期</w:t>
            </w:r>
            <w:r>
              <w:rPr>
                <w:rFonts w:hint="default" w:ascii="Times New Roman" w:hAnsi="Times New Roman" w:cs="Times New Roman"/>
                <w:color w:val="auto"/>
                <w:sz w:val="20"/>
                <w:szCs w:val="20"/>
                <w:shd w:val="clear" w:color="auto" w:fill="auto"/>
              </w:rPr>
              <w:t>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lang w:eastAsia="zh-CN"/>
              </w:rPr>
              <w:t>限期</w:t>
            </w:r>
            <w:r>
              <w:rPr>
                <w:rFonts w:hint="default" w:ascii="Times New Roman" w:hAnsi="Times New Roman" w:cs="Times New Roman"/>
                <w:color w:val="auto"/>
                <w:sz w:val="21"/>
                <w:szCs w:val="21"/>
                <w:shd w:val="clear" w:color="auto" w:fill="auto"/>
              </w:rPr>
              <w:t>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none"/>
                <w:shd w:val="clear" w:color="auto" w:fill="auto"/>
              </w:rPr>
            </w:pPr>
          </w:p>
        </w:tc>
        <w:tc>
          <w:tcPr>
            <w:tcW w:w="504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highlight w:val="none"/>
                <w:shd w:val="clear" w:color="auto" w:fill="auto"/>
              </w:rPr>
            </w:pPr>
            <w:r>
              <w:rPr>
                <w:rFonts w:hint="default" w:ascii="Times New Roman" w:hAnsi="Times New Roman" w:cs="Times New Roman"/>
                <w:color w:val="auto"/>
                <w:sz w:val="21"/>
                <w:szCs w:val="21"/>
                <w:highlight w:val="none"/>
                <w:shd w:val="clear" w:color="auto" w:fill="auto"/>
                <w:lang w:eastAsia="zh-CN"/>
              </w:rPr>
              <w:t>限期</w:t>
            </w:r>
            <w:r>
              <w:rPr>
                <w:rFonts w:hint="default" w:ascii="Times New Roman" w:hAnsi="Times New Roman" w:cs="Times New Roman"/>
                <w:color w:val="auto"/>
                <w:sz w:val="21"/>
                <w:szCs w:val="21"/>
                <w:highlight w:val="none"/>
                <w:shd w:val="clear" w:color="auto" w:fill="auto"/>
              </w:rPr>
              <w:t>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ascii="Times New Roman" w:hAnsi="Times New Roman" w:cs="Times New Roman"/>
          <w:color w:val="auto"/>
          <w:sz w:val="10"/>
          <w:szCs w:val="10"/>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649"/>
      </w:tblGrid>
      <w:tr>
        <w:trPr>
          <w:trHeight w:val="369"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73" w:name="_Toc15333"/>
            <w:r>
              <w:rPr>
                <w:rFonts w:hint="default" w:ascii="Times New Roman" w:hAnsi="Times New Roman" w:cs="Times New Roman"/>
                <w:color w:val="auto"/>
                <w:sz w:val="20"/>
                <w:szCs w:val="20"/>
                <w:shd w:val="clear" w:color="auto" w:fill="auto"/>
              </w:rPr>
              <w:t>4</w:t>
            </w:r>
            <w:bookmarkEnd w:id="173"/>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top"/>
          </w:tcPr>
          <w:p>
            <w:pPr>
              <w:shd w:val="clear" w:color="auto" w:fill="auto"/>
              <w:snapToGrid w:val="0"/>
              <w:spacing w:before="0" w:beforeAutospacing="0" w:after="0" w:afterAutospacing="0" w:line="320" w:lineRule="exact"/>
              <w:ind w:left="0" w:right="0" w:firstLine="420" w:firstLineChars="200"/>
              <w:outlineLvl w:val="9"/>
              <w:rPr>
                <w:rFonts w:hint="default" w:ascii="Times New Roman" w:hAnsi="Times New Roman" w:cs="Times New Roman"/>
                <w:color w:val="auto"/>
                <w:sz w:val="20"/>
                <w:szCs w:val="20"/>
                <w:shd w:val="clear" w:color="auto" w:fill="auto"/>
              </w:rPr>
            </w:pPr>
            <w:bookmarkStart w:id="174" w:name="_Toc31549"/>
            <w:r>
              <w:rPr>
                <w:rFonts w:hint="default" w:ascii="Times New Roman" w:hAnsi="Times New Roman" w:cs="Times New Roman"/>
                <w:color w:val="auto"/>
                <w:sz w:val="20"/>
                <w:szCs w:val="20"/>
                <w:shd w:val="clear" w:color="auto" w:fill="auto"/>
              </w:rPr>
              <w:t>在生态保护红线区域、永久基本农田集中区域和其他需要特别保护的区域内，禁止建设工业固体废物、危险废物集中贮存、利用、处置的设施、场所和生活垃圾填埋场</w:t>
            </w:r>
            <w:bookmarkEnd w:id="174"/>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top"/>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《中华人民共和国固体废物污染环境防治法》第二十一条</w:t>
            </w:r>
            <w:r>
              <w:rPr>
                <w:rFonts w:hint="default" w:ascii="Times New Roman" w:hAnsi="Times New Roman" w:cs="Times New Roman"/>
                <w:color w:val="auto"/>
                <w:sz w:val="21"/>
                <w:szCs w:val="21"/>
                <w:shd w:val="clear" w:color="auto" w:fill="auto"/>
              </w:rPr>
              <w:t xml:space="preserve"> </w:t>
            </w:r>
            <w:r>
              <w:rPr>
                <w:rFonts w:hint="default" w:ascii="Times New Roman" w:hAnsi="Times New Roman" w:cs="Times New Roman"/>
                <w:color w:val="auto"/>
                <w:kern w:val="2"/>
                <w:sz w:val="21"/>
                <w:szCs w:val="21"/>
                <w:shd w:val="clear" w:color="auto" w:fill="auto"/>
              </w:rPr>
              <w:t>在生态保护红线区域、永久基本农田集中区域和其他需要特别保护的区域内，禁止建设工业固体废物、危险废物集中贮存、利用、处置的设施、场所和生活垃圾填埋场。</w:t>
            </w:r>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top"/>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《中华人民共和国固体废物污染环境防治法》</w:t>
            </w:r>
            <w:r>
              <w:rPr>
                <w:rFonts w:hint="default" w:ascii="Times New Roman" w:hAnsi="Times New Roman" w:cs="Times New Roman"/>
                <w:b/>
                <w:bCs/>
                <w:color w:val="auto"/>
                <w:kern w:val="0"/>
                <w:sz w:val="20"/>
                <w:szCs w:val="20"/>
                <w:shd w:val="clear" w:color="auto" w:fill="auto"/>
              </w:rPr>
              <w:t>第一百零二条第一款第（四）项、第二款</w:t>
            </w:r>
            <w:r>
              <w:rPr>
                <w:rFonts w:hint="default" w:ascii="Times New Roman" w:hAnsi="Times New Roman" w:cs="Times New Roman"/>
                <w:color w:val="auto"/>
                <w:sz w:val="20"/>
                <w:szCs w:val="20"/>
                <w:shd w:val="clear" w:color="auto" w:fill="auto"/>
              </w:rPr>
              <w:t>　违反本法规定，有下列行为之一，由生态环境主管部门责令改正，处以罚款，没收违法所得；情节严重的，报经有批准权的人民政府批准，可以责令停业或者关闭：</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（四）在生态保护红线区域、永久基本农田集中区域和其他需要特别保护的区域内，建设工业固体废物、危险废物集中贮存、利用、处置的设施、场所和生活垃圾填埋场的；</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r>
      <w:tr>
        <w:trPr>
          <w:trHeight w:val="386"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86"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★固体废物</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rPr>
              <w:t>类别</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生活垃圾</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yellow"/>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第Ⅰ类一般工业固体废物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yellow"/>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第Ⅱ类一般工业固体废物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yellow"/>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危险废物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86"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highlight w:val="none"/>
                <w:shd w:val="clear" w:color="auto" w:fill="auto"/>
              </w:rPr>
              <w:t>贮存、处置、填埋能力</w:t>
            </w:r>
          </w:p>
        </w:tc>
        <w:tc>
          <w:tcPr>
            <w:tcW w:w="5043" w:type="dxa"/>
            <w:vAlign w:val="center"/>
          </w:tcPr>
          <w:p>
            <w:pPr>
              <w:pStyle w:val="19"/>
              <w:shd w:val="clear" w:color="auto" w:fill="auto"/>
              <w:snapToGrid w:val="0"/>
              <w:spacing w:before="0" w:beforeAutospacing="0" w:after="0" w:afterAutospacing="0" w:line="320" w:lineRule="exact"/>
              <w:ind w:left="2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1000m</w:t>
            </w:r>
            <w:r>
              <w:rPr>
                <w:rFonts w:hint="default" w:ascii="Times New Roman" w:hAnsi="Times New Roman" w:cs="Times New Roman"/>
                <w:color w:val="auto"/>
                <w:sz w:val="21"/>
                <w:szCs w:val="21"/>
                <w:shd w:val="clear" w:color="auto" w:fill="auto"/>
                <w:vertAlign w:val="superscript"/>
              </w:rPr>
              <w:t>3</w:t>
            </w:r>
            <w:r>
              <w:rPr>
                <w:rFonts w:hint="default" w:ascii="Times New Roman" w:hAnsi="Times New Roman" w:cs="Times New Roman"/>
                <w:color w:val="auto"/>
                <w:sz w:val="21"/>
                <w:szCs w:val="21"/>
                <w:shd w:val="clear" w:color="auto" w:fill="auto"/>
              </w:rPr>
              <w:t>以下的</w:t>
            </w:r>
          </w:p>
        </w:tc>
        <w:tc>
          <w:tcPr>
            <w:tcW w:w="2649"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1000m</w:t>
            </w:r>
            <w:r>
              <w:rPr>
                <w:rFonts w:hint="default" w:ascii="Times New Roman" w:hAnsi="Times New Roman" w:cs="Times New Roman"/>
                <w:color w:val="auto"/>
                <w:sz w:val="21"/>
                <w:szCs w:val="21"/>
                <w:shd w:val="clear" w:color="auto" w:fill="auto"/>
                <w:vertAlign w:val="superscript"/>
              </w:rPr>
              <w:t>3</w:t>
            </w:r>
            <w:r>
              <w:rPr>
                <w:rFonts w:hint="default" w:ascii="Times New Roman" w:hAnsi="Times New Roman" w:cs="Times New Roman"/>
                <w:color w:val="auto"/>
                <w:sz w:val="21"/>
                <w:szCs w:val="21"/>
                <w:shd w:val="clear" w:color="auto" w:fill="auto"/>
              </w:rPr>
              <w:t>以上2000m</w:t>
            </w:r>
            <w:r>
              <w:rPr>
                <w:rFonts w:hint="default" w:ascii="Times New Roman" w:hAnsi="Times New Roman" w:cs="Times New Roman"/>
                <w:color w:val="auto"/>
                <w:sz w:val="21"/>
                <w:szCs w:val="21"/>
                <w:shd w:val="clear" w:color="auto" w:fill="auto"/>
                <w:vertAlign w:val="superscript"/>
              </w:rPr>
              <w:t>3</w:t>
            </w:r>
            <w:r>
              <w:rPr>
                <w:rFonts w:hint="default" w:ascii="Times New Roman" w:hAnsi="Times New Roman" w:cs="Times New Roman"/>
                <w:color w:val="auto"/>
                <w:sz w:val="21"/>
                <w:szCs w:val="21"/>
                <w:shd w:val="clear" w:color="auto" w:fill="auto"/>
              </w:rPr>
              <w:t>以下的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2000m</w:t>
            </w:r>
            <w:r>
              <w:rPr>
                <w:rFonts w:hint="default" w:ascii="Times New Roman" w:hAnsi="Times New Roman" w:cs="Times New Roman"/>
                <w:color w:val="auto"/>
                <w:sz w:val="21"/>
                <w:szCs w:val="21"/>
                <w:shd w:val="clear" w:color="auto" w:fill="auto"/>
                <w:vertAlign w:val="superscript"/>
              </w:rPr>
              <w:t>3</w:t>
            </w:r>
            <w:r>
              <w:rPr>
                <w:rFonts w:hint="default" w:ascii="Times New Roman" w:hAnsi="Times New Roman" w:cs="Times New Roman"/>
                <w:color w:val="auto"/>
                <w:sz w:val="21"/>
                <w:szCs w:val="21"/>
                <w:shd w:val="clear" w:color="auto" w:fill="auto"/>
              </w:rPr>
              <w:t>以上5000m</w:t>
            </w:r>
            <w:r>
              <w:rPr>
                <w:rFonts w:hint="default" w:ascii="Times New Roman" w:hAnsi="Times New Roman" w:cs="Times New Roman"/>
                <w:color w:val="auto"/>
                <w:sz w:val="21"/>
                <w:szCs w:val="21"/>
                <w:shd w:val="clear" w:color="auto" w:fill="auto"/>
                <w:vertAlign w:val="superscript"/>
              </w:rPr>
              <w:t>3</w:t>
            </w:r>
            <w:r>
              <w:rPr>
                <w:rFonts w:hint="default" w:ascii="Times New Roman" w:hAnsi="Times New Roman" w:cs="Times New Roman"/>
                <w:color w:val="auto"/>
                <w:sz w:val="21"/>
                <w:szCs w:val="21"/>
                <w:shd w:val="clear" w:color="auto" w:fill="auto"/>
              </w:rPr>
              <w:t>以下的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5000m</w:t>
            </w:r>
            <w:r>
              <w:rPr>
                <w:rFonts w:hint="default" w:ascii="Times New Roman" w:hAnsi="Times New Roman" w:cs="Times New Roman"/>
                <w:color w:val="auto"/>
                <w:sz w:val="21"/>
                <w:szCs w:val="21"/>
                <w:shd w:val="clear" w:color="auto" w:fill="auto"/>
                <w:vertAlign w:val="superscript"/>
              </w:rPr>
              <w:t>3</w:t>
            </w:r>
            <w:r>
              <w:rPr>
                <w:rFonts w:hint="default" w:ascii="Times New Roman" w:hAnsi="Times New Roman" w:cs="Times New Roman"/>
                <w:color w:val="auto"/>
                <w:sz w:val="21"/>
                <w:szCs w:val="21"/>
                <w:shd w:val="clear" w:color="auto" w:fill="auto"/>
              </w:rPr>
              <w:t>以上10000m</w:t>
            </w:r>
            <w:r>
              <w:rPr>
                <w:rFonts w:hint="default" w:ascii="Times New Roman" w:hAnsi="Times New Roman" w:cs="Times New Roman"/>
                <w:color w:val="auto"/>
                <w:sz w:val="21"/>
                <w:szCs w:val="21"/>
                <w:shd w:val="clear" w:color="auto" w:fill="auto"/>
                <w:vertAlign w:val="superscript"/>
              </w:rPr>
              <w:t>3</w:t>
            </w:r>
            <w:r>
              <w:rPr>
                <w:rFonts w:hint="default" w:ascii="Times New Roman" w:hAnsi="Times New Roman" w:cs="Times New Roman"/>
                <w:color w:val="auto"/>
                <w:sz w:val="21"/>
                <w:szCs w:val="21"/>
                <w:shd w:val="clear" w:color="auto" w:fill="auto"/>
              </w:rPr>
              <w:t>以下的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10000m</w:t>
            </w:r>
            <w:r>
              <w:rPr>
                <w:rFonts w:hint="default" w:ascii="Times New Roman" w:hAnsi="Times New Roman" w:cs="Times New Roman"/>
                <w:color w:val="auto"/>
                <w:sz w:val="21"/>
                <w:szCs w:val="21"/>
                <w:shd w:val="clear" w:color="auto" w:fill="auto"/>
                <w:vertAlign w:val="superscript"/>
              </w:rPr>
              <w:t>3</w:t>
            </w:r>
            <w:r>
              <w:rPr>
                <w:rFonts w:hint="default" w:ascii="Times New Roman" w:hAnsi="Times New Roman" w:cs="Times New Roman"/>
                <w:color w:val="auto"/>
                <w:sz w:val="21"/>
                <w:szCs w:val="21"/>
                <w:shd w:val="clear" w:color="auto" w:fill="auto"/>
              </w:rPr>
              <w:t>以上的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污染防治</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设施</w:t>
            </w: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配套设施齐全，且规范使用</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配套设施齐全，未规范使用</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配套设施不齐全</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2090" w:firstLineChars="1100"/>
              <w:jc w:val="both"/>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69"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受处罚次数</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69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5161"/>
        <w:gridCol w:w="2649"/>
      </w:tblGrid>
      <w:tr>
        <w:trPr>
          <w:trHeight w:val="369"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69" w:hRule="atLeast"/>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810"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75" w:name="_Toc21840"/>
            <w:r>
              <w:rPr>
                <w:rFonts w:hint="default" w:ascii="Times New Roman" w:hAnsi="Times New Roman" w:cs="Times New Roman"/>
                <w:color w:val="auto"/>
                <w:sz w:val="20"/>
                <w:szCs w:val="20"/>
                <w:shd w:val="clear" w:color="auto" w:fill="auto"/>
              </w:rPr>
              <w:t>5</w:t>
            </w:r>
            <w:bookmarkEnd w:id="175"/>
          </w:p>
        </w:tc>
      </w:tr>
      <w:tr>
        <w:trPr>
          <w:trHeight w:val="369" w:hRule="atLeast"/>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810" w:type="dxa"/>
            <w:gridSpan w:val="2"/>
            <w:vAlign w:val="top"/>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76" w:name="_Toc5619"/>
            <w:r>
              <w:rPr>
                <w:rFonts w:hint="default" w:ascii="Times New Roman" w:hAnsi="Times New Roman" w:cs="Times New Roman"/>
                <w:color w:val="auto"/>
                <w:sz w:val="20"/>
                <w:szCs w:val="20"/>
                <w:shd w:val="clear" w:color="auto" w:fill="auto"/>
              </w:rPr>
              <w:t>转移固体废物出省、自治区、直辖市行政区域贮存、处置未经批准的</w:t>
            </w:r>
            <w:bookmarkEnd w:id="176"/>
          </w:p>
        </w:tc>
      </w:tr>
      <w:tr>
        <w:trPr>
          <w:trHeight w:val="369" w:hRule="atLeast"/>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810" w:type="dxa"/>
            <w:gridSpan w:val="2"/>
            <w:vAlign w:val="top"/>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《中华人民共和国固体废物污染环境防治法》第二十二条第一款</w:t>
            </w:r>
            <w:r>
              <w:rPr>
                <w:rFonts w:hint="default" w:ascii="Times New Roman" w:hAnsi="Times New Roman" w:cs="Times New Roman"/>
                <w:color w:val="auto"/>
                <w:sz w:val="21"/>
                <w:szCs w:val="21"/>
                <w:shd w:val="clear" w:color="auto" w:fill="auto"/>
              </w:rPr>
              <w:t xml:space="preserve"> </w:t>
            </w:r>
            <w:r>
              <w:rPr>
                <w:rFonts w:hint="default" w:ascii="Times New Roman" w:hAnsi="Times New Roman" w:cs="Times New Roman"/>
                <w:color w:val="auto"/>
                <w:kern w:val="2"/>
                <w:sz w:val="21"/>
                <w:szCs w:val="21"/>
                <w:shd w:val="clear" w:color="auto" w:fill="auto"/>
              </w:rPr>
              <w:t>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主管部门同意后，在规定期限内批准转移该固体废物出省、自治区、直辖市行政区域。未经批准的，不得转移。</w:t>
            </w:r>
          </w:p>
        </w:tc>
      </w:tr>
      <w:tr>
        <w:trPr>
          <w:trHeight w:val="369" w:hRule="atLeast"/>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810" w:type="dxa"/>
            <w:gridSpan w:val="2"/>
            <w:vAlign w:val="top"/>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《中华人民共和国固体废物污染环境防治法》</w:t>
            </w:r>
            <w:r>
              <w:rPr>
                <w:rFonts w:hint="default" w:ascii="Times New Roman" w:hAnsi="Times New Roman" w:cs="Times New Roman"/>
                <w:b/>
                <w:bCs/>
                <w:color w:val="auto"/>
                <w:kern w:val="0"/>
                <w:sz w:val="20"/>
                <w:szCs w:val="20"/>
                <w:shd w:val="clear" w:color="auto" w:fill="auto"/>
              </w:rPr>
              <w:t>第一百零二条第一款第（五）项</w:t>
            </w:r>
            <w:r>
              <w:rPr>
                <w:rFonts w:hint="default" w:ascii="Times New Roman" w:hAnsi="Times New Roman" w:cs="Times New Roman"/>
                <w:color w:val="auto"/>
                <w:sz w:val="20"/>
                <w:szCs w:val="20"/>
                <w:shd w:val="clear" w:color="auto" w:fill="auto"/>
              </w:rPr>
              <w:t>　</w:t>
            </w:r>
            <w:r>
              <w:rPr>
                <w:rFonts w:hint="default" w:ascii="Times New Roman" w:hAnsi="Times New Roman" w:cs="Times New Roman"/>
                <w:b/>
                <w:bCs/>
                <w:color w:val="auto"/>
                <w:kern w:val="0"/>
                <w:sz w:val="20"/>
                <w:szCs w:val="20"/>
                <w:shd w:val="clear" w:color="auto" w:fill="auto"/>
              </w:rPr>
              <w:t>、第二款</w:t>
            </w:r>
            <w:r>
              <w:rPr>
                <w:rFonts w:hint="default" w:ascii="Times New Roman" w:hAnsi="Times New Roman" w:cs="Times New Roman"/>
                <w:color w:val="auto"/>
                <w:sz w:val="20"/>
                <w:szCs w:val="20"/>
                <w:shd w:val="clear" w:color="auto" w:fill="auto"/>
              </w:rPr>
              <w:t>　违反本法规定，有下列行为之一，由生态环境主管部门责令改正，处以罚款，没收违法所得；情节严重的，报经有批准权的人民政府批准，可以责令停业或者关闭：</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（五）转移固体废物出省、自治区、直辖市行政区域贮存、处置未经批准的；</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r>
      <w:tr>
        <w:trPr>
          <w:trHeight w:val="369" w:hRule="atLeast"/>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★转移</w:t>
            </w:r>
            <w:r>
              <w:rPr>
                <w:rFonts w:hint="default" w:ascii="Times New Roman" w:hAnsi="Times New Roman" w:cs="Times New Roman"/>
                <w:b/>
                <w:bCs/>
                <w:color w:val="auto"/>
                <w:sz w:val="20"/>
                <w:szCs w:val="20"/>
                <w:shd w:val="clear" w:color="auto" w:fill="auto"/>
                <w:lang w:val="en-US"/>
              </w:rPr>
              <w:t>贮存</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lang w:val="en-US"/>
              </w:rPr>
              <w:t>处置</w:t>
            </w:r>
            <w:r>
              <w:rPr>
                <w:rFonts w:hint="default" w:ascii="Times New Roman" w:hAnsi="Times New Roman" w:cs="Times New Roman"/>
                <w:b/>
                <w:bCs/>
                <w:color w:val="auto"/>
                <w:sz w:val="20"/>
                <w:szCs w:val="20"/>
                <w:shd w:val="clear" w:color="auto" w:fill="auto"/>
              </w:rPr>
              <w:t>量</w:t>
            </w:r>
          </w:p>
        </w:tc>
        <w:tc>
          <w:tcPr>
            <w:tcW w:w="51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30吨以下</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30吨以上100吨以下</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100吨以上500吨以下</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500吨以上1000吨以下</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4</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1000吨以上</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w:t>
            </w:r>
          </w:p>
        </w:tc>
      </w:tr>
      <w:tr>
        <w:trPr>
          <w:trHeight w:val="425" w:hRule="atLeast"/>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w:t>
            </w:r>
            <w:r>
              <w:rPr>
                <w:rFonts w:hint="default" w:ascii="Times New Roman" w:hAnsi="Times New Roman" w:cs="Times New Roman"/>
                <w:b/>
                <w:bCs/>
                <w:color w:val="auto"/>
                <w:sz w:val="20"/>
                <w:szCs w:val="20"/>
                <w:shd w:val="clear" w:color="auto" w:fill="auto"/>
                <w:lang w:val="en-US"/>
              </w:rPr>
              <w:t>规模</w:t>
            </w:r>
          </w:p>
        </w:tc>
        <w:tc>
          <w:tcPr>
            <w:tcW w:w="51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20" w:lineRule="exact"/>
              <w:ind w:left="0" w:right="0" w:firstLine="2090" w:firstLineChars="1100"/>
              <w:jc w:val="both"/>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425" w:hRule="atLeast"/>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161" w:type="dxa"/>
            <w:vAlign w:val="center"/>
          </w:tcPr>
          <w:p>
            <w:pPr>
              <w:shd w:val="clear" w:color="auto" w:fill="auto"/>
              <w:spacing w:before="0" w:beforeAutospacing="0" w:after="0" w:afterAutospacing="0" w:line="300" w:lineRule="exact"/>
              <w:ind w:left="0" w:right="0" w:firstLine="2100" w:firstLineChars="1000"/>
              <w:rPr>
                <w:rFonts w:hint="default" w:ascii="Times New Roman" w:hAnsi="Times New Roman" w:eastAsia="宋体" w:cs="Times New Roman"/>
                <w:color w:val="auto"/>
                <w:sz w:val="21"/>
                <w:szCs w:val="21"/>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pacing w:before="0" w:beforeAutospacing="0" w:after="0" w:afterAutospacing="0" w:line="300" w:lineRule="exact"/>
              <w:ind w:left="0" w:right="0" w:firstLine="2100" w:firstLineChars="1000"/>
              <w:rPr>
                <w:rFonts w:hint="default" w:ascii="Times New Roman" w:hAnsi="Times New Roman" w:eastAsia="宋体" w:cs="Times New Roman"/>
                <w:color w:val="auto"/>
                <w:sz w:val="21"/>
                <w:szCs w:val="21"/>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425" w:hRule="atLeast"/>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跨省（自治区、直辖市）数量</w:t>
            </w:r>
          </w:p>
        </w:tc>
        <w:tc>
          <w:tcPr>
            <w:tcW w:w="51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1个省</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2个省</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3个省</w:t>
            </w:r>
            <w:r>
              <w:rPr>
                <w:rFonts w:hint="eastAsia" w:ascii="Times New Roman" w:hAnsi="Times New Roman" w:cs="Times New Roman"/>
                <w:color w:val="auto"/>
                <w:sz w:val="20"/>
                <w:szCs w:val="20"/>
                <w:shd w:val="clear" w:color="auto" w:fill="auto"/>
                <w:lang w:val="en-US" w:eastAsia="zh-CN"/>
              </w:rPr>
              <w:t>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转移次数</w:t>
            </w:r>
          </w:p>
        </w:tc>
        <w:tc>
          <w:tcPr>
            <w:tcW w:w="51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3次</w:t>
            </w:r>
            <w:r>
              <w:rPr>
                <w:rFonts w:hint="eastAsia" w:ascii="Times New Roman" w:hAnsi="Times New Roman" w:cs="Times New Roman"/>
                <w:color w:val="auto"/>
                <w:sz w:val="20"/>
                <w:szCs w:val="20"/>
                <w:shd w:val="clear" w:color="auto" w:fill="auto"/>
                <w:lang w:val="en-US" w:eastAsia="zh-CN"/>
              </w:rPr>
              <w:t>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highlight w:val="none"/>
                <w:shd w:val="clear" w:color="auto" w:fill="auto"/>
                <w:lang w:eastAsia="zh-CN"/>
              </w:rPr>
              <w:t>固体废物类别</w:t>
            </w:r>
          </w:p>
        </w:tc>
        <w:tc>
          <w:tcPr>
            <w:tcW w:w="51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1"/>
                <w:szCs w:val="21"/>
                <w:shd w:val="clear" w:color="auto" w:fill="auto"/>
                <w:lang w:eastAsia="zh-CN"/>
              </w:rPr>
            </w:pPr>
            <w:r>
              <w:rPr>
                <w:rFonts w:hint="default" w:ascii="Times New Roman" w:hAnsi="Times New Roman" w:cs="Times New Roman"/>
                <w:color w:val="auto"/>
                <w:sz w:val="21"/>
                <w:szCs w:val="21"/>
                <w:shd w:val="clear" w:color="auto" w:fill="auto"/>
                <w:lang w:eastAsia="zh-CN"/>
              </w:rPr>
              <w:t>生活垃圾</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第Ⅰ类一般工业固体废物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第Ⅱ类一般工业固体废物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1"/>
                <w:szCs w:val="21"/>
                <w:shd w:val="clear" w:color="auto" w:fill="auto"/>
                <w:lang w:eastAsia="zh-CN"/>
              </w:rPr>
            </w:pPr>
            <w:r>
              <w:rPr>
                <w:rFonts w:hint="default" w:ascii="Times New Roman" w:hAnsi="Times New Roman" w:cs="Times New Roman"/>
                <w:color w:val="auto"/>
                <w:sz w:val="21"/>
                <w:szCs w:val="21"/>
                <w:shd w:val="clear" w:color="auto" w:fill="auto"/>
                <w:lang w:eastAsia="zh-CN"/>
              </w:rPr>
              <w:t>危险废物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次数</w:t>
            </w:r>
          </w:p>
        </w:tc>
        <w:tc>
          <w:tcPr>
            <w:tcW w:w="51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425" w:hRule="atLeast"/>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6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810"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5161"/>
        <w:gridCol w:w="2649"/>
      </w:tblGrid>
      <w:tr>
        <w:trPr>
          <w:trHeight w:val="369"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69" w:hRule="atLeast"/>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810"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77" w:name="_Toc25062"/>
            <w:r>
              <w:rPr>
                <w:rFonts w:hint="default" w:ascii="Times New Roman" w:hAnsi="Times New Roman" w:cs="Times New Roman"/>
                <w:color w:val="auto"/>
                <w:sz w:val="20"/>
                <w:szCs w:val="20"/>
                <w:shd w:val="clear" w:color="auto" w:fill="auto"/>
              </w:rPr>
              <w:t>6</w:t>
            </w:r>
            <w:bookmarkEnd w:id="177"/>
          </w:p>
        </w:tc>
      </w:tr>
      <w:tr>
        <w:trPr>
          <w:trHeight w:val="369" w:hRule="atLeast"/>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810" w:type="dxa"/>
            <w:gridSpan w:val="2"/>
            <w:vAlign w:val="top"/>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78" w:name="_Toc9511"/>
            <w:r>
              <w:rPr>
                <w:rFonts w:hint="default" w:ascii="Times New Roman" w:hAnsi="Times New Roman" w:cs="Times New Roman"/>
                <w:color w:val="auto"/>
                <w:sz w:val="20"/>
                <w:szCs w:val="20"/>
                <w:shd w:val="clear" w:color="auto" w:fill="auto"/>
              </w:rPr>
              <w:t>转移固体废物出省、自治区、直辖市行政区域利用未报备案的</w:t>
            </w:r>
            <w:bookmarkEnd w:id="178"/>
          </w:p>
        </w:tc>
      </w:tr>
      <w:tr>
        <w:trPr>
          <w:trHeight w:val="1710" w:hRule="atLeast"/>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810" w:type="dxa"/>
            <w:gridSpan w:val="2"/>
            <w:vAlign w:val="center"/>
          </w:tcPr>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《中华人民共和国固体废物污染环境防治法》第二十二条第二款</w:t>
            </w:r>
            <w:r>
              <w:rPr>
                <w:rFonts w:hint="default" w:ascii="Times New Roman" w:hAnsi="Times New Roman" w:cs="Times New Roman"/>
                <w:color w:val="auto"/>
                <w:sz w:val="21"/>
                <w:szCs w:val="21"/>
                <w:shd w:val="clear" w:color="auto" w:fill="auto"/>
              </w:rPr>
              <w:t xml:space="preserve">  </w:t>
            </w:r>
            <w:r>
              <w:rPr>
                <w:rFonts w:hint="default" w:ascii="Times New Roman" w:hAnsi="Times New Roman" w:cs="Times New Roman"/>
                <w:color w:val="auto"/>
                <w:kern w:val="2"/>
                <w:sz w:val="21"/>
                <w:szCs w:val="21"/>
                <w:shd w:val="clear" w:color="auto" w:fill="auto"/>
              </w:rPr>
              <w:t>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p>
        </w:tc>
      </w:tr>
      <w:tr>
        <w:trPr>
          <w:trHeight w:val="3370" w:hRule="atLeast"/>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810"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《中华人民共和国固体废物污染环境防治法》</w:t>
            </w:r>
            <w:r>
              <w:rPr>
                <w:rFonts w:hint="default" w:ascii="Times New Roman" w:hAnsi="Times New Roman" w:cs="Times New Roman"/>
                <w:b/>
                <w:bCs/>
                <w:color w:val="auto"/>
                <w:kern w:val="0"/>
                <w:sz w:val="20"/>
                <w:szCs w:val="20"/>
                <w:shd w:val="clear" w:color="auto" w:fill="auto"/>
              </w:rPr>
              <w:t>第一百零二条第一款第（六）项</w:t>
            </w:r>
            <w:r>
              <w:rPr>
                <w:rFonts w:hint="default" w:ascii="Times New Roman" w:hAnsi="Times New Roman" w:cs="Times New Roman"/>
                <w:color w:val="auto"/>
                <w:sz w:val="20"/>
                <w:szCs w:val="20"/>
                <w:shd w:val="clear" w:color="auto" w:fill="auto"/>
              </w:rPr>
              <w:t>　</w:t>
            </w:r>
            <w:r>
              <w:rPr>
                <w:rFonts w:hint="default" w:ascii="Times New Roman" w:hAnsi="Times New Roman" w:cs="Times New Roman"/>
                <w:b/>
                <w:bCs/>
                <w:color w:val="auto"/>
                <w:kern w:val="0"/>
                <w:sz w:val="20"/>
                <w:szCs w:val="20"/>
                <w:shd w:val="clear" w:color="auto" w:fill="auto"/>
              </w:rPr>
              <w:t>、第二款</w:t>
            </w:r>
            <w:r>
              <w:rPr>
                <w:rFonts w:hint="default" w:ascii="Times New Roman" w:hAnsi="Times New Roman" w:cs="Times New Roman"/>
                <w:color w:val="auto"/>
                <w:sz w:val="20"/>
                <w:szCs w:val="20"/>
                <w:shd w:val="clear" w:color="auto" w:fill="auto"/>
              </w:rPr>
              <w:t>　违反本法规定，有下列行为之一，由生态环境主管部门责令改正，处以罚款，没收违法所得；情节严重的，报经有批准权的人民政府批准，可以责令停业或者关闭：</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（六）转移固体废物出省、自治区、直辖市行政区域利用未报备案的；</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r>
      <w:tr>
        <w:trPr>
          <w:trHeight w:val="397" w:hRule="atLeast"/>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★转移</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利用</w:t>
            </w:r>
            <w:r>
              <w:rPr>
                <w:rFonts w:hint="default" w:ascii="Times New Roman" w:hAnsi="Times New Roman" w:cs="Times New Roman"/>
                <w:b/>
                <w:bCs/>
                <w:color w:val="auto"/>
                <w:sz w:val="20"/>
                <w:szCs w:val="20"/>
                <w:shd w:val="clear" w:color="auto" w:fill="auto"/>
              </w:rPr>
              <w:t>量</w:t>
            </w:r>
          </w:p>
        </w:tc>
        <w:tc>
          <w:tcPr>
            <w:tcW w:w="51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30吨以下</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30吨以上100吨以下</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100吨以上500吨以下</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500吨以上1000吨以下</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4</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1000吨以上</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w:t>
            </w:r>
          </w:p>
        </w:tc>
      </w:tr>
      <w:tr>
        <w:trPr>
          <w:trHeight w:val="425" w:hRule="atLeast"/>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跨省（自治区、直辖市）数量</w:t>
            </w:r>
          </w:p>
        </w:tc>
        <w:tc>
          <w:tcPr>
            <w:tcW w:w="51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1个省</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2个省</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3个省</w:t>
            </w:r>
            <w:r>
              <w:rPr>
                <w:rFonts w:hint="eastAsia" w:ascii="Times New Roman" w:hAnsi="Times New Roman" w:cs="Times New Roman"/>
                <w:color w:val="auto"/>
                <w:sz w:val="20"/>
                <w:szCs w:val="20"/>
                <w:shd w:val="clear" w:color="auto" w:fill="auto"/>
                <w:lang w:val="en-US" w:eastAsia="zh-CN"/>
              </w:rPr>
              <w:t>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转移次数</w:t>
            </w:r>
          </w:p>
        </w:tc>
        <w:tc>
          <w:tcPr>
            <w:tcW w:w="51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3次</w:t>
            </w:r>
            <w:r>
              <w:rPr>
                <w:rFonts w:hint="eastAsia" w:ascii="Times New Roman" w:hAnsi="Times New Roman" w:cs="Times New Roman"/>
                <w:color w:val="auto"/>
                <w:sz w:val="20"/>
                <w:szCs w:val="20"/>
                <w:shd w:val="clear" w:color="auto" w:fill="auto"/>
                <w:lang w:val="en-US" w:eastAsia="zh-CN"/>
              </w:rPr>
              <w:t>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w:t>
            </w:r>
            <w:r>
              <w:rPr>
                <w:rFonts w:hint="default" w:ascii="Times New Roman" w:hAnsi="Times New Roman" w:cs="Times New Roman"/>
                <w:b/>
                <w:bCs/>
                <w:color w:val="auto"/>
                <w:sz w:val="20"/>
                <w:szCs w:val="20"/>
                <w:shd w:val="clear" w:color="auto" w:fill="auto"/>
                <w:lang w:val="en-US"/>
              </w:rPr>
              <w:t>规模</w:t>
            </w:r>
          </w:p>
        </w:tc>
        <w:tc>
          <w:tcPr>
            <w:tcW w:w="51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20" w:lineRule="exact"/>
              <w:ind w:left="0" w:right="0" w:firstLine="2090" w:firstLineChars="1100"/>
              <w:jc w:val="both"/>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425" w:hRule="atLeast"/>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highlight w:val="none"/>
                <w:shd w:val="clear" w:color="auto" w:fill="auto"/>
                <w:lang w:val="en-US"/>
              </w:rPr>
            </w:pPr>
            <w:r>
              <w:rPr>
                <w:rFonts w:hint="default" w:ascii="Times New Roman" w:hAnsi="Times New Roman" w:cs="Times New Roman"/>
                <w:b/>
                <w:bCs/>
                <w:color w:val="auto"/>
                <w:sz w:val="20"/>
                <w:szCs w:val="20"/>
                <w:highlight w:val="none"/>
                <w:shd w:val="clear" w:color="auto" w:fill="auto"/>
                <w:lang w:val="en-US"/>
              </w:rPr>
              <w:t>管理类别</w:t>
            </w:r>
          </w:p>
        </w:tc>
        <w:tc>
          <w:tcPr>
            <w:tcW w:w="5161" w:type="dxa"/>
            <w:vAlign w:val="center"/>
          </w:tcPr>
          <w:p>
            <w:pPr>
              <w:shd w:val="clear" w:color="auto" w:fill="auto"/>
              <w:snapToGrid w:val="0"/>
              <w:spacing w:before="0" w:beforeAutospacing="0" w:after="0" w:afterAutospacing="0" w:line="300" w:lineRule="exact"/>
              <w:ind w:left="0" w:right="0" w:firstLine="0" w:firstLineChars="0"/>
              <w:jc w:val="center"/>
              <w:rPr>
                <w:rStyle w:val="14"/>
                <w:rFonts w:hint="default" w:ascii="Times New Roman" w:hAnsi="Times New Roman" w:eastAsia="黑体" w:cs="Times New Roman"/>
                <w:i w:val="0"/>
                <w:iCs w:val="0"/>
                <w:caps w:val="0"/>
                <w:color w:val="auto"/>
                <w:spacing w:val="0"/>
                <w:sz w:val="19"/>
                <w:szCs w:val="19"/>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lang w:eastAsia="zh-CN" w:bidi="ar-SA"/>
              </w:rPr>
            </w:pPr>
            <w:r>
              <w:rPr>
                <w:rFonts w:hint="default" w:ascii="Times New Roman" w:hAnsi="Times New Roman" w:cs="Times New Roman"/>
                <w:color w:val="auto"/>
                <w:kern w:val="2"/>
                <w:sz w:val="21"/>
                <w:szCs w:val="21"/>
                <w:shd w:val="clear" w:color="auto" w:fill="auto"/>
                <w:lang w:eastAsia="zh-CN" w:bidi="ar-SA"/>
              </w:rPr>
              <w:t>1</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none"/>
                <w:shd w:val="clear" w:color="auto" w:fill="auto"/>
                <w:lang w:eastAsia="zh-CN"/>
              </w:rPr>
            </w:pPr>
          </w:p>
        </w:tc>
        <w:tc>
          <w:tcPr>
            <w:tcW w:w="5161" w:type="dxa"/>
            <w:vAlign w:val="center"/>
          </w:tcPr>
          <w:p>
            <w:pPr>
              <w:shd w:val="clear" w:color="auto" w:fill="auto"/>
              <w:snapToGrid w:val="0"/>
              <w:spacing w:before="0" w:beforeAutospacing="0" w:after="0" w:afterAutospacing="0" w:line="300" w:lineRule="exact"/>
              <w:ind w:left="0" w:right="0"/>
              <w:jc w:val="center"/>
              <w:rPr>
                <w:rStyle w:val="14"/>
                <w:rFonts w:hint="default" w:ascii="Times New Roman" w:hAnsi="Times New Roman" w:eastAsia="黑体" w:cs="Times New Roman"/>
                <w:i w:val="0"/>
                <w:iCs w:val="0"/>
                <w:caps w:val="0"/>
                <w:color w:val="auto"/>
                <w:spacing w:val="0"/>
                <w:sz w:val="19"/>
                <w:szCs w:val="19"/>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lang w:val="en-US" w:eastAsia="zh-CN" w:bidi="ar-SA"/>
              </w:rPr>
            </w:pPr>
            <w:r>
              <w:rPr>
                <w:rFonts w:hint="eastAsia" w:ascii="Times New Roman" w:hAnsi="Times New Roman" w:cs="Times New Roman"/>
                <w:color w:val="auto"/>
                <w:kern w:val="2"/>
                <w:sz w:val="21"/>
                <w:szCs w:val="21"/>
                <w:shd w:val="clear" w:color="auto" w:fill="auto"/>
                <w:lang w:val="en-US" w:eastAsia="zh-CN" w:bidi="ar-SA"/>
              </w:rPr>
              <w:t>2</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none"/>
                <w:shd w:val="clear" w:color="auto" w:fill="auto"/>
                <w:lang w:eastAsia="zh-CN"/>
              </w:rPr>
            </w:pPr>
          </w:p>
        </w:tc>
        <w:tc>
          <w:tcPr>
            <w:tcW w:w="5161" w:type="dxa"/>
            <w:vAlign w:val="center"/>
          </w:tcPr>
          <w:p>
            <w:pPr>
              <w:shd w:val="clear" w:color="auto" w:fill="auto"/>
              <w:snapToGrid w:val="0"/>
              <w:spacing w:before="0" w:beforeAutospacing="0" w:after="0" w:afterAutospacing="0" w:line="300" w:lineRule="exact"/>
              <w:ind w:left="0" w:right="0" w:firstLine="0" w:firstLineChars="0"/>
              <w:jc w:val="center"/>
              <w:rPr>
                <w:rStyle w:val="14"/>
                <w:rFonts w:hint="default" w:ascii="Times New Roman" w:hAnsi="Times New Roman" w:eastAsia="黑体" w:cs="Times New Roman"/>
                <w:i w:val="0"/>
                <w:iCs w:val="0"/>
                <w:caps w:val="0"/>
                <w:color w:val="auto"/>
                <w:spacing w:val="0"/>
                <w:sz w:val="19"/>
                <w:szCs w:val="19"/>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lang w:eastAsia="zh-CN" w:bidi="ar-SA"/>
              </w:rPr>
            </w:pPr>
            <w:r>
              <w:rPr>
                <w:rFonts w:hint="default" w:ascii="Times New Roman" w:hAnsi="Times New Roman" w:cs="Times New Roman"/>
                <w:color w:val="auto"/>
                <w:kern w:val="2"/>
                <w:sz w:val="21"/>
                <w:szCs w:val="21"/>
                <w:shd w:val="clear" w:color="auto" w:fill="auto"/>
                <w:lang w:eastAsia="zh-CN" w:bidi="ar-SA"/>
              </w:rPr>
              <w:t>3</w:t>
            </w:r>
          </w:p>
        </w:tc>
      </w:tr>
      <w:tr>
        <w:trPr>
          <w:trHeight w:val="425" w:hRule="atLeast"/>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highlight w:val="none"/>
                <w:shd w:val="clear" w:color="auto" w:fill="auto"/>
                <w:lang w:eastAsia="zh-CN"/>
              </w:rPr>
              <w:t>固体废物类别</w:t>
            </w:r>
          </w:p>
        </w:tc>
        <w:tc>
          <w:tcPr>
            <w:tcW w:w="5161" w:type="dxa"/>
            <w:vAlign w:val="center"/>
          </w:tcPr>
          <w:p>
            <w:pPr>
              <w:shd w:val="clear" w:color="auto" w:fill="auto"/>
              <w:snapToGrid w:val="0"/>
              <w:spacing w:before="0" w:beforeAutospacing="0" w:after="0" w:afterAutospacing="0" w:line="320" w:lineRule="exact"/>
              <w:ind w:left="0" w:right="0" w:firstLine="2090" w:firstLineChars="1100"/>
              <w:jc w:val="both"/>
              <w:rPr>
                <w:rStyle w:val="14"/>
                <w:rFonts w:hint="default" w:ascii="Times New Roman" w:hAnsi="Times New Roman" w:eastAsia="宋体" w:cs="Times New Roman"/>
                <w:i w:val="0"/>
                <w:iCs w:val="0"/>
                <w:caps w:val="0"/>
                <w:color w:val="auto"/>
                <w:spacing w:val="0"/>
                <w:sz w:val="19"/>
                <w:szCs w:val="19"/>
                <w:shd w:val="clear" w:color="auto" w:fill="auto"/>
                <w:lang w:eastAsia="zh-CN"/>
              </w:rPr>
            </w:pPr>
            <w:r>
              <w:rPr>
                <w:rStyle w:val="14"/>
                <w:rFonts w:hint="default" w:ascii="Times New Roman" w:hAnsi="Times New Roman" w:cs="Times New Roman"/>
                <w:i w:val="0"/>
                <w:iCs w:val="0"/>
                <w:caps w:val="0"/>
                <w:color w:val="auto"/>
                <w:spacing w:val="0"/>
                <w:sz w:val="19"/>
                <w:szCs w:val="19"/>
                <w:shd w:val="clear" w:color="auto" w:fill="auto"/>
                <w:lang w:eastAsia="zh-CN"/>
              </w:rPr>
              <w:t>生活垃圾</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1</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20" w:lineRule="exact"/>
              <w:ind w:left="0" w:right="0" w:firstLine="210" w:firstLineChars="100"/>
              <w:jc w:val="center"/>
              <w:rPr>
                <w:rStyle w:val="14"/>
                <w:rFonts w:hint="default" w:ascii="Times New Roman" w:hAnsi="Times New Roman" w:eastAsia="宋体" w:cs="Times New Roman"/>
                <w:i w:val="0"/>
                <w:iCs w:val="0"/>
                <w:caps w:val="0"/>
                <w:color w:val="auto"/>
                <w:spacing w:val="0"/>
                <w:kern w:val="0"/>
                <w:sz w:val="21"/>
                <w:szCs w:val="21"/>
                <w:shd w:val="clear" w:color="auto" w:fill="auto"/>
                <w:lang w:eastAsia="zh-CN"/>
              </w:rPr>
            </w:pPr>
            <w:r>
              <w:rPr>
                <w:rStyle w:val="14"/>
                <w:rFonts w:hint="default" w:ascii="Times New Roman" w:hAnsi="Times New Roman" w:eastAsia="宋体" w:cs="Times New Roman"/>
                <w:color w:val="auto"/>
                <w:kern w:val="0"/>
                <w:sz w:val="21"/>
                <w:szCs w:val="21"/>
                <w:shd w:val="clear" w:color="auto" w:fill="auto"/>
              </w:rPr>
              <w:t>第Ⅰ类一般工业固体废物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2</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第Ⅱ类一般工业固体废物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3</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20" w:lineRule="exact"/>
              <w:ind w:left="0" w:right="0" w:firstLine="2310" w:firstLineChars="1100"/>
              <w:jc w:val="both"/>
              <w:rPr>
                <w:rStyle w:val="14"/>
                <w:rFonts w:hint="default" w:ascii="Times New Roman" w:hAnsi="Times New Roman" w:eastAsia="宋体" w:cs="Times New Roman"/>
                <w:i w:val="0"/>
                <w:iCs w:val="0"/>
                <w:caps w:val="0"/>
                <w:color w:val="auto"/>
                <w:spacing w:val="0"/>
                <w:kern w:val="0"/>
                <w:sz w:val="21"/>
                <w:szCs w:val="21"/>
                <w:shd w:val="clear" w:color="auto" w:fill="auto"/>
                <w:lang w:eastAsia="zh-CN"/>
              </w:rPr>
            </w:pPr>
            <w:r>
              <w:rPr>
                <w:rStyle w:val="14"/>
                <w:rFonts w:hint="default" w:ascii="Times New Roman" w:hAnsi="Times New Roman" w:eastAsia="宋体" w:cs="Times New Roman"/>
                <w:i w:val="0"/>
                <w:iCs w:val="0"/>
                <w:caps w:val="0"/>
                <w:color w:val="auto"/>
                <w:spacing w:val="0"/>
                <w:kern w:val="0"/>
                <w:sz w:val="21"/>
                <w:szCs w:val="21"/>
                <w:shd w:val="clear" w:color="auto" w:fill="auto"/>
                <w:lang w:eastAsia="zh-CN"/>
              </w:rPr>
              <w:t>危险废物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425" w:hRule="atLeast"/>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次数</w:t>
            </w:r>
          </w:p>
        </w:tc>
        <w:tc>
          <w:tcPr>
            <w:tcW w:w="51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pStyle w:val="18"/>
              <w:shd w:val="clear" w:color="auto" w:fill="auto"/>
              <w:snapToGrid w:val="0"/>
              <w:spacing w:before="0" w:beforeAutospacing="0" w:after="0" w:afterAutospacing="0" w:line="320" w:lineRule="exact"/>
              <w:ind w:left="0" w:right="0"/>
              <w:jc w:val="center"/>
              <w:rPr>
                <w:rFonts w:hint="eastAsia"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两年内受到同类处罚2次</w:t>
            </w:r>
            <w:r>
              <w:rPr>
                <w:rFonts w:hint="eastAsia" w:ascii="Times New Roman" w:hAnsi="Times New Roman" w:cs="Times New Roman"/>
                <w:color w:val="auto"/>
                <w:sz w:val="21"/>
                <w:szCs w:val="21"/>
                <w:shd w:val="clear" w:color="auto" w:fill="auto"/>
                <w:lang w:eastAsia="zh-CN"/>
              </w:rPr>
              <w:t>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425" w:hRule="atLeast"/>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6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810"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649"/>
      </w:tblGrid>
      <w:tr>
        <w:trPr>
          <w:trHeight w:val="284"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284"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79" w:name="_Toc13316"/>
            <w:r>
              <w:rPr>
                <w:rFonts w:hint="default" w:ascii="Times New Roman" w:hAnsi="Times New Roman" w:cs="Times New Roman"/>
                <w:color w:val="auto"/>
                <w:sz w:val="20"/>
                <w:szCs w:val="20"/>
                <w:shd w:val="clear" w:color="auto" w:fill="auto"/>
              </w:rPr>
              <w:t>7</w:t>
            </w:r>
            <w:bookmarkEnd w:id="179"/>
          </w:p>
        </w:tc>
      </w:tr>
      <w:tr>
        <w:trPr>
          <w:trHeight w:val="284"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80" w:name="_Toc21439"/>
            <w:r>
              <w:rPr>
                <w:rFonts w:hint="default" w:ascii="Times New Roman" w:hAnsi="Times New Roman" w:cs="Times New Roman"/>
                <w:color w:val="auto"/>
                <w:sz w:val="20"/>
                <w:szCs w:val="20"/>
                <w:shd w:val="clear" w:color="auto" w:fill="auto"/>
              </w:rPr>
              <w:t>擅自倾倒、堆放、丢弃、遗撒工业固体废物，或者未采取相应防范措施，造成工业固体废物扬散、流失、渗漏或者其他环境污染的</w:t>
            </w:r>
            <w:bookmarkEnd w:id="180"/>
          </w:p>
        </w:tc>
      </w:tr>
      <w:tr>
        <w:trPr>
          <w:trHeight w:val="284"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top"/>
          </w:tcPr>
          <w:p>
            <w:pPr>
              <w:pStyle w:val="19"/>
              <w:shd w:val="clear" w:color="auto" w:fill="auto"/>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《中华人民共和国固体废物污染环境防治法》第二十条</w:t>
            </w:r>
            <w:r>
              <w:rPr>
                <w:rFonts w:hint="default" w:ascii="Times New Roman" w:hAnsi="Times New Roman" w:cs="Times New Roman"/>
                <w:color w:val="auto"/>
                <w:sz w:val="21"/>
                <w:szCs w:val="21"/>
                <w:shd w:val="clear" w:color="auto" w:fill="auto"/>
              </w:rPr>
              <w:t xml:space="preserve"> </w:t>
            </w:r>
            <w:r>
              <w:rPr>
                <w:rFonts w:hint="default" w:ascii="Times New Roman" w:hAnsi="Times New Roman" w:cs="Times New Roman"/>
                <w:color w:val="auto"/>
                <w:kern w:val="2"/>
                <w:sz w:val="21"/>
                <w:szCs w:val="21"/>
                <w:shd w:val="clear" w:color="auto" w:fill="auto"/>
              </w:rPr>
              <w:t>产生、收集、贮存、运输、利用、处置固体废物的单位和其他生产经营者，应当采取防扬散、防流失、防渗漏或者其他防止污染环境的措施，不得擅自倾倒、堆放、丢弃、遗撒固体废物。</w:t>
            </w:r>
          </w:p>
          <w:p>
            <w:pPr>
              <w:pStyle w:val="19"/>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rPr>
              <w:t>禁止任何单位或者个人向江河、湖泊、运河、渠道、水库及其最高水位线以下的滩地和岸坡以及法律法规规定的其他地点倾倒、堆放、贮存固体废物。</w:t>
            </w:r>
          </w:p>
        </w:tc>
      </w:tr>
      <w:tr>
        <w:trPr>
          <w:trHeight w:val="284"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top"/>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《中华人民共和国固体废物污染环境防治法》</w:t>
            </w:r>
            <w:r>
              <w:rPr>
                <w:rFonts w:hint="default" w:ascii="Times New Roman" w:hAnsi="Times New Roman" w:cs="Times New Roman"/>
                <w:b/>
                <w:bCs/>
                <w:color w:val="auto"/>
                <w:kern w:val="0"/>
                <w:sz w:val="20"/>
                <w:szCs w:val="20"/>
                <w:shd w:val="clear" w:color="auto" w:fill="auto"/>
              </w:rPr>
              <w:t>第一百零二条第一款第（七）项</w:t>
            </w:r>
            <w:r>
              <w:rPr>
                <w:rFonts w:hint="default" w:ascii="Times New Roman" w:hAnsi="Times New Roman" w:cs="Times New Roman"/>
                <w:color w:val="auto"/>
                <w:sz w:val="20"/>
                <w:szCs w:val="20"/>
                <w:shd w:val="clear" w:color="auto" w:fill="auto"/>
              </w:rPr>
              <w:t>　</w:t>
            </w:r>
            <w:r>
              <w:rPr>
                <w:rFonts w:hint="default" w:ascii="Times New Roman" w:hAnsi="Times New Roman" w:cs="Times New Roman"/>
                <w:b/>
                <w:bCs/>
                <w:color w:val="auto"/>
                <w:kern w:val="0"/>
                <w:sz w:val="20"/>
                <w:szCs w:val="20"/>
                <w:shd w:val="clear" w:color="auto" w:fill="auto"/>
              </w:rPr>
              <w:t>、第二款</w:t>
            </w:r>
            <w:r>
              <w:rPr>
                <w:rFonts w:hint="default" w:ascii="Times New Roman" w:hAnsi="Times New Roman" w:cs="Times New Roman"/>
                <w:color w:val="auto"/>
                <w:sz w:val="20"/>
                <w:szCs w:val="20"/>
                <w:shd w:val="clear" w:color="auto" w:fill="auto"/>
              </w:rPr>
              <w:t>　违反本法规定，有下列行为之一，由生态环境主管部门责令改正，处以罚款，没收违法所得；情节严重的，报经有批准权的人民政府批准，可以责令停业或者关闭：</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（七）擅自倾倒、堆放、丢弃、遗撒工业固体废物，或者未采取相应防范措施，造成工业固体废物扬散、流失、渗漏或者其他环境污染的；</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r>
      <w:tr>
        <w:trPr>
          <w:trHeight w:val="351"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51"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43" w:type="dxa"/>
            <w:vAlign w:val="center"/>
          </w:tcPr>
          <w:p>
            <w:pPr>
              <w:pStyle w:val="19"/>
              <w:shd w:val="clear" w:color="auto" w:fill="auto"/>
              <w:snapToGrid w:val="0"/>
              <w:spacing w:before="0" w:beforeAutospacing="0" w:after="0" w:afterAutospacing="0" w:line="320" w:lineRule="exact"/>
              <w:ind w:left="0" w:right="0" w:firstLine="48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未规范采取相应防范措施，造成工业固体废物扬散、流失、渗漏或者其他环境污染的</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351"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9"/>
              <w:shd w:val="clear" w:color="auto" w:fill="auto"/>
              <w:snapToGrid w:val="0"/>
              <w:spacing w:before="0" w:beforeAutospacing="0" w:after="0" w:afterAutospacing="0" w:line="320" w:lineRule="exact"/>
              <w:ind w:left="0" w:right="0" w:firstLine="48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未采取相应防范措施的，造成工业固体废物扬散、流失、渗漏或者其他环境污染的</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351"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9"/>
              <w:shd w:val="clear" w:color="auto" w:fill="auto"/>
              <w:snapToGrid w:val="0"/>
              <w:spacing w:before="0" w:beforeAutospacing="0" w:after="0" w:afterAutospacing="0" w:line="320" w:lineRule="exact"/>
              <w:ind w:left="0" w:right="0" w:firstLine="48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rPr>
              <w:t>擅自倾倒、堆放、丢弃、遗撒工业固体废物，</w:t>
            </w:r>
            <w:r>
              <w:rPr>
                <w:rFonts w:hint="default" w:ascii="Times New Roman" w:hAnsi="Times New Roman" w:cs="Times New Roman"/>
                <w:color w:val="auto"/>
                <w:sz w:val="21"/>
                <w:szCs w:val="21"/>
                <w:shd w:val="clear" w:color="auto" w:fill="auto"/>
              </w:rPr>
              <w:t>造成工业固体废物扬散、流失、渗漏或者其他环境污染的</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w:t>
            </w:r>
          </w:p>
        </w:tc>
      </w:tr>
      <w:tr>
        <w:trPr>
          <w:trHeight w:val="351"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工业固体</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废物数量</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扬散、流失、渗漏1吨</w:t>
            </w:r>
            <w:r>
              <w:rPr>
                <w:rFonts w:hint="default" w:ascii="Times New Roman" w:hAnsi="Times New Roman" w:cs="Times New Roman"/>
                <w:color w:val="auto"/>
                <w:sz w:val="21"/>
                <w:szCs w:val="21"/>
                <w:shd w:val="clear" w:color="auto" w:fill="auto"/>
                <w:lang/>
              </w:rPr>
              <w:t>以下</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351"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扬散、流失、渗漏1吨以上2吨</w:t>
            </w:r>
            <w:r>
              <w:rPr>
                <w:rFonts w:hint="default" w:ascii="Times New Roman" w:hAnsi="Times New Roman" w:cs="Times New Roman"/>
                <w:color w:val="auto"/>
                <w:sz w:val="21"/>
                <w:szCs w:val="21"/>
                <w:shd w:val="clear" w:color="auto" w:fill="auto"/>
                <w:lang/>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51"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扬散、流失、渗漏2吨以上3吨</w:t>
            </w:r>
            <w:r>
              <w:rPr>
                <w:rFonts w:hint="default" w:ascii="Times New Roman" w:hAnsi="Times New Roman" w:cs="Times New Roman"/>
                <w:color w:val="auto"/>
                <w:sz w:val="21"/>
                <w:szCs w:val="21"/>
                <w:shd w:val="clear" w:color="auto" w:fill="auto"/>
                <w:lang/>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51"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扬散、流失、渗漏3吨以上5吨</w:t>
            </w:r>
            <w:r>
              <w:rPr>
                <w:rFonts w:hint="default" w:ascii="Times New Roman" w:hAnsi="Times New Roman" w:cs="Times New Roman"/>
                <w:color w:val="auto"/>
                <w:sz w:val="21"/>
                <w:szCs w:val="21"/>
                <w:shd w:val="clear" w:color="auto" w:fill="auto"/>
                <w:lang/>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51"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扬散、流失、渗漏5吨以上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51"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固废类别</w:t>
            </w: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第Ⅰ类一般工业固体废物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51"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第Ⅱ类一般工业固体废物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51"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51"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51"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51"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51"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284"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发生频次</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1</w:t>
            </w:r>
            <w:r>
              <w:rPr>
                <w:rFonts w:hint="default" w:ascii="Times New Roman" w:hAnsi="Times New Roman" w:cs="Times New Roman"/>
                <w:color w:val="auto"/>
                <w:sz w:val="20"/>
                <w:szCs w:val="20"/>
                <w:shd w:val="clear" w:color="auto" w:fill="auto"/>
                <w:lang w:val="en-US"/>
              </w:rPr>
              <w:t>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284"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2</w:t>
            </w:r>
            <w:r>
              <w:rPr>
                <w:rFonts w:hint="default" w:ascii="Times New Roman" w:hAnsi="Times New Roman" w:cs="Times New Roman"/>
                <w:color w:val="auto"/>
                <w:sz w:val="20"/>
                <w:szCs w:val="20"/>
                <w:shd w:val="clear" w:color="auto" w:fill="auto"/>
                <w:lang w:val="en-US"/>
              </w:rPr>
              <w:t>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284"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3</w:t>
            </w:r>
            <w:r>
              <w:rPr>
                <w:rFonts w:hint="default" w:ascii="Times New Roman" w:hAnsi="Times New Roman" w:cs="Times New Roman"/>
                <w:color w:val="auto"/>
                <w:sz w:val="20"/>
                <w:szCs w:val="20"/>
                <w:shd w:val="clear" w:color="auto" w:fill="auto"/>
                <w:lang w:val="en-US"/>
              </w:rPr>
              <w:t>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284"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4</w:t>
            </w:r>
            <w:r>
              <w:rPr>
                <w:rFonts w:hint="default" w:ascii="Times New Roman" w:hAnsi="Times New Roman" w:cs="Times New Roman"/>
                <w:color w:val="auto"/>
                <w:sz w:val="20"/>
                <w:szCs w:val="20"/>
                <w:shd w:val="clear" w:color="auto" w:fill="auto"/>
                <w:lang w:val="en-US"/>
              </w:rPr>
              <w:t>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284"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3"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5</w:t>
            </w:r>
            <w:r>
              <w:rPr>
                <w:rFonts w:hint="default" w:ascii="Times New Roman" w:hAnsi="Times New Roman" w:cs="Times New Roman"/>
                <w:color w:val="auto"/>
                <w:sz w:val="20"/>
                <w:szCs w:val="20"/>
                <w:shd w:val="clear" w:color="auto" w:fill="auto"/>
                <w:lang w:val="en-US"/>
              </w:rPr>
              <w:t>次</w:t>
            </w:r>
            <w:r>
              <w:rPr>
                <w:rFonts w:hint="eastAsia" w:ascii="Times New Roman" w:hAnsi="Times New Roman" w:cs="Times New Roman"/>
                <w:color w:val="auto"/>
                <w:sz w:val="20"/>
                <w:szCs w:val="20"/>
                <w:shd w:val="clear" w:color="auto" w:fill="auto"/>
                <w:lang w:val="en-US" w:eastAsia="zh-CN"/>
              </w:rPr>
              <w:t>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84"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284"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284"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284"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2090" w:firstLineChars="1100"/>
              <w:jc w:val="both"/>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284"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284"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284"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284"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受处罚次数</w:t>
            </w: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两年内未受到过同类处罚</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284"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9"/>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0"/>
                <w:sz w:val="21"/>
                <w:szCs w:val="21"/>
                <w:shd w:val="clear" w:color="auto" w:fill="auto"/>
                <w:lang w:val="en-US" w:eastAsia="zh-CN"/>
              </w:rPr>
              <w:t>两年内受到同类处罚1次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284"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9"/>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0"/>
                <w:sz w:val="21"/>
                <w:szCs w:val="21"/>
                <w:shd w:val="clear" w:color="auto" w:fill="auto"/>
                <w:lang w:val="en-US" w:eastAsia="zh-CN"/>
              </w:rPr>
              <w:t>两年内受到同类处罚2次以上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284"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284"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284"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284"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84"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eastAsia="宋体" w:cs="Times New Roman"/>
                <w:color w:val="auto"/>
                <w:sz w:val="20"/>
                <w:szCs w:val="20"/>
                <w:shd w:val="clear" w:color="auto" w:fill="auto"/>
                <w:lang w:eastAsia="zh-CN"/>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p>
      <w:pPr>
        <w:shd w:val="clear" w:color="auto" w:fill="auto"/>
        <w:snapToGrid w:val="0"/>
        <w:spacing w:line="20" w:lineRule="exact"/>
        <w:rPr>
          <w:rFonts w:hint="default" w:ascii="Times New Roman" w:hAnsi="Times New Roman" w:cs="Times New Roman"/>
          <w:color w:val="auto"/>
          <w:shd w:val="clear" w:color="auto" w:fill="auto"/>
        </w:rPr>
      </w:pP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572"/>
        <w:gridCol w:w="2120"/>
      </w:tblGrid>
      <w:tr>
        <w:trPr>
          <w:trHeight w:val="397"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81" w:name="_Toc19722"/>
            <w:r>
              <w:rPr>
                <w:rFonts w:hint="default" w:ascii="Times New Roman" w:hAnsi="Times New Roman" w:cs="Times New Roman"/>
                <w:color w:val="auto"/>
                <w:sz w:val="20"/>
                <w:szCs w:val="20"/>
                <w:shd w:val="clear" w:color="auto" w:fill="auto"/>
              </w:rPr>
              <w:t>8</w:t>
            </w:r>
            <w:bookmarkEnd w:id="181"/>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pStyle w:val="18"/>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kern w:val="2"/>
                <w:sz w:val="21"/>
                <w:szCs w:val="21"/>
                <w:shd w:val="clear" w:color="auto" w:fill="auto"/>
              </w:rPr>
            </w:pPr>
            <w:bookmarkStart w:id="182" w:name="_Toc24415"/>
            <w:r>
              <w:rPr>
                <w:rFonts w:hint="default" w:ascii="Times New Roman" w:hAnsi="Times New Roman" w:cs="Times New Roman"/>
                <w:color w:val="auto"/>
                <w:kern w:val="2"/>
                <w:sz w:val="21"/>
                <w:szCs w:val="21"/>
                <w:shd w:val="clear" w:color="auto" w:fill="auto"/>
              </w:rPr>
              <w:t>未建立固体废物管理台账并如实记录的</w:t>
            </w:r>
            <w:bookmarkEnd w:id="182"/>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top"/>
          </w:tcPr>
          <w:p>
            <w:pPr>
              <w:pStyle w:val="18"/>
              <w:shd w:val="clear" w:color="auto" w:fill="auto"/>
              <w:snapToGrid w:val="0"/>
              <w:spacing w:before="0" w:beforeAutospacing="0" w:after="0" w:afterAutospacing="0" w:line="320" w:lineRule="exact"/>
              <w:ind w:left="0" w:right="0" w:firstLine="357"/>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 xml:space="preserve">《中华人民共和国固体废物污染环境防治法》第三十六条第一款 </w:t>
            </w:r>
            <w:r>
              <w:rPr>
                <w:rFonts w:hint="default" w:ascii="Times New Roman" w:hAnsi="Times New Roman" w:cs="Times New Roman"/>
                <w:color w:val="auto"/>
                <w:kern w:val="2"/>
                <w:sz w:val="21"/>
                <w:szCs w:val="21"/>
                <w:shd w:val="clear" w:color="auto" w:fill="auto"/>
              </w:rPr>
              <w:t xml:space="preserve"> 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top"/>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《中华人民共和国固体废物污染环境防治法》</w:t>
            </w:r>
            <w:r>
              <w:rPr>
                <w:rFonts w:hint="default" w:ascii="Times New Roman" w:hAnsi="Times New Roman" w:cs="Times New Roman"/>
                <w:b/>
                <w:bCs/>
                <w:color w:val="auto"/>
                <w:kern w:val="0"/>
                <w:sz w:val="20"/>
                <w:szCs w:val="20"/>
                <w:shd w:val="clear" w:color="auto" w:fill="auto"/>
              </w:rPr>
              <w:t>第一百零二条第一款第（八）项、第二款</w:t>
            </w:r>
            <w:r>
              <w:rPr>
                <w:rFonts w:hint="default" w:ascii="Times New Roman" w:hAnsi="Times New Roman" w:cs="Times New Roman"/>
                <w:color w:val="auto"/>
                <w:sz w:val="20"/>
                <w:szCs w:val="20"/>
                <w:shd w:val="clear" w:color="auto" w:fill="auto"/>
              </w:rPr>
              <w:t>　违反本法规定，有下列行为之一，由生态环境主管部门责令改正，处以罚款，没收违法所得；情节严重的，报经有批准权的人民政府批准，可以责令停业或者关闭：</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（八）产生工业固体废物的单位未建立固体废物管理台账并如实记录的；</w:t>
            </w:r>
          </w:p>
          <w:p>
            <w:pPr>
              <w:pStyle w:val="18"/>
              <w:shd w:val="clear" w:color="auto" w:fill="auto"/>
              <w:snapToGrid w:val="0"/>
              <w:spacing w:before="0" w:beforeAutospacing="0" w:after="0" w:afterAutospacing="0" w:line="320" w:lineRule="exact"/>
              <w:ind w:left="0" w:right="0" w:firstLine="36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r>
      <w:tr>
        <w:trPr>
          <w:trHeight w:val="34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40"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未规范建立固体废物管理台账</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未建立固体废物管理台账</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固体废物管理台账未如实记录</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highlight w:val="none"/>
                <w:shd w:val="clear" w:color="auto" w:fill="auto"/>
                <w:lang w:eastAsia="zh-CN"/>
              </w:rPr>
            </w:pPr>
            <w:r>
              <w:rPr>
                <w:rFonts w:hint="default" w:ascii="Times New Roman" w:hAnsi="Times New Roman" w:cs="Times New Roman"/>
                <w:b/>
                <w:bCs/>
                <w:color w:val="auto"/>
                <w:sz w:val="20"/>
                <w:szCs w:val="20"/>
                <w:highlight w:val="none"/>
                <w:shd w:val="clear" w:color="auto" w:fill="auto"/>
                <w:lang w:eastAsia="zh-CN"/>
              </w:rPr>
              <w:t>未记录或未规范记录的信息个数</w:t>
            </w: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1个</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2个</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3个</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4个</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4</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5个以上</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5</w:t>
            </w:r>
          </w:p>
        </w:tc>
      </w:tr>
      <w:tr>
        <w:trPr>
          <w:trHeight w:val="340"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小型企业</w:t>
            </w:r>
          </w:p>
        </w:tc>
        <w:tc>
          <w:tcPr>
            <w:tcW w:w="21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中型企业</w:t>
            </w:r>
          </w:p>
        </w:tc>
        <w:tc>
          <w:tcPr>
            <w:tcW w:w="21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大型企业</w:t>
            </w:r>
          </w:p>
        </w:tc>
        <w:tc>
          <w:tcPr>
            <w:tcW w:w="21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lang w:val="en-US" w:eastAsia="zh-CN"/>
              </w:rPr>
              <w:t>4</w:t>
            </w:r>
          </w:p>
        </w:tc>
      </w:tr>
      <w:tr>
        <w:trPr>
          <w:trHeight w:val="340"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highlight w:val="none"/>
                <w:shd w:val="clear" w:color="auto" w:fill="auto"/>
                <w:lang w:eastAsia="zh-CN"/>
              </w:rPr>
            </w:pPr>
            <w:r>
              <w:rPr>
                <w:rFonts w:hint="default" w:ascii="Times New Roman" w:hAnsi="Times New Roman" w:cs="Times New Roman"/>
                <w:b/>
                <w:bCs/>
                <w:color w:val="auto"/>
                <w:sz w:val="20"/>
                <w:szCs w:val="20"/>
                <w:highlight w:val="none"/>
                <w:shd w:val="clear" w:color="auto" w:fill="auto"/>
                <w:lang w:eastAsia="zh-CN"/>
              </w:rPr>
              <w:t>管理类别</w:t>
            </w:r>
          </w:p>
        </w:tc>
        <w:tc>
          <w:tcPr>
            <w:tcW w:w="5572" w:type="dxa"/>
            <w:vAlign w:val="center"/>
          </w:tcPr>
          <w:p>
            <w:pPr>
              <w:shd w:val="clear" w:color="auto" w:fill="auto"/>
              <w:spacing w:before="0" w:beforeAutospacing="0" w:after="0" w:afterAutospacing="0" w:line="300" w:lineRule="exact"/>
              <w:ind w:left="0" w:right="0" w:firstLine="2310" w:firstLineChars="1100"/>
              <w:rPr>
                <w:rFonts w:hint="default" w:ascii="Times New Roman" w:hAnsi="Times New Roman" w:eastAsia="宋体" w:cs="Times New Roman"/>
                <w:color w:val="auto"/>
                <w:sz w:val="21"/>
                <w:szCs w:val="21"/>
                <w:shd w:val="clear" w:color="auto" w:fill="auto"/>
                <w:lang w:eastAsia="zh-CN"/>
              </w:rPr>
            </w:pPr>
            <w:r>
              <w:rPr>
                <w:rFonts w:hint="default" w:ascii="Times New Roman" w:hAnsi="Times New Roman" w:cs="Times New Roman"/>
                <w:color w:val="auto"/>
                <w:sz w:val="20"/>
                <w:szCs w:val="20"/>
                <w:shd w:val="clear" w:color="auto" w:fill="auto"/>
                <w:lang w:eastAsia="zh-CN"/>
              </w:rPr>
              <w:t>登记管理</w:t>
            </w:r>
          </w:p>
        </w:tc>
        <w:tc>
          <w:tcPr>
            <w:tcW w:w="2120" w:type="dxa"/>
            <w:vAlign w:val="center"/>
          </w:tcPr>
          <w:p>
            <w:pPr>
              <w:shd w:val="clear" w:color="auto" w:fill="auto"/>
              <w:spacing w:before="0" w:beforeAutospacing="0" w:after="0" w:afterAutospacing="0" w:line="300" w:lineRule="exact"/>
              <w:ind w:left="0" w:right="0"/>
              <w:rPr>
                <w:rFonts w:hint="default" w:ascii="Times New Roman" w:hAnsi="Times New Roman" w:eastAsia="宋体"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lang w:eastAsia="zh-CN"/>
              </w:rPr>
            </w:pPr>
            <w:r>
              <w:rPr>
                <w:rFonts w:hint="default" w:ascii="Times New Roman" w:hAnsi="Times New Roman" w:cs="Times New Roman"/>
                <w:color w:val="auto"/>
                <w:sz w:val="20"/>
                <w:szCs w:val="20"/>
                <w:shd w:val="clear" w:color="auto" w:fill="auto"/>
                <w:lang w:eastAsia="zh-CN"/>
              </w:rPr>
              <w:t>简化管理</w:t>
            </w:r>
          </w:p>
        </w:tc>
        <w:tc>
          <w:tcPr>
            <w:tcW w:w="21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spacing w:before="0" w:beforeAutospacing="0" w:after="0" w:afterAutospacing="0" w:line="300" w:lineRule="exact"/>
              <w:ind w:left="0" w:right="0" w:firstLine="2310" w:firstLineChars="1100"/>
              <w:rPr>
                <w:rFonts w:hint="default" w:ascii="Times New Roman" w:hAnsi="Times New Roman" w:eastAsia="宋体" w:cs="Times New Roman"/>
                <w:color w:val="auto"/>
                <w:sz w:val="21"/>
                <w:szCs w:val="21"/>
                <w:shd w:val="clear" w:color="auto" w:fill="auto"/>
                <w:lang w:eastAsia="zh-CN"/>
              </w:rPr>
            </w:pPr>
            <w:r>
              <w:rPr>
                <w:rFonts w:hint="default" w:ascii="Times New Roman" w:hAnsi="Times New Roman" w:cs="Times New Roman"/>
                <w:color w:val="auto"/>
                <w:sz w:val="20"/>
                <w:szCs w:val="20"/>
                <w:shd w:val="clear" w:color="auto" w:fill="auto"/>
                <w:lang w:eastAsia="zh-CN"/>
              </w:rPr>
              <w:t>重点管理</w:t>
            </w:r>
          </w:p>
        </w:tc>
        <w:tc>
          <w:tcPr>
            <w:tcW w:w="2120" w:type="dxa"/>
            <w:vAlign w:val="center"/>
          </w:tcPr>
          <w:p>
            <w:pPr>
              <w:shd w:val="clear" w:color="auto" w:fill="auto"/>
              <w:spacing w:before="0" w:beforeAutospacing="0" w:after="0" w:afterAutospacing="0" w:line="300" w:lineRule="exact"/>
              <w:ind w:left="0" w:right="0"/>
              <w:rPr>
                <w:rFonts w:hint="default" w:ascii="Times New Roman" w:hAnsi="Times New Roman" w:eastAsia="宋体"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40"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5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1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40"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1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40"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1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40"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1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40"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1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color w:val="auto"/>
                <w:sz w:val="21"/>
                <w:szCs w:val="20"/>
                <w:shd w:val="clear" w:color="auto" w:fill="auto"/>
              </w:rPr>
            </w:pPr>
            <w:r>
              <w:rPr>
                <w:rFonts w:hint="default" w:ascii="Times New Roman" w:hAnsi="Times New Roman" w:cs="Times New Roman"/>
                <w:b/>
                <w:bCs/>
                <w:color w:val="auto"/>
                <w:sz w:val="20"/>
                <w:szCs w:val="20"/>
                <w:shd w:val="clear" w:color="auto" w:fill="auto"/>
                <w:lang w:val="en-US"/>
              </w:rPr>
              <w:t>发生频次</w:t>
            </w: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0"/>
                <w:shd w:val="clear" w:color="auto" w:fill="auto"/>
              </w:rPr>
            </w:pPr>
            <w:r>
              <w:rPr>
                <w:rFonts w:hint="default" w:ascii="Times New Roman" w:hAnsi="Times New Roman" w:cs="Times New Roman"/>
                <w:color w:val="auto"/>
                <w:sz w:val="20"/>
                <w:szCs w:val="20"/>
                <w:shd w:val="clear" w:color="auto" w:fill="auto"/>
              </w:rPr>
              <w:t>1</w:t>
            </w:r>
            <w:r>
              <w:rPr>
                <w:rFonts w:hint="default" w:ascii="Times New Roman" w:hAnsi="Times New Roman" w:cs="Times New Roman"/>
                <w:color w:val="auto"/>
                <w:sz w:val="20"/>
                <w:szCs w:val="20"/>
                <w:shd w:val="clear" w:color="auto" w:fill="auto"/>
                <w:lang w:val="en-US"/>
              </w:rPr>
              <w:t>次</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color w:val="auto"/>
                <w:sz w:val="21"/>
                <w:szCs w:val="20"/>
                <w:shd w:val="clear" w:color="auto" w:fill="auto"/>
              </w:rPr>
            </w:pP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0"/>
                <w:shd w:val="clear" w:color="auto" w:fill="auto"/>
              </w:rPr>
            </w:pPr>
            <w:r>
              <w:rPr>
                <w:rFonts w:hint="default" w:ascii="Times New Roman" w:hAnsi="Times New Roman" w:cs="Times New Roman"/>
                <w:color w:val="auto"/>
                <w:sz w:val="20"/>
                <w:szCs w:val="20"/>
                <w:shd w:val="clear" w:color="auto" w:fill="auto"/>
              </w:rPr>
              <w:t>2</w:t>
            </w:r>
            <w:r>
              <w:rPr>
                <w:rFonts w:hint="default" w:ascii="Times New Roman" w:hAnsi="Times New Roman" w:cs="Times New Roman"/>
                <w:color w:val="auto"/>
                <w:sz w:val="20"/>
                <w:szCs w:val="20"/>
                <w:shd w:val="clear" w:color="auto" w:fill="auto"/>
                <w:lang w:val="en-US"/>
              </w:rPr>
              <w:t>次</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color w:val="auto"/>
                <w:sz w:val="21"/>
                <w:szCs w:val="20"/>
                <w:shd w:val="clear" w:color="auto" w:fill="auto"/>
              </w:rPr>
            </w:pP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0"/>
                <w:shd w:val="clear" w:color="auto" w:fill="auto"/>
              </w:rPr>
            </w:pPr>
            <w:r>
              <w:rPr>
                <w:rFonts w:hint="default" w:ascii="Times New Roman" w:hAnsi="Times New Roman" w:cs="Times New Roman"/>
                <w:color w:val="auto"/>
                <w:sz w:val="20"/>
                <w:szCs w:val="20"/>
                <w:shd w:val="clear" w:color="auto" w:fill="auto"/>
              </w:rPr>
              <w:t>3</w:t>
            </w:r>
            <w:r>
              <w:rPr>
                <w:rFonts w:hint="default" w:ascii="Times New Roman" w:hAnsi="Times New Roman" w:cs="Times New Roman"/>
                <w:color w:val="auto"/>
                <w:sz w:val="20"/>
                <w:szCs w:val="20"/>
                <w:shd w:val="clear" w:color="auto" w:fill="auto"/>
                <w:lang w:val="en-US"/>
              </w:rPr>
              <w:t>次</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color w:val="auto"/>
                <w:sz w:val="21"/>
                <w:szCs w:val="20"/>
                <w:shd w:val="clear" w:color="auto" w:fill="auto"/>
              </w:rPr>
            </w:pP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0"/>
                <w:shd w:val="clear" w:color="auto" w:fill="auto"/>
              </w:rPr>
            </w:pPr>
            <w:r>
              <w:rPr>
                <w:rFonts w:hint="default" w:ascii="Times New Roman" w:hAnsi="Times New Roman" w:cs="Times New Roman"/>
                <w:color w:val="auto"/>
                <w:sz w:val="20"/>
                <w:szCs w:val="20"/>
                <w:shd w:val="clear" w:color="auto" w:fill="auto"/>
              </w:rPr>
              <w:t>4</w:t>
            </w:r>
            <w:r>
              <w:rPr>
                <w:rFonts w:hint="default" w:ascii="Times New Roman" w:hAnsi="Times New Roman" w:cs="Times New Roman"/>
                <w:color w:val="auto"/>
                <w:sz w:val="20"/>
                <w:szCs w:val="20"/>
                <w:shd w:val="clear" w:color="auto" w:fill="auto"/>
                <w:lang w:val="en-US"/>
              </w:rPr>
              <w:t>次</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color w:val="auto"/>
                <w:sz w:val="21"/>
                <w:szCs w:val="20"/>
                <w:shd w:val="clear" w:color="auto" w:fill="auto"/>
              </w:rPr>
            </w:pPr>
          </w:p>
        </w:tc>
        <w:tc>
          <w:tcPr>
            <w:tcW w:w="5572"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cs="Times New Roman"/>
                <w:color w:val="auto"/>
                <w:sz w:val="21"/>
                <w:szCs w:val="20"/>
                <w:shd w:val="clear" w:color="auto" w:fill="auto"/>
              </w:rPr>
            </w:pPr>
            <w:r>
              <w:rPr>
                <w:rFonts w:hint="default" w:ascii="Times New Roman" w:hAnsi="Times New Roman" w:cs="Times New Roman"/>
                <w:color w:val="auto"/>
                <w:sz w:val="20"/>
                <w:szCs w:val="20"/>
                <w:shd w:val="clear" w:color="auto" w:fill="auto"/>
              </w:rPr>
              <w:t>5</w:t>
            </w:r>
            <w:r>
              <w:rPr>
                <w:rFonts w:hint="default" w:ascii="Times New Roman" w:hAnsi="Times New Roman" w:cs="Times New Roman"/>
                <w:color w:val="auto"/>
                <w:sz w:val="20"/>
                <w:szCs w:val="20"/>
                <w:shd w:val="clear" w:color="auto" w:fill="auto"/>
                <w:lang w:val="en-US"/>
              </w:rPr>
              <w:t>次</w:t>
            </w:r>
            <w:r>
              <w:rPr>
                <w:rFonts w:hint="eastAsia" w:ascii="Times New Roman" w:hAnsi="Times New Roman" w:cs="Times New Roman"/>
                <w:color w:val="auto"/>
                <w:sz w:val="20"/>
                <w:szCs w:val="20"/>
                <w:shd w:val="clear" w:color="auto" w:fill="auto"/>
                <w:lang w:val="en-US" w:eastAsia="zh-CN"/>
              </w:rPr>
              <w:t>以上</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color w:val="auto"/>
                <w:sz w:val="21"/>
                <w:szCs w:val="20"/>
                <w:shd w:val="clear" w:color="auto" w:fill="auto"/>
              </w:rPr>
              <w:t>受处罚次数</w:t>
            </w: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0"/>
                <w:shd w:val="clear" w:color="auto" w:fill="auto"/>
              </w:rPr>
              <w:t>两年内未受到过同类处罚</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pStyle w:val="19"/>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0"/>
                <w:shd w:val="clear" w:color="auto" w:fill="auto"/>
              </w:rPr>
              <w:t>两年内受到同类处罚1次</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pStyle w:val="19"/>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0"/>
                <w:shd w:val="clear" w:color="auto" w:fill="auto"/>
              </w:rPr>
              <w:t>两年内受到同类处罚2次以上</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57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1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1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1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1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p>
      <w:pPr>
        <w:shd w:val="clear" w:color="auto" w:fill="auto"/>
        <w:snapToGrid w:val="0"/>
        <w:spacing w:line="20" w:lineRule="exact"/>
        <w:rPr>
          <w:rFonts w:ascii="Times New Roman" w:hAnsi="Times New Roman" w:cs="Times New Roman"/>
          <w:color w:val="auto"/>
          <w:shd w:val="clear" w:color="auto" w:fill="auto"/>
        </w:rPr>
      </w:pP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572"/>
        <w:gridCol w:w="2120"/>
      </w:tblGrid>
      <w:tr>
        <w:trPr>
          <w:trHeight w:val="397"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83" w:name="_Toc22191"/>
            <w:r>
              <w:rPr>
                <w:rFonts w:hint="default" w:ascii="Times New Roman" w:hAnsi="Times New Roman" w:cs="Times New Roman"/>
                <w:color w:val="auto"/>
                <w:sz w:val="20"/>
                <w:szCs w:val="20"/>
                <w:shd w:val="clear" w:color="auto" w:fill="auto"/>
              </w:rPr>
              <w:t>9</w:t>
            </w:r>
            <w:bookmarkEnd w:id="183"/>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pStyle w:val="18"/>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kern w:val="2"/>
                <w:sz w:val="21"/>
                <w:szCs w:val="21"/>
                <w:shd w:val="clear" w:color="auto" w:fill="auto"/>
              </w:rPr>
            </w:pPr>
            <w:bookmarkStart w:id="184" w:name="_Toc11010"/>
            <w:r>
              <w:rPr>
                <w:rFonts w:hint="default" w:ascii="Times New Roman" w:hAnsi="Times New Roman" w:cs="Times New Roman"/>
                <w:color w:val="auto"/>
                <w:kern w:val="2"/>
                <w:sz w:val="21"/>
                <w:szCs w:val="21"/>
                <w:shd w:val="clear" w:color="auto" w:fill="auto"/>
              </w:rPr>
              <w:t>违反规定委托他人运输、利用、处置工业固体废物的</w:t>
            </w:r>
            <w:bookmarkEnd w:id="184"/>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top"/>
          </w:tcPr>
          <w:p>
            <w:pPr>
              <w:pStyle w:val="18"/>
              <w:shd w:val="clear" w:color="auto" w:fill="auto"/>
              <w:snapToGrid w:val="0"/>
              <w:spacing w:before="0" w:beforeAutospacing="0" w:after="0" w:afterAutospacing="0" w:line="300" w:lineRule="exact"/>
              <w:ind w:left="0" w:right="0" w:firstLine="357"/>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w:t>
            </w:r>
            <w:r>
              <w:rPr>
                <w:rFonts w:hint="default" w:ascii="Times New Roman" w:hAnsi="Times New Roman" w:cs="Times New Roman"/>
                <w:b/>
                <w:bCs/>
                <w:color w:val="auto"/>
                <w:kern w:val="2"/>
                <w:sz w:val="21"/>
                <w:szCs w:val="21"/>
                <w:shd w:val="clear" w:color="auto" w:fill="auto"/>
              </w:rPr>
              <w:t>第三十七条第一款</w:t>
            </w:r>
            <w:r>
              <w:rPr>
                <w:rFonts w:hint="default" w:ascii="Times New Roman" w:hAnsi="Times New Roman" w:cs="Times New Roman"/>
                <w:color w:val="auto"/>
                <w:kern w:val="2"/>
                <w:sz w:val="21"/>
                <w:szCs w:val="21"/>
                <w:shd w:val="clear" w:color="auto" w:fill="auto"/>
              </w:rPr>
              <w:t xml:space="preserve">  产生工业固体废物的单位委托他人运输、利用、处置工业固体废物的，应当对受托方的主体资格和技术能力进行核实，依法签订书面合同，在合同中约定污染防治要求。</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top"/>
          </w:tcPr>
          <w:p>
            <w:pPr>
              <w:widowControl/>
              <w:shd w:val="clear" w:color="auto" w:fill="auto"/>
              <w:snapToGrid w:val="0"/>
              <w:spacing w:before="0" w:beforeAutospacing="0" w:after="0" w:afterAutospacing="0" w:line="30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《中华人民共和国固体废物污染环境防治法》</w:t>
            </w:r>
            <w:r>
              <w:rPr>
                <w:rFonts w:hint="default" w:ascii="Times New Roman" w:hAnsi="Times New Roman" w:cs="Times New Roman"/>
                <w:b/>
                <w:bCs/>
                <w:color w:val="auto"/>
                <w:kern w:val="0"/>
                <w:sz w:val="20"/>
                <w:szCs w:val="20"/>
                <w:shd w:val="clear" w:color="auto" w:fill="auto"/>
              </w:rPr>
              <w:t>第一百零二条第一款第（九）项</w:t>
            </w:r>
            <w:r>
              <w:rPr>
                <w:rFonts w:hint="default" w:ascii="Times New Roman" w:hAnsi="Times New Roman" w:cs="Times New Roman"/>
                <w:color w:val="auto"/>
                <w:sz w:val="20"/>
                <w:szCs w:val="20"/>
                <w:shd w:val="clear" w:color="auto" w:fill="auto"/>
              </w:rPr>
              <w:t>　</w:t>
            </w:r>
            <w:r>
              <w:rPr>
                <w:rFonts w:hint="default" w:ascii="Times New Roman" w:hAnsi="Times New Roman" w:cs="Times New Roman"/>
                <w:b/>
                <w:bCs/>
                <w:color w:val="auto"/>
                <w:kern w:val="0"/>
                <w:sz w:val="20"/>
                <w:szCs w:val="20"/>
                <w:shd w:val="clear" w:color="auto" w:fill="auto"/>
              </w:rPr>
              <w:t>、第二款</w:t>
            </w:r>
            <w:r>
              <w:rPr>
                <w:rFonts w:hint="default" w:ascii="Times New Roman" w:hAnsi="Times New Roman" w:cs="Times New Roman"/>
                <w:color w:val="auto"/>
                <w:sz w:val="20"/>
                <w:szCs w:val="20"/>
                <w:shd w:val="clear" w:color="auto" w:fill="auto"/>
              </w:rPr>
              <w:t>　违反本法规定，有下列行为之一，由生态环境主管部门责令改正，处以罚款，没收违法所得；情节严重的，报经有批准权的人民政府批准，可以责令停业或者关闭：</w:t>
            </w:r>
          </w:p>
          <w:p>
            <w:pPr>
              <w:widowControl/>
              <w:shd w:val="clear" w:color="auto" w:fill="auto"/>
              <w:snapToGrid w:val="0"/>
              <w:spacing w:before="0" w:beforeAutospacing="0" w:after="0" w:afterAutospacing="0" w:line="30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（九）产生工业固体废物的单位违反本法规定委托他人运输、利用、处置工业固体废物的；</w:t>
            </w:r>
          </w:p>
          <w:p>
            <w:pPr>
              <w:pStyle w:val="18"/>
              <w:shd w:val="clear" w:color="auto" w:fill="auto"/>
              <w:snapToGrid w:val="0"/>
              <w:spacing w:before="0" w:beforeAutospacing="0" w:after="0" w:afterAutospacing="0" w:line="300" w:lineRule="exact"/>
              <w:ind w:left="0" w:right="0" w:firstLine="36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r>
      <w:tr>
        <w:trPr>
          <w:trHeight w:val="408"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08"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签订合同，合同中未约定污染防治要求</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08"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未签订合同</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08"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签订合同，受托方无主体资格或技术能力</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08"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签订合同，受托方无主体资格和技术能力</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08"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涉案固体</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废物总量</w:t>
            </w:r>
          </w:p>
        </w:tc>
        <w:tc>
          <w:tcPr>
            <w:tcW w:w="557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30吨以下</w:t>
            </w:r>
          </w:p>
        </w:tc>
        <w:tc>
          <w:tcPr>
            <w:tcW w:w="21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408"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30吨以上100吨以下</w:t>
            </w:r>
          </w:p>
        </w:tc>
        <w:tc>
          <w:tcPr>
            <w:tcW w:w="21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408"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100吨以上500吨以下</w:t>
            </w:r>
          </w:p>
        </w:tc>
        <w:tc>
          <w:tcPr>
            <w:tcW w:w="21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408"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500吨以上1000吨以下</w:t>
            </w:r>
          </w:p>
        </w:tc>
        <w:tc>
          <w:tcPr>
            <w:tcW w:w="21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4</w:t>
            </w:r>
          </w:p>
        </w:tc>
      </w:tr>
      <w:tr>
        <w:trPr>
          <w:trHeight w:val="408"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1000吨以上</w:t>
            </w:r>
          </w:p>
        </w:tc>
        <w:tc>
          <w:tcPr>
            <w:tcW w:w="21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w:t>
            </w:r>
          </w:p>
        </w:tc>
      </w:tr>
      <w:tr>
        <w:trPr>
          <w:trHeight w:val="408"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固废类别</w:t>
            </w: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第Ⅰ类一般工业固体废物</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08"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第Ⅱ类一般工业固体废物</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08"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w:t>
            </w:r>
            <w:r>
              <w:rPr>
                <w:rFonts w:hint="default" w:ascii="Times New Roman" w:hAnsi="Times New Roman" w:cs="Times New Roman"/>
                <w:b/>
                <w:bCs/>
                <w:color w:val="auto"/>
                <w:sz w:val="20"/>
                <w:szCs w:val="20"/>
                <w:shd w:val="clear" w:color="auto" w:fill="auto"/>
                <w:lang w:val="en-US"/>
              </w:rPr>
              <w:t>规模</w:t>
            </w: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08"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08"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08"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20" w:lineRule="exact"/>
              <w:ind w:left="0" w:right="0" w:firstLine="2280" w:firstLineChars="1200"/>
              <w:jc w:val="both"/>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408"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highlight w:val="none"/>
                <w:shd w:val="clear" w:color="auto" w:fill="auto"/>
                <w:lang w:val="en-US"/>
              </w:rPr>
            </w:pPr>
            <w:r>
              <w:rPr>
                <w:rFonts w:hint="default" w:ascii="Times New Roman" w:hAnsi="Times New Roman" w:cs="Times New Roman"/>
                <w:b/>
                <w:bCs/>
                <w:color w:val="auto"/>
                <w:sz w:val="20"/>
                <w:szCs w:val="20"/>
                <w:highlight w:val="none"/>
                <w:shd w:val="clear" w:color="auto" w:fill="auto"/>
                <w:lang w:val="en-US"/>
              </w:rPr>
              <w:t>管理类别</w:t>
            </w:r>
          </w:p>
        </w:tc>
        <w:tc>
          <w:tcPr>
            <w:tcW w:w="557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highlight w:val="none"/>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1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highlight w:val="none"/>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408"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none"/>
                <w:shd w:val="clear" w:color="auto" w:fill="auto"/>
              </w:rPr>
            </w:pPr>
          </w:p>
        </w:tc>
        <w:tc>
          <w:tcPr>
            <w:tcW w:w="557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highlight w:val="none"/>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1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highlight w:val="none"/>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408"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none"/>
                <w:shd w:val="clear" w:color="auto" w:fill="auto"/>
              </w:rPr>
            </w:pPr>
          </w:p>
        </w:tc>
        <w:tc>
          <w:tcPr>
            <w:tcW w:w="557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highlight w:val="none"/>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1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highlight w:val="none"/>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highlight w:val="none"/>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5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highlight w:val="none"/>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1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highlight w:val="none"/>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highlight w:val="none"/>
                <w:shd w:val="clear" w:color="auto" w:fill="auto"/>
              </w:rPr>
            </w:pPr>
          </w:p>
        </w:tc>
        <w:tc>
          <w:tcPr>
            <w:tcW w:w="55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highlight w:val="none"/>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1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highlight w:val="none"/>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highlight w:val="none"/>
                <w:shd w:val="clear" w:color="auto" w:fill="auto"/>
              </w:rPr>
            </w:pPr>
          </w:p>
        </w:tc>
        <w:tc>
          <w:tcPr>
            <w:tcW w:w="55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highlight w:val="none"/>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1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highlight w:val="none"/>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highlight w:val="none"/>
                <w:shd w:val="clear" w:color="auto" w:fill="auto"/>
              </w:rPr>
            </w:pPr>
          </w:p>
        </w:tc>
        <w:tc>
          <w:tcPr>
            <w:tcW w:w="55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highlight w:val="none"/>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1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highlight w:val="none"/>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highlight w:val="none"/>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1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highlight w:val="none"/>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发生频次</w:t>
            </w: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r>
              <w:rPr>
                <w:rFonts w:hint="default" w:ascii="Times New Roman" w:hAnsi="Times New Roman" w:cs="Times New Roman"/>
                <w:color w:val="auto"/>
                <w:sz w:val="20"/>
                <w:szCs w:val="20"/>
                <w:shd w:val="clear" w:color="auto" w:fill="auto"/>
                <w:lang w:val="en-US"/>
              </w:rPr>
              <w:t>次</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r>
              <w:rPr>
                <w:rFonts w:hint="default" w:ascii="Times New Roman" w:hAnsi="Times New Roman" w:cs="Times New Roman"/>
                <w:color w:val="auto"/>
                <w:sz w:val="20"/>
                <w:szCs w:val="20"/>
                <w:shd w:val="clear" w:color="auto" w:fill="auto"/>
                <w:lang w:val="en-US"/>
              </w:rPr>
              <w:t>次</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r>
              <w:rPr>
                <w:rFonts w:hint="default" w:ascii="Times New Roman" w:hAnsi="Times New Roman" w:cs="Times New Roman"/>
                <w:color w:val="auto"/>
                <w:sz w:val="20"/>
                <w:szCs w:val="20"/>
                <w:shd w:val="clear" w:color="auto" w:fill="auto"/>
                <w:lang w:val="en-US"/>
              </w:rPr>
              <w:t>次</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r>
              <w:rPr>
                <w:rFonts w:hint="default" w:ascii="Times New Roman" w:hAnsi="Times New Roman" w:cs="Times New Roman"/>
                <w:color w:val="auto"/>
                <w:sz w:val="20"/>
                <w:szCs w:val="20"/>
                <w:shd w:val="clear" w:color="auto" w:fill="auto"/>
                <w:lang w:val="en-US"/>
              </w:rPr>
              <w:t>次</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572"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r>
              <w:rPr>
                <w:rFonts w:hint="default" w:ascii="Times New Roman" w:hAnsi="Times New Roman" w:cs="Times New Roman"/>
                <w:color w:val="auto"/>
                <w:sz w:val="20"/>
                <w:szCs w:val="20"/>
                <w:shd w:val="clear" w:color="auto" w:fill="auto"/>
                <w:lang w:val="en-US"/>
              </w:rPr>
              <w:t>次</w:t>
            </w:r>
            <w:r>
              <w:rPr>
                <w:rFonts w:hint="eastAsia" w:ascii="Times New Roman" w:hAnsi="Times New Roman" w:cs="Times New Roman"/>
                <w:color w:val="auto"/>
                <w:sz w:val="20"/>
                <w:szCs w:val="20"/>
                <w:shd w:val="clear" w:color="auto" w:fill="auto"/>
                <w:lang w:val="en-US" w:eastAsia="zh-CN"/>
              </w:rPr>
              <w:t>以上</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受处罚次数</w:t>
            </w:r>
          </w:p>
        </w:tc>
        <w:tc>
          <w:tcPr>
            <w:tcW w:w="5572"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57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1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9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1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1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1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p>
      <w:pPr>
        <w:shd w:val="clear" w:color="auto" w:fill="auto"/>
        <w:snapToGrid w:val="0"/>
        <w:spacing w:line="20" w:lineRule="exact"/>
        <w:rPr>
          <w:rFonts w:ascii="Times New Roman" w:hAnsi="Times New Roman" w:cs="Times New Roman"/>
          <w:color w:val="auto"/>
          <w:shd w:val="clear" w:color="auto" w:fill="auto"/>
        </w:rPr>
      </w:pP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572"/>
        <w:gridCol w:w="2120"/>
      </w:tblGrid>
      <w:tr>
        <w:trPr>
          <w:trHeight w:val="397" w:hRule="atLeast"/>
        </w:trPr>
        <w:tc>
          <w:tcPr>
            <w:tcW w:w="9060" w:type="dxa"/>
            <w:gridSpan w:val="3"/>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97" w:hRule="atLeast"/>
        </w:trPr>
        <w:tc>
          <w:tcPr>
            <w:tcW w:w="1368"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wordWrap/>
              <w:adjustRightInd/>
              <w:snapToGrid w:val="0"/>
              <w:spacing w:before="0" w:beforeAutospacing="0" w:after="0" w:afterAutospacing="0" w:line="29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185" w:name="_Toc28597"/>
            <w:r>
              <w:rPr>
                <w:rFonts w:hint="default" w:ascii="Times New Roman" w:hAnsi="Times New Roman" w:cs="Times New Roman"/>
                <w:color w:val="auto"/>
                <w:sz w:val="20"/>
                <w:szCs w:val="20"/>
                <w:shd w:val="clear" w:color="auto" w:fill="auto"/>
              </w:rPr>
              <w:t>10</w:t>
            </w:r>
            <w:bookmarkEnd w:id="185"/>
          </w:p>
        </w:tc>
      </w:tr>
      <w:tr>
        <w:trPr>
          <w:trHeight w:val="397" w:hRule="atLeast"/>
        </w:trPr>
        <w:tc>
          <w:tcPr>
            <w:tcW w:w="1368"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pStyle w:val="18"/>
              <w:shd w:val="clear" w:color="auto" w:fill="auto"/>
              <w:wordWrap/>
              <w:adjustRightInd/>
              <w:snapToGrid w:val="0"/>
              <w:spacing w:before="0" w:beforeAutospacing="0" w:after="0" w:afterAutospacing="0" w:line="290" w:lineRule="exact"/>
              <w:ind w:left="0" w:right="0"/>
              <w:jc w:val="center"/>
              <w:textAlignment w:val="auto"/>
              <w:outlineLvl w:val="9"/>
              <w:rPr>
                <w:rFonts w:hint="default" w:ascii="Times New Roman" w:hAnsi="Times New Roman" w:cs="Times New Roman"/>
                <w:color w:val="auto"/>
                <w:kern w:val="2"/>
                <w:sz w:val="21"/>
                <w:szCs w:val="21"/>
                <w:shd w:val="clear" w:color="auto" w:fill="auto"/>
              </w:rPr>
            </w:pPr>
            <w:bookmarkStart w:id="186" w:name="_Toc19271"/>
            <w:r>
              <w:rPr>
                <w:rFonts w:hint="default" w:ascii="Times New Roman" w:hAnsi="Times New Roman" w:cs="Times New Roman"/>
                <w:color w:val="auto"/>
                <w:kern w:val="2"/>
                <w:sz w:val="21"/>
                <w:szCs w:val="21"/>
                <w:shd w:val="clear" w:color="auto" w:fill="auto"/>
              </w:rPr>
              <w:t>贮存工业固体废物未采取符合国家环境保护标准的防护措施的</w:t>
            </w:r>
            <w:bookmarkEnd w:id="186"/>
          </w:p>
        </w:tc>
      </w:tr>
      <w:tr>
        <w:trPr>
          <w:trHeight w:val="1850" w:hRule="atLeast"/>
        </w:trPr>
        <w:tc>
          <w:tcPr>
            <w:tcW w:w="1368"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pStyle w:val="18"/>
              <w:shd w:val="clear" w:color="auto" w:fill="auto"/>
              <w:wordWrap/>
              <w:adjustRightInd/>
              <w:snapToGrid w:val="0"/>
              <w:spacing w:before="0" w:beforeAutospacing="0" w:after="0" w:afterAutospacing="0" w:line="290" w:lineRule="exact"/>
              <w:ind w:left="0" w:right="0" w:firstLine="357"/>
              <w:jc w:val="both"/>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 xml:space="preserve">《中华人民共和国固体废物污染环境防治法》第四十条第一款 </w:t>
            </w:r>
            <w:r>
              <w:rPr>
                <w:rFonts w:hint="default" w:ascii="Times New Roman" w:hAnsi="Times New Roman" w:cs="Times New Roman"/>
                <w:color w:val="auto"/>
                <w:kern w:val="2"/>
                <w:sz w:val="21"/>
                <w:szCs w:val="21"/>
                <w:shd w:val="clear" w:color="auto" w:fill="auto"/>
              </w:rPr>
              <w:t xml:space="preserve"> 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p>
        </w:tc>
      </w:tr>
      <w:tr>
        <w:trPr>
          <w:trHeight w:val="3430" w:hRule="atLeast"/>
        </w:trPr>
        <w:tc>
          <w:tcPr>
            <w:tcW w:w="1368"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widowControl/>
              <w:shd w:val="clear" w:color="auto" w:fill="auto"/>
              <w:wordWrap/>
              <w:adjustRightInd/>
              <w:snapToGrid w:val="0"/>
              <w:spacing w:before="0" w:beforeAutospacing="0" w:after="0" w:afterAutospacing="0" w:line="290" w:lineRule="exact"/>
              <w:ind w:left="0" w:right="0" w:firstLine="42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《中华人民共和国固体废物污染环境防治法》</w:t>
            </w:r>
            <w:r>
              <w:rPr>
                <w:rFonts w:hint="default" w:ascii="Times New Roman" w:hAnsi="Times New Roman" w:cs="Times New Roman"/>
                <w:b/>
                <w:bCs/>
                <w:color w:val="auto"/>
                <w:kern w:val="0"/>
                <w:sz w:val="20"/>
                <w:szCs w:val="20"/>
                <w:shd w:val="clear" w:color="auto" w:fill="auto"/>
              </w:rPr>
              <w:t>第一百零二条第一款第（十）项、第二款</w:t>
            </w:r>
            <w:r>
              <w:rPr>
                <w:rFonts w:hint="default" w:ascii="Times New Roman" w:hAnsi="Times New Roman" w:cs="Times New Roman"/>
                <w:color w:val="auto"/>
                <w:sz w:val="20"/>
                <w:szCs w:val="20"/>
                <w:shd w:val="clear" w:color="auto" w:fill="auto"/>
              </w:rPr>
              <w:t>　违反本法规定，有下列行为之一，由生态环境主管部门责令改正，处以罚款，没收违法所得；情节严重的，报经有批准权的人民政府批准，可以责令停业或者关闭：</w:t>
            </w:r>
          </w:p>
          <w:p>
            <w:pPr>
              <w:widowControl/>
              <w:shd w:val="clear" w:color="auto" w:fill="auto"/>
              <w:wordWrap/>
              <w:adjustRightInd/>
              <w:snapToGrid w:val="0"/>
              <w:spacing w:before="0" w:beforeAutospacing="0" w:after="0" w:afterAutospacing="0" w:line="290" w:lineRule="exact"/>
              <w:ind w:left="0" w:right="0" w:firstLine="42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（十）贮存工业固体废物未采取符合国家环境保护标准的防护措施的；</w:t>
            </w:r>
          </w:p>
          <w:p>
            <w:pPr>
              <w:pStyle w:val="18"/>
              <w:shd w:val="clear" w:color="auto" w:fill="auto"/>
              <w:wordWrap/>
              <w:adjustRightInd/>
              <w:snapToGrid w:val="0"/>
              <w:spacing w:before="0" w:beforeAutospacing="0" w:after="0" w:afterAutospacing="0" w:line="290" w:lineRule="exact"/>
              <w:ind w:left="0" w:right="0" w:firstLine="360"/>
              <w:jc w:val="both"/>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r>
      <w:tr>
        <w:trPr>
          <w:trHeight w:val="369" w:hRule="atLeast"/>
        </w:trPr>
        <w:tc>
          <w:tcPr>
            <w:tcW w:w="1368"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572"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12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trPr>
        <w:tc>
          <w:tcPr>
            <w:tcW w:w="1368"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572"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未规范采取符合国家环境保护标准的防护措施的</w:t>
            </w:r>
          </w:p>
        </w:tc>
        <w:tc>
          <w:tcPr>
            <w:tcW w:w="212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未采取符合国家环境保护标准的防护措施的</w:t>
            </w:r>
          </w:p>
        </w:tc>
        <w:tc>
          <w:tcPr>
            <w:tcW w:w="212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trPr>
        <w:tc>
          <w:tcPr>
            <w:tcW w:w="1368"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涉案固体</w:t>
            </w:r>
          </w:p>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废物总量</w:t>
            </w:r>
          </w:p>
        </w:tc>
        <w:tc>
          <w:tcPr>
            <w:tcW w:w="5572" w:type="dxa"/>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30吨以下</w:t>
            </w:r>
          </w:p>
        </w:tc>
        <w:tc>
          <w:tcPr>
            <w:tcW w:w="2120" w:type="dxa"/>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369" w:hRule="atLeast"/>
        </w:trPr>
        <w:tc>
          <w:tcPr>
            <w:tcW w:w="1368"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572" w:type="dxa"/>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30吨以上100吨以下</w:t>
            </w:r>
          </w:p>
        </w:tc>
        <w:tc>
          <w:tcPr>
            <w:tcW w:w="2120" w:type="dxa"/>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369" w:hRule="atLeast"/>
        </w:trPr>
        <w:tc>
          <w:tcPr>
            <w:tcW w:w="1368"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572" w:type="dxa"/>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100吨以上500吨以下</w:t>
            </w:r>
          </w:p>
        </w:tc>
        <w:tc>
          <w:tcPr>
            <w:tcW w:w="2120" w:type="dxa"/>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369" w:hRule="atLeast"/>
        </w:trPr>
        <w:tc>
          <w:tcPr>
            <w:tcW w:w="1368"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572" w:type="dxa"/>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500吨以上1000吨以下</w:t>
            </w:r>
          </w:p>
        </w:tc>
        <w:tc>
          <w:tcPr>
            <w:tcW w:w="2120" w:type="dxa"/>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4</w:t>
            </w:r>
          </w:p>
        </w:tc>
      </w:tr>
      <w:tr>
        <w:trPr>
          <w:trHeight w:val="369" w:hRule="atLeast"/>
        </w:trPr>
        <w:tc>
          <w:tcPr>
            <w:tcW w:w="1368"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572" w:type="dxa"/>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1000吨以上</w:t>
            </w:r>
          </w:p>
        </w:tc>
        <w:tc>
          <w:tcPr>
            <w:tcW w:w="2120" w:type="dxa"/>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w:t>
            </w:r>
          </w:p>
        </w:tc>
      </w:tr>
      <w:tr>
        <w:trPr>
          <w:trHeight w:val="369" w:hRule="atLeast"/>
        </w:trPr>
        <w:tc>
          <w:tcPr>
            <w:tcW w:w="1368"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固废类别</w:t>
            </w:r>
          </w:p>
        </w:tc>
        <w:tc>
          <w:tcPr>
            <w:tcW w:w="5572"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第Ⅰ类一般工业固体废物</w:t>
            </w:r>
          </w:p>
        </w:tc>
        <w:tc>
          <w:tcPr>
            <w:tcW w:w="212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68"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第Ⅱ类一般工业固体废物</w:t>
            </w:r>
          </w:p>
        </w:tc>
        <w:tc>
          <w:tcPr>
            <w:tcW w:w="212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68"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贮存地点</w:t>
            </w:r>
          </w:p>
        </w:tc>
        <w:tc>
          <w:tcPr>
            <w:tcW w:w="5572" w:type="dxa"/>
            <w:vAlign w:val="center"/>
          </w:tcPr>
          <w:p>
            <w:pPr>
              <w:widowControl w:val="0"/>
              <w:shd w:val="clear" w:color="auto" w:fill="auto"/>
              <w:tabs>
                <w:tab w:val="center" w:pos="4153"/>
                <w:tab w:val="right" w:pos="8306"/>
              </w:tabs>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符合环境功能区划</w:t>
            </w:r>
          </w:p>
        </w:tc>
        <w:tc>
          <w:tcPr>
            <w:tcW w:w="2120"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69" w:hRule="atLeast"/>
        </w:trPr>
        <w:tc>
          <w:tcPr>
            <w:tcW w:w="1368"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572" w:type="dxa"/>
            <w:vAlign w:val="center"/>
          </w:tcPr>
          <w:p>
            <w:pPr>
              <w:widowControl w:val="0"/>
              <w:shd w:val="clear" w:color="auto" w:fill="auto"/>
              <w:tabs>
                <w:tab w:val="center" w:pos="4153"/>
                <w:tab w:val="right" w:pos="8306"/>
              </w:tabs>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不符合环境功能区划，但位于居住区、商业交通居民混合区、文化区、工业区和农村地区</w:t>
            </w:r>
          </w:p>
        </w:tc>
        <w:tc>
          <w:tcPr>
            <w:tcW w:w="2120"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69" w:hRule="atLeast"/>
        </w:trPr>
        <w:tc>
          <w:tcPr>
            <w:tcW w:w="1368" w:type="dxa"/>
            <w:vMerge w:val="continue"/>
            <w:vAlign w:val="center"/>
          </w:tcPr>
          <w:p>
            <w:pPr>
              <w:shd w:val="clear" w:color="auto" w:fill="auto"/>
              <w:wordWrap/>
              <w:adjustRightInd/>
              <w:snapToGrid w:val="0"/>
              <w:spacing w:before="0" w:beforeAutospacing="0" w:after="0" w:afterAutospacing="0" w:line="290" w:lineRule="exact"/>
              <w:ind w:left="0" w:right="0"/>
              <w:textAlignment w:val="auto"/>
              <w:rPr>
                <w:rFonts w:hint="default" w:ascii="Times New Roman" w:hAnsi="Times New Roman" w:cs="Times New Roman"/>
                <w:b/>
                <w:bCs/>
                <w:color w:val="auto"/>
                <w:sz w:val="20"/>
                <w:szCs w:val="20"/>
                <w:shd w:val="clear" w:color="auto" w:fill="auto"/>
              </w:rPr>
            </w:pPr>
          </w:p>
        </w:tc>
        <w:tc>
          <w:tcPr>
            <w:tcW w:w="5572" w:type="dxa"/>
            <w:vAlign w:val="center"/>
          </w:tcPr>
          <w:p>
            <w:pPr>
              <w:widowControl w:val="0"/>
              <w:shd w:val="clear" w:color="auto" w:fill="auto"/>
              <w:tabs>
                <w:tab w:val="center" w:pos="4153"/>
                <w:tab w:val="right" w:pos="8306"/>
              </w:tabs>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不符合环境功能区划，但位于自然保护区、风景名胜区和其他需要特殊保护的区域</w:t>
            </w:r>
          </w:p>
        </w:tc>
        <w:tc>
          <w:tcPr>
            <w:tcW w:w="2120" w:type="dxa"/>
            <w:vAlign w:val="center"/>
          </w:tcPr>
          <w:p>
            <w:pPr>
              <w:widowControl w:val="0"/>
              <w:shd w:val="clear" w:color="auto" w:fill="auto"/>
              <w:tabs>
                <w:tab w:val="center" w:pos="4153"/>
                <w:tab w:val="right" w:pos="8306"/>
              </w:tabs>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69" w:hRule="atLeast"/>
        </w:trPr>
        <w:tc>
          <w:tcPr>
            <w:tcW w:w="1368"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w:t>
            </w:r>
            <w:r>
              <w:rPr>
                <w:rFonts w:hint="default" w:ascii="Times New Roman" w:hAnsi="Times New Roman" w:cs="Times New Roman"/>
                <w:b/>
                <w:bCs/>
                <w:color w:val="auto"/>
                <w:sz w:val="20"/>
                <w:szCs w:val="20"/>
                <w:shd w:val="clear" w:color="auto" w:fill="auto"/>
                <w:lang w:val="en-US"/>
              </w:rPr>
              <w:t>规模</w:t>
            </w:r>
          </w:p>
        </w:tc>
        <w:tc>
          <w:tcPr>
            <w:tcW w:w="5572"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12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12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69" w:hRule="atLeast"/>
        </w:trPr>
        <w:tc>
          <w:tcPr>
            <w:tcW w:w="1368"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12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69" w:hRule="atLeast"/>
        </w:trPr>
        <w:tc>
          <w:tcPr>
            <w:tcW w:w="1368"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wordWrap/>
              <w:adjustRightInd/>
              <w:snapToGrid w:val="0"/>
              <w:spacing w:before="0" w:beforeAutospacing="0" w:after="0" w:afterAutospacing="0" w:line="290" w:lineRule="exact"/>
              <w:ind w:left="0" w:right="0" w:firstLine="2280" w:firstLineChars="1200"/>
              <w:jc w:val="both"/>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212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rPr>
            </w:pPr>
            <w:r>
              <w:rPr>
                <w:rFonts w:hint="default" w:ascii="Times New Roman" w:hAnsi="Times New Roman" w:cs="Times New Roman"/>
                <w:b/>
                <w:bCs/>
                <w:color w:val="auto"/>
                <w:sz w:val="20"/>
                <w:szCs w:val="20"/>
                <w:shd w:val="clear" w:color="auto" w:fill="auto"/>
                <w:lang w:val="en-US"/>
              </w:rPr>
              <w:t>管理类别</w:t>
            </w:r>
          </w:p>
        </w:tc>
        <w:tc>
          <w:tcPr>
            <w:tcW w:w="557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登记管理</w:t>
            </w:r>
          </w:p>
        </w:tc>
        <w:tc>
          <w:tcPr>
            <w:tcW w:w="21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57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1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57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重点管理</w:t>
            </w:r>
          </w:p>
        </w:tc>
        <w:tc>
          <w:tcPr>
            <w:tcW w:w="21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5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1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5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1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5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1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5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1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5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1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受处罚次数</w:t>
            </w:r>
          </w:p>
        </w:tc>
        <w:tc>
          <w:tcPr>
            <w:tcW w:w="55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两年内受到同类处罚1次</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两年内受到同类处罚2次以上</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57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1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1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1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7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1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69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649"/>
      </w:tblGrid>
      <w:tr>
        <w:trPr>
          <w:trHeight w:val="363"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63"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87" w:name="_Toc12158"/>
            <w:r>
              <w:rPr>
                <w:rFonts w:hint="default" w:ascii="Times New Roman" w:hAnsi="Times New Roman" w:cs="Times New Roman"/>
                <w:color w:val="auto"/>
                <w:sz w:val="20"/>
                <w:szCs w:val="20"/>
                <w:shd w:val="clear" w:color="auto" w:fill="auto"/>
              </w:rPr>
              <w:t>11</w:t>
            </w:r>
            <w:bookmarkEnd w:id="187"/>
          </w:p>
        </w:tc>
      </w:tr>
      <w:tr>
        <w:trPr>
          <w:trHeight w:val="363"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top"/>
          </w:tcPr>
          <w:p>
            <w:pPr>
              <w:pStyle w:val="18"/>
              <w:shd w:val="clear" w:color="auto" w:fill="auto"/>
              <w:snapToGrid w:val="0"/>
              <w:spacing w:before="0" w:beforeAutospacing="0" w:after="0" w:afterAutospacing="0" w:line="320" w:lineRule="exact"/>
              <w:ind w:left="0" w:right="0" w:firstLine="420" w:firstLineChars="200"/>
              <w:outlineLvl w:val="9"/>
              <w:rPr>
                <w:rFonts w:hint="default" w:ascii="Times New Roman" w:hAnsi="Times New Roman" w:cs="Times New Roman"/>
                <w:color w:val="auto"/>
                <w:sz w:val="21"/>
                <w:szCs w:val="21"/>
                <w:shd w:val="clear" w:color="auto" w:fill="auto"/>
              </w:rPr>
            </w:pPr>
            <w:bookmarkStart w:id="188" w:name="_Toc582"/>
            <w:r>
              <w:rPr>
                <w:rFonts w:hint="default" w:ascii="Times New Roman" w:hAnsi="Times New Roman" w:cs="Times New Roman"/>
                <w:color w:val="auto"/>
                <w:sz w:val="21"/>
                <w:szCs w:val="21"/>
                <w:shd w:val="clear" w:color="auto" w:fill="auto"/>
              </w:rPr>
              <w:t>以拖延、围堵、滞留执法人员等方式拒绝、阻挠监督检查，或者在接受监督检查时弄虚作假的</w:t>
            </w:r>
            <w:bookmarkEnd w:id="188"/>
          </w:p>
        </w:tc>
      </w:tr>
      <w:tr>
        <w:trPr>
          <w:trHeight w:val="363"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top"/>
          </w:tcPr>
          <w:p>
            <w:pPr>
              <w:pStyle w:val="19"/>
              <w:shd w:val="clear" w:color="auto" w:fill="auto"/>
              <w:snapToGrid w:val="0"/>
              <w:spacing w:before="0" w:beforeAutospacing="0" w:after="0" w:afterAutospacing="0" w:line="320" w:lineRule="exact"/>
              <w:ind w:left="0" w:right="0" w:firstLine="482"/>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《中华人民共和国固体废物污染环境防治法》第二十六条第一款  </w:t>
            </w:r>
            <w:r>
              <w:rPr>
                <w:rFonts w:hint="default" w:ascii="Times New Roman" w:hAnsi="Times New Roman" w:cs="Times New Roman"/>
                <w:color w:val="auto"/>
                <w:sz w:val="21"/>
                <w:szCs w:val="21"/>
                <w:shd w:val="clear" w:color="auto" w:fill="auto"/>
              </w:rPr>
              <w:t>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tc>
      </w:tr>
      <w:tr>
        <w:trPr>
          <w:trHeight w:val="363"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top"/>
          </w:tcPr>
          <w:p>
            <w:pPr>
              <w:pStyle w:val="19"/>
              <w:shd w:val="clear" w:color="auto" w:fill="auto"/>
              <w:snapToGrid w:val="0"/>
              <w:spacing w:before="0" w:beforeAutospacing="0" w:after="0" w:afterAutospacing="0" w:line="320" w:lineRule="exact"/>
              <w:ind w:left="0" w:right="0" w:firstLine="482"/>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《中华人民共和国固体废物污染环境防治法》第一百零三条　</w:t>
            </w:r>
            <w:r>
              <w:rPr>
                <w:rFonts w:hint="default" w:ascii="Times New Roman" w:hAnsi="Times New Roman" w:cs="Times New Roman"/>
                <w:color w:val="auto"/>
                <w:sz w:val="21"/>
                <w:szCs w:val="21"/>
                <w:shd w:val="clear" w:color="auto" w:fill="auto"/>
              </w:rPr>
              <w:t>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tc>
      </w:tr>
      <w:tr>
        <w:trPr>
          <w:trHeight w:val="363"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3"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★拒绝检查</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rPr>
              <w:t>情形</w:t>
            </w: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迟滞10分钟以上30分钟</w:t>
            </w:r>
            <w:r>
              <w:rPr>
                <w:rFonts w:hint="default" w:ascii="Times New Roman" w:hAnsi="Times New Roman" w:cs="Times New Roman"/>
                <w:color w:val="auto"/>
                <w:sz w:val="21"/>
                <w:szCs w:val="21"/>
                <w:shd w:val="clear" w:color="auto" w:fill="auto"/>
                <w:lang/>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3"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1"/>
                <w:szCs w:val="21"/>
                <w:shd w:val="clear" w:color="auto" w:fill="auto"/>
                <w:lang w:eastAsia="zh-CN"/>
              </w:rPr>
            </w:pPr>
            <w:r>
              <w:rPr>
                <w:rFonts w:hint="default" w:ascii="Times New Roman" w:hAnsi="Times New Roman" w:cs="Times New Roman"/>
                <w:color w:val="auto"/>
                <w:sz w:val="21"/>
                <w:szCs w:val="21"/>
                <w:shd w:val="clear" w:color="auto" w:fill="auto"/>
              </w:rPr>
              <w:t>迟滞30分钟</w:t>
            </w:r>
            <w:r>
              <w:rPr>
                <w:rFonts w:hint="default" w:ascii="Times New Roman" w:hAnsi="Times New Roman" w:cs="Times New Roman"/>
                <w:color w:val="auto"/>
                <w:sz w:val="21"/>
                <w:szCs w:val="21"/>
                <w:shd w:val="clear" w:color="auto" w:fill="auto"/>
                <w:lang/>
              </w:rPr>
              <w:t>以</w:t>
            </w:r>
            <w:r>
              <w:rPr>
                <w:rFonts w:hint="default" w:ascii="Times New Roman" w:hAnsi="Times New Roman" w:cs="Times New Roman"/>
                <w:color w:val="auto"/>
                <w:sz w:val="21"/>
                <w:szCs w:val="21"/>
                <w:shd w:val="clear" w:color="auto" w:fill="auto"/>
                <w:lang w:eastAsia="zh-CN"/>
              </w:rPr>
              <w:t>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3"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阻碍或隐匿部分资料</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3"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围堵、滞留执法人员或拒绝提供资料</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3"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暴力抗法</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3"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★弄虚作假</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rPr>
              <w:t>情形</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提供假信息</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63"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伪造现场或证据</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63"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w:t>
            </w:r>
            <w:r>
              <w:rPr>
                <w:rFonts w:hint="default" w:ascii="Times New Roman" w:hAnsi="Times New Roman" w:cs="Times New Roman"/>
                <w:b/>
                <w:bCs/>
                <w:color w:val="auto"/>
                <w:sz w:val="20"/>
                <w:szCs w:val="20"/>
                <w:shd w:val="clear" w:color="auto" w:fill="auto"/>
                <w:lang w:val="en-US"/>
              </w:rPr>
              <w:t>规模</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微型企业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363"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小型企业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63"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中型企业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63"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63"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管理类别</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登记管理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363"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简化管理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63"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重点管理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63"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固废类别</w:t>
            </w:r>
          </w:p>
        </w:tc>
        <w:tc>
          <w:tcPr>
            <w:tcW w:w="5043" w:type="dxa"/>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第Ⅰ类一般工业固体废物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3"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rPr>
              <w:t>第Ⅱ类一般工业固体废物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3"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危险废物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3"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043" w:type="dxa"/>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3"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3"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3"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spacing w:line="40" w:lineRule="exact"/>
        <w:rPr>
          <w:rFonts w:ascii="Times New Roman" w:hAnsi="Times New Roman" w:cs="Times New Roman"/>
          <w:color w:val="auto"/>
          <w:shd w:val="clear" w:color="auto" w:fill="auto"/>
        </w:rPr>
      </w:pPr>
    </w:p>
    <w:p>
      <w:pPr>
        <w:shd w:val="clear" w:color="auto" w:fill="auto"/>
        <w:snapToGrid w:val="0"/>
        <w:spacing w:line="40" w:lineRule="exact"/>
        <w:rPr>
          <w:rFonts w:ascii="Times New Roman" w:hAnsi="Times New Roman" w:cs="Times New Roman"/>
          <w:color w:val="auto"/>
          <w:shd w:val="clear" w:color="auto" w:fill="auto"/>
        </w:rPr>
      </w:pPr>
    </w:p>
    <w:p>
      <w:pPr>
        <w:shd w:val="clear" w:color="auto" w:fill="auto"/>
        <w:snapToGrid w:val="0"/>
        <w:spacing w:line="40" w:lineRule="exact"/>
        <w:rPr>
          <w:rFonts w:ascii="Times New Roman" w:hAnsi="Times New Roman" w:cs="Times New Roman"/>
          <w:color w:val="auto"/>
          <w:shd w:val="clear" w:color="auto" w:fill="auto"/>
        </w:rPr>
      </w:pPr>
    </w:p>
    <w:p>
      <w:pPr>
        <w:shd w:val="clear" w:color="auto" w:fill="auto"/>
        <w:snapToGrid w:val="0"/>
        <w:spacing w:line="240" w:lineRule="auto"/>
        <w:rPr>
          <w:rFonts w:ascii="Times New Roman" w:hAnsi="Times New Roman" w:cs="Times New Roman"/>
          <w:color w:val="auto"/>
          <w:shd w:val="clear" w:color="auto" w:fill="auto"/>
        </w:rPr>
      </w:pP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601"/>
        <w:gridCol w:w="2091"/>
      </w:tblGrid>
      <w:tr>
        <w:trPr>
          <w:trHeight w:val="397"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89" w:name="_Toc7956"/>
            <w:r>
              <w:rPr>
                <w:rFonts w:hint="default" w:ascii="Times New Roman" w:hAnsi="Times New Roman" w:cs="Times New Roman"/>
                <w:color w:val="auto"/>
                <w:sz w:val="20"/>
                <w:szCs w:val="20"/>
                <w:shd w:val="clear" w:color="auto" w:fill="auto"/>
              </w:rPr>
              <w:t>12</w:t>
            </w:r>
            <w:bookmarkEnd w:id="189"/>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90" w:name="_Toc3817"/>
            <w:r>
              <w:rPr>
                <w:rFonts w:hint="default" w:ascii="Times New Roman" w:hAnsi="Times New Roman" w:cs="Times New Roman"/>
                <w:color w:val="auto"/>
                <w:sz w:val="20"/>
                <w:szCs w:val="20"/>
                <w:shd w:val="clear" w:color="auto" w:fill="auto"/>
              </w:rPr>
              <w:t>未依法取得排污许可证产生工业固体废物的</w:t>
            </w:r>
            <w:bookmarkEnd w:id="190"/>
          </w:p>
        </w:tc>
      </w:tr>
      <w:tr>
        <w:trPr>
          <w:trHeight w:val="116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《中华人民共和国固体废物污染环境防治法》第三十九条第一款</w:t>
            </w:r>
            <w:r>
              <w:rPr>
                <w:rFonts w:hint="default" w:ascii="Times New Roman" w:hAnsi="Times New Roman" w:cs="Times New Roman"/>
                <w:color w:val="auto"/>
                <w:sz w:val="20"/>
                <w:szCs w:val="20"/>
                <w:shd w:val="clear" w:color="auto" w:fill="auto"/>
              </w:rPr>
              <w:t xml:space="preserve">  产生工业固体废物的单位应当取得排污许可证。排污许可的具体办法和实施步骤由国务院规定。</w:t>
            </w:r>
          </w:p>
        </w:tc>
      </w:tr>
      <w:tr>
        <w:trPr>
          <w:trHeight w:val="151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《中华人民共和国固体废物污染环境防治法》第一百零四条 </w:t>
            </w:r>
            <w:r>
              <w:rPr>
                <w:rFonts w:hint="default" w:ascii="Times New Roman" w:hAnsi="Times New Roman" w:cs="Times New Roman"/>
                <w:color w:val="auto"/>
                <w:sz w:val="20"/>
                <w:szCs w:val="20"/>
                <w:shd w:val="clear" w:color="auto" w:fill="auto"/>
              </w:rPr>
              <w:t xml:space="preserve"> 违反本法规定，未依法取得排污许可证产生工业固体废物的，由生态环境主管部门责令改正或者限制生产、停产整治，处十万元以上一百万元以下的罚款；情节严重的，报经有批准权的人民政府批准，责令停业或者关闭。</w:t>
            </w:r>
          </w:p>
        </w:tc>
      </w:tr>
      <w:tr>
        <w:trPr>
          <w:trHeight w:val="425"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6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0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★排污单位</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管理类别</w:t>
            </w:r>
          </w:p>
        </w:tc>
        <w:tc>
          <w:tcPr>
            <w:tcW w:w="56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rPr>
              <w:t>简化管理</w:t>
            </w:r>
          </w:p>
        </w:tc>
        <w:tc>
          <w:tcPr>
            <w:tcW w:w="20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6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重点管理</w:t>
            </w:r>
          </w:p>
        </w:tc>
        <w:tc>
          <w:tcPr>
            <w:tcW w:w="20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涉案固体</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废物总量</w:t>
            </w:r>
          </w:p>
        </w:tc>
        <w:tc>
          <w:tcPr>
            <w:tcW w:w="560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30吨以下</w:t>
            </w:r>
          </w:p>
        </w:tc>
        <w:tc>
          <w:tcPr>
            <w:tcW w:w="209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0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30吨以上100吨以下</w:t>
            </w:r>
          </w:p>
        </w:tc>
        <w:tc>
          <w:tcPr>
            <w:tcW w:w="209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0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100吨以上500吨以下</w:t>
            </w:r>
          </w:p>
        </w:tc>
        <w:tc>
          <w:tcPr>
            <w:tcW w:w="209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60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500吨以上1000吨以下</w:t>
            </w:r>
          </w:p>
        </w:tc>
        <w:tc>
          <w:tcPr>
            <w:tcW w:w="209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4</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60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1000吨以上</w:t>
            </w:r>
          </w:p>
        </w:tc>
        <w:tc>
          <w:tcPr>
            <w:tcW w:w="209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none"/>
                <w:shd w:val="clear" w:color="auto" w:fill="auto"/>
              </w:rPr>
            </w:pPr>
            <w:r>
              <w:rPr>
                <w:rFonts w:hint="default" w:ascii="Times New Roman" w:hAnsi="Times New Roman" w:cs="Times New Roman"/>
                <w:b/>
                <w:bCs/>
                <w:color w:val="auto"/>
                <w:sz w:val="20"/>
                <w:szCs w:val="20"/>
                <w:highlight w:val="none"/>
                <w:shd w:val="clear" w:color="auto" w:fill="auto"/>
              </w:rPr>
              <w:t>项目建设</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highlight w:val="yellow"/>
                <w:shd w:val="clear" w:color="auto" w:fill="auto"/>
                <w:lang w:val="en-US" w:eastAsia="zh-CN" w:bidi="ar-SA"/>
              </w:rPr>
            </w:pPr>
            <w:r>
              <w:rPr>
                <w:rFonts w:hint="default" w:ascii="Times New Roman" w:hAnsi="Times New Roman" w:cs="Times New Roman"/>
                <w:b/>
                <w:bCs/>
                <w:color w:val="auto"/>
                <w:sz w:val="20"/>
                <w:szCs w:val="20"/>
                <w:highlight w:val="none"/>
                <w:shd w:val="clear" w:color="auto" w:fill="auto"/>
              </w:rPr>
              <w:t>地点</w:t>
            </w:r>
          </w:p>
        </w:tc>
        <w:tc>
          <w:tcPr>
            <w:tcW w:w="5601"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符合环境功能区划</w:t>
            </w:r>
          </w:p>
        </w:tc>
        <w:tc>
          <w:tcPr>
            <w:tcW w:w="2091"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none"/>
                <w:shd w:val="clear" w:color="auto" w:fill="auto"/>
              </w:rPr>
            </w:pPr>
          </w:p>
        </w:tc>
        <w:tc>
          <w:tcPr>
            <w:tcW w:w="5601"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不符合环境功能区划，但位于居住区、商业交通居民混合区、文化区、工业区和农村地区</w:t>
            </w:r>
          </w:p>
        </w:tc>
        <w:tc>
          <w:tcPr>
            <w:tcW w:w="2091" w:type="dxa"/>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93"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yellow"/>
                <w:shd w:val="clear" w:color="auto" w:fill="auto"/>
              </w:rPr>
            </w:pPr>
          </w:p>
        </w:tc>
        <w:tc>
          <w:tcPr>
            <w:tcW w:w="5601"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不符合环境功能区划，但位于自然保护区、风景名胜区和其他需要特殊保护的区域</w:t>
            </w:r>
          </w:p>
        </w:tc>
        <w:tc>
          <w:tcPr>
            <w:tcW w:w="2091" w:type="dxa"/>
            <w:vAlign w:val="center"/>
          </w:tcPr>
          <w:p>
            <w:pPr>
              <w:widowControl w:val="0"/>
              <w:shd w:val="clear" w:color="auto" w:fill="auto"/>
              <w:tabs>
                <w:tab w:val="center" w:pos="4153"/>
                <w:tab w:val="right" w:pos="8306"/>
              </w:tabs>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highlight w:val="yellow"/>
                <w:shd w:val="clear" w:color="auto" w:fill="auto"/>
                <w:lang w:val="en-US" w:eastAsia="zh-CN" w:bidi="ar-SA"/>
              </w:rPr>
            </w:pPr>
            <w:r>
              <w:rPr>
                <w:rFonts w:hint="default" w:ascii="Times New Roman" w:hAnsi="Times New Roman" w:cs="Times New Roman"/>
                <w:b/>
                <w:bCs/>
                <w:color w:val="auto"/>
                <w:sz w:val="20"/>
                <w:szCs w:val="20"/>
                <w:highlight w:val="none"/>
                <w:shd w:val="clear" w:color="auto" w:fill="auto"/>
              </w:rPr>
              <w:t>污染防治设施建设情况</w:t>
            </w:r>
          </w:p>
        </w:tc>
        <w:tc>
          <w:tcPr>
            <w:tcW w:w="56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配套污染防治设施已建成的</w:t>
            </w:r>
          </w:p>
        </w:tc>
        <w:tc>
          <w:tcPr>
            <w:tcW w:w="20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配套污染防治设施正在建设的</w:t>
            </w:r>
          </w:p>
        </w:tc>
        <w:tc>
          <w:tcPr>
            <w:tcW w:w="20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配套污染防治设施尚未建设的</w:t>
            </w:r>
          </w:p>
        </w:tc>
        <w:tc>
          <w:tcPr>
            <w:tcW w:w="20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60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09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p>
        </w:tc>
        <w:tc>
          <w:tcPr>
            <w:tcW w:w="560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09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p>
        </w:tc>
        <w:tc>
          <w:tcPr>
            <w:tcW w:w="560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09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p>
        </w:tc>
        <w:tc>
          <w:tcPr>
            <w:tcW w:w="560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09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p>
        </w:tc>
        <w:tc>
          <w:tcPr>
            <w:tcW w:w="560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09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固废类别</w:t>
            </w:r>
          </w:p>
        </w:tc>
        <w:tc>
          <w:tcPr>
            <w:tcW w:w="56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第Ⅰ类一般工业固体废物</w:t>
            </w:r>
          </w:p>
        </w:tc>
        <w:tc>
          <w:tcPr>
            <w:tcW w:w="20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6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第Ⅱ类一般工业固体废物</w:t>
            </w:r>
          </w:p>
        </w:tc>
        <w:tc>
          <w:tcPr>
            <w:tcW w:w="20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rPr>
              <w:t>企业规模</w:t>
            </w:r>
          </w:p>
        </w:tc>
        <w:tc>
          <w:tcPr>
            <w:tcW w:w="56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微型企业</w:t>
            </w:r>
          </w:p>
        </w:tc>
        <w:tc>
          <w:tcPr>
            <w:tcW w:w="20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小型企业</w:t>
            </w:r>
          </w:p>
        </w:tc>
        <w:tc>
          <w:tcPr>
            <w:tcW w:w="20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2</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中型企业</w:t>
            </w:r>
          </w:p>
        </w:tc>
        <w:tc>
          <w:tcPr>
            <w:tcW w:w="20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0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大型企业</w:t>
            </w:r>
          </w:p>
        </w:tc>
        <w:tc>
          <w:tcPr>
            <w:tcW w:w="20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60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0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60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0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60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0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60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0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5041"/>
        <w:gridCol w:w="2587"/>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97" w:hRule="atLeast"/>
          <w:jc w:val="center"/>
        </w:trPr>
        <w:tc>
          <w:tcPr>
            <w:tcW w:w="1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28"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91" w:name="_Toc7070"/>
            <w:r>
              <w:rPr>
                <w:rFonts w:hint="default" w:ascii="Times New Roman" w:hAnsi="Times New Roman" w:cs="Times New Roman"/>
                <w:color w:val="auto"/>
                <w:sz w:val="20"/>
                <w:szCs w:val="20"/>
                <w:shd w:val="clear" w:color="auto" w:fill="auto"/>
              </w:rPr>
              <w:t>13</w:t>
            </w:r>
            <w:bookmarkEnd w:id="191"/>
          </w:p>
        </w:tc>
      </w:tr>
      <w:tr>
        <w:trPr>
          <w:trHeight w:val="397" w:hRule="atLeast"/>
          <w:jc w:val="center"/>
        </w:trPr>
        <w:tc>
          <w:tcPr>
            <w:tcW w:w="1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28" w:type="dxa"/>
            <w:gridSpan w:val="2"/>
            <w:vAlign w:val="center"/>
          </w:tcPr>
          <w:p>
            <w:pPr>
              <w:shd w:val="clear" w:color="auto" w:fill="auto"/>
              <w:snapToGrid w:val="0"/>
              <w:spacing w:before="0" w:beforeAutospacing="0" w:after="0" w:afterAutospacing="0" w:line="320" w:lineRule="exact"/>
              <w:ind w:left="0" w:right="0" w:firstLine="420" w:firstLineChars="200"/>
              <w:jc w:val="left"/>
              <w:outlineLvl w:val="9"/>
              <w:rPr>
                <w:rFonts w:hint="default" w:ascii="Times New Roman" w:hAnsi="Times New Roman" w:cs="Times New Roman"/>
                <w:color w:val="auto"/>
                <w:sz w:val="20"/>
                <w:szCs w:val="20"/>
                <w:shd w:val="clear" w:color="auto" w:fill="auto"/>
              </w:rPr>
            </w:pPr>
            <w:bookmarkStart w:id="192" w:name="_Toc5140"/>
            <w:r>
              <w:rPr>
                <w:rFonts w:hint="default" w:ascii="Times New Roman" w:hAnsi="Times New Roman" w:cs="Times New Roman"/>
                <w:color w:val="auto"/>
                <w:sz w:val="20"/>
                <w:szCs w:val="20"/>
                <w:shd w:val="clear" w:color="auto" w:fill="auto"/>
              </w:rPr>
              <w:t>从事畜禽规模养殖未按照国家有关规定收集、贮存、处置畜禽粪便，造成环境污染的</w:t>
            </w:r>
            <w:bookmarkEnd w:id="192"/>
          </w:p>
        </w:tc>
      </w:tr>
      <w:tr>
        <w:trPr>
          <w:trHeight w:val="397" w:hRule="atLeast"/>
          <w:jc w:val="center"/>
        </w:trPr>
        <w:tc>
          <w:tcPr>
            <w:tcW w:w="1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28" w:type="dxa"/>
            <w:gridSpan w:val="2"/>
            <w:vAlign w:val="top"/>
          </w:tcPr>
          <w:p>
            <w:pPr>
              <w:pStyle w:val="19"/>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《中华人民共和国固体废物污染环境防治法》第六十五条第二款</w:t>
            </w:r>
            <w:r>
              <w:rPr>
                <w:rFonts w:hint="default" w:ascii="Times New Roman" w:hAnsi="Times New Roman" w:cs="Times New Roman"/>
                <w:color w:val="auto"/>
                <w:sz w:val="21"/>
                <w:szCs w:val="21"/>
                <w:shd w:val="clear" w:color="auto" w:fill="auto"/>
              </w:rPr>
              <w:t xml:space="preserve"> </w:t>
            </w:r>
            <w:r>
              <w:rPr>
                <w:rFonts w:hint="default" w:ascii="Times New Roman" w:hAnsi="Times New Roman" w:cs="Times New Roman"/>
                <w:color w:val="auto"/>
                <w:kern w:val="2"/>
                <w:sz w:val="21"/>
                <w:szCs w:val="21"/>
                <w:shd w:val="clear" w:color="auto" w:fill="auto"/>
              </w:rPr>
              <w:t>从事畜禽规模养殖应当及时收集、贮存、利用或者处置养殖过程中产生的畜禽粪污等固体废物，避免造成环境污染。</w:t>
            </w:r>
          </w:p>
        </w:tc>
      </w:tr>
      <w:tr>
        <w:trPr>
          <w:trHeight w:val="397" w:hRule="atLeast"/>
          <w:jc w:val="center"/>
        </w:trPr>
        <w:tc>
          <w:tcPr>
            <w:tcW w:w="1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28" w:type="dxa"/>
            <w:gridSpan w:val="2"/>
            <w:vAlign w:val="top"/>
          </w:tcPr>
          <w:p>
            <w:pPr>
              <w:shd w:val="clear" w:color="auto" w:fill="auto"/>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《中华人民共和国固体废物污染环境防治法》第一百零七条</w:t>
            </w:r>
            <w:r>
              <w:rPr>
                <w:rFonts w:hint="default" w:ascii="Times New Roman" w:hAnsi="Times New Roman" w:cs="Times New Roman"/>
                <w:color w:val="auto"/>
                <w:sz w:val="20"/>
                <w:szCs w:val="20"/>
                <w:shd w:val="clear" w:color="auto" w:fill="auto"/>
              </w:rPr>
              <w:t xml:space="preserve"> 从事畜禽规模养殖未及时收集、贮存、利用或者处置养殖过程中产生的畜禽粪污等固体废物的，由生态环境主管部门责令改正，可以处十万元以下的罚款；情节严重的，报经有批准权的人民政府批准，责令停业或者关闭。</w:t>
            </w:r>
          </w:p>
        </w:tc>
      </w:tr>
      <w:tr>
        <w:trPr>
          <w:trHeight w:val="454" w:hRule="atLeast"/>
          <w:jc w:val="center"/>
        </w:trPr>
        <w:tc>
          <w:tcPr>
            <w:tcW w:w="1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jc w:val="center"/>
        </w:trPr>
        <w:tc>
          <w:tcPr>
            <w:tcW w:w="143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rPr>
              <w:t>★建设地点</w:t>
            </w:r>
          </w:p>
        </w:tc>
        <w:tc>
          <w:tcPr>
            <w:tcW w:w="50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非禁养区</w:t>
            </w:r>
          </w:p>
        </w:tc>
        <w:tc>
          <w:tcPr>
            <w:tcW w:w="25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限养区</w:t>
            </w:r>
          </w:p>
        </w:tc>
        <w:tc>
          <w:tcPr>
            <w:tcW w:w="2587"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3</w:t>
            </w:r>
          </w:p>
        </w:tc>
      </w:tr>
      <w:tr>
        <w:trPr>
          <w:trHeight w:val="425"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禁养区</w:t>
            </w:r>
          </w:p>
        </w:tc>
        <w:tc>
          <w:tcPr>
            <w:tcW w:w="2587"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5</w:t>
            </w:r>
          </w:p>
        </w:tc>
      </w:tr>
      <w:tr>
        <w:trPr>
          <w:trHeight w:val="425" w:hRule="atLeast"/>
          <w:jc w:val="center"/>
        </w:trPr>
        <w:tc>
          <w:tcPr>
            <w:tcW w:w="143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养殖规模</w:t>
            </w:r>
          </w:p>
        </w:tc>
        <w:tc>
          <w:tcPr>
            <w:tcW w:w="504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1"/>
                <w:szCs w:val="21"/>
                <w:shd w:val="clear" w:color="auto" w:fill="auto"/>
                <w:lang w:eastAsia="zh-CN"/>
              </w:rPr>
            </w:pPr>
            <w:r>
              <w:rPr>
                <w:rFonts w:hint="default" w:ascii="Times New Roman" w:hAnsi="Times New Roman" w:cs="Times New Roman"/>
                <w:color w:val="auto"/>
                <w:sz w:val="21"/>
                <w:szCs w:val="21"/>
                <w:shd w:val="clear" w:color="auto" w:fill="auto"/>
              </w:rPr>
              <w:t>年出栏生猪500头</w:t>
            </w:r>
            <w:r>
              <w:rPr>
                <w:rFonts w:hint="default" w:ascii="Times New Roman" w:hAnsi="Times New Roman" w:cs="Times New Roman"/>
                <w:color w:val="auto"/>
                <w:sz w:val="21"/>
                <w:szCs w:val="21"/>
                <w:shd w:val="clear" w:color="auto" w:fill="auto"/>
                <w:lang w:eastAsia="zh-CN"/>
              </w:rPr>
              <w:t>以下</w:t>
            </w:r>
          </w:p>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(其他畜禽种类折合猪的养殖规模)</w:t>
            </w:r>
          </w:p>
        </w:tc>
        <w:tc>
          <w:tcPr>
            <w:tcW w:w="2587"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425"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年出栏生猪500</w:t>
            </w:r>
            <w:r>
              <w:rPr>
                <w:rFonts w:hint="default" w:ascii="Times New Roman" w:hAnsi="Times New Roman" w:cs="Times New Roman"/>
                <w:color w:val="auto"/>
                <w:sz w:val="21"/>
                <w:szCs w:val="21"/>
                <w:shd w:val="clear" w:color="auto" w:fill="auto"/>
                <w:lang w:eastAsia="zh-CN"/>
              </w:rPr>
              <w:t>头以上</w:t>
            </w:r>
            <w:r>
              <w:rPr>
                <w:rFonts w:hint="default" w:ascii="Times New Roman" w:hAnsi="Times New Roman" w:cs="Times New Roman"/>
                <w:color w:val="auto"/>
                <w:sz w:val="21"/>
                <w:szCs w:val="21"/>
                <w:shd w:val="clear" w:color="auto" w:fill="auto"/>
              </w:rPr>
              <w:t>1000头</w:t>
            </w:r>
            <w:r>
              <w:rPr>
                <w:rFonts w:hint="default" w:ascii="Times New Roman" w:hAnsi="Times New Roman" w:cs="Times New Roman"/>
                <w:color w:val="auto"/>
                <w:sz w:val="21"/>
                <w:szCs w:val="21"/>
                <w:shd w:val="clear" w:color="auto" w:fill="auto"/>
                <w:lang w:eastAsia="zh-CN"/>
              </w:rPr>
              <w:t>以下</w:t>
            </w:r>
          </w:p>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(其他畜禽种类折合猪的养殖规模)</w:t>
            </w:r>
          </w:p>
        </w:tc>
        <w:tc>
          <w:tcPr>
            <w:tcW w:w="2587"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425"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年出栏生猪1000</w:t>
            </w:r>
            <w:r>
              <w:rPr>
                <w:rFonts w:hint="default" w:ascii="Times New Roman" w:hAnsi="Times New Roman" w:cs="Times New Roman"/>
                <w:color w:val="auto"/>
                <w:sz w:val="21"/>
                <w:szCs w:val="21"/>
                <w:shd w:val="clear" w:color="auto" w:fill="auto"/>
                <w:lang w:eastAsia="zh-CN"/>
              </w:rPr>
              <w:t>以上</w:t>
            </w:r>
            <w:r>
              <w:rPr>
                <w:rFonts w:hint="default" w:ascii="Times New Roman" w:hAnsi="Times New Roman" w:cs="Times New Roman"/>
                <w:color w:val="auto"/>
                <w:sz w:val="21"/>
                <w:szCs w:val="21"/>
                <w:shd w:val="clear" w:color="auto" w:fill="auto"/>
              </w:rPr>
              <w:t>1500头</w:t>
            </w:r>
            <w:r>
              <w:rPr>
                <w:rFonts w:hint="default" w:ascii="Times New Roman" w:hAnsi="Times New Roman" w:cs="Times New Roman"/>
                <w:color w:val="auto"/>
                <w:sz w:val="21"/>
                <w:szCs w:val="21"/>
                <w:shd w:val="clear" w:color="auto" w:fill="auto"/>
                <w:lang w:eastAsia="zh-CN"/>
              </w:rPr>
              <w:t>以下</w:t>
            </w:r>
          </w:p>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(其他畜禽种类折合猪的养殖规模)</w:t>
            </w:r>
          </w:p>
        </w:tc>
        <w:tc>
          <w:tcPr>
            <w:tcW w:w="2587"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425"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年出栏生猪1500</w:t>
            </w:r>
            <w:r>
              <w:rPr>
                <w:rFonts w:hint="default" w:ascii="Times New Roman" w:hAnsi="Times New Roman" w:cs="Times New Roman"/>
                <w:color w:val="auto"/>
                <w:sz w:val="21"/>
                <w:szCs w:val="21"/>
                <w:shd w:val="clear" w:color="auto" w:fill="auto"/>
                <w:lang w:eastAsia="zh-CN"/>
              </w:rPr>
              <w:t>以上</w:t>
            </w:r>
            <w:r>
              <w:rPr>
                <w:rFonts w:hint="default" w:ascii="Times New Roman" w:hAnsi="Times New Roman" w:cs="Times New Roman"/>
                <w:color w:val="auto"/>
                <w:sz w:val="21"/>
                <w:szCs w:val="21"/>
                <w:shd w:val="clear" w:color="auto" w:fill="auto"/>
              </w:rPr>
              <w:t>2000头</w:t>
            </w:r>
            <w:r>
              <w:rPr>
                <w:rFonts w:hint="default" w:ascii="Times New Roman" w:hAnsi="Times New Roman" w:cs="Times New Roman"/>
                <w:color w:val="auto"/>
                <w:sz w:val="21"/>
                <w:szCs w:val="21"/>
                <w:shd w:val="clear" w:color="auto" w:fill="auto"/>
                <w:lang w:eastAsia="zh-CN"/>
              </w:rPr>
              <w:t>以下</w:t>
            </w:r>
          </w:p>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(其他畜禽种类折合猪的养殖规模1</w:t>
            </w:r>
          </w:p>
        </w:tc>
        <w:tc>
          <w:tcPr>
            <w:tcW w:w="2587"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4</w:t>
            </w:r>
          </w:p>
        </w:tc>
      </w:tr>
      <w:tr>
        <w:trPr>
          <w:trHeight w:val="425"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年出栏生猪2000头以上</w:t>
            </w:r>
          </w:p>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(其他畜禽种类折合猪的养殖规模)</w:t>
            </w:r>
          </w:p>
        </w:tc>
        <w:tc>
          <w:tcPr>
            <w:tcW w:w="2587"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w:t>
            </w:r>
          </w:p>
        </w:tc>
      </w:tr>
      <w:tr>
        <w:trPr>
          <w:trHeight w:val="425" w:hRule="atLeast"/>
          <w:jc w:val="center"/>
        </w:trPr>
        <w:tc>
          <w:tcPr>
            <w:tcW w:w="1432"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widowControl/>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041" w:type="dxa"/>
            <w:vAlign w:val="center"/>
          </w:tcPr>
          <w:p>
            <w:pPr>
              <w:pStyle w:val="19"/>
              <w:widowControl/>
              <w:snapToGrid w:val="0"/>
              <w:ind w:left="0" w:leftChars="0" w:right="0"/>
              <w:jc w:val="center"/>
              <w:rPr>
                <w:rFonts w:hint="eastAsia" w:ascii="Times New Roman" w:hAnsi="Times New Roman" w:eastAsia="宋体" w:cs="Times New Roman"/>
                <w:color w:val="auto"/>
                <w:kern w:val="2"/>
                <w:sz w:val="21"/>
                <w:szCs w:val="21"/>
                <w:shd w:val="clear" w:color="auto" w:fill="auto"/>
                <w:lang w:eastAsia="zh-CN"/>
              </w:rPr>
            </w:pPr>
            <w:r>
              <w:rPr>
                <w:rFonts w:hint="eastAsia" w:ascii="Times New Roman" w:hAnsi="Times New Roman" w:cs="Times New Roman"/>
                <w:color w:val="auto"/>
                <w:kern w:val="2"/>
                <w:sz w:val="21"/>
                <w:szCs w:val="21"/>
                <w:shd w:val="clear" w:color="auto" w:fill="auto"/>
                <w:lang w:eastAsia="zh-CN"/>
              </w:rPr>
              <w:t>限期改正</w:t>
            </w:r>
          </w:p>
        </w:tc>
        <w:tc>
          <w:tcPr>
            <w:tcW w:w="2587" w:type="dxa"/>
            <w:vAlign w:val="center"/>
          </w:tcPr>
          <w:p>
            <w:pPr>
              <w:widowControl/>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425" w:hRule="atLeast"/>
          <w:jc w:val="center"/>
        </w:trPr>
        <w:tc>
          <w:tcPr>
            <w:tcW w:w="1432" w:type="dxa"/>
            <w:vMerge w:val="continue"/>
            <w:vAlign w:val="center"/>
          </w:tcPr>
          <w:p>
            <w:pPr>
              <w:widowControl/>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lang w:val="en-US"/>
              </w:rPr>
            </w:pPr>
          </w:p>
        </w:tc>
        <w:tc>
          <w:tcPr>
            <w:tcW w:w="5041" w:type="dxa"/>
            <w:vAlign w:val="center"/>
          </w:tcPr>
          <w:p>
            <w:pPr>
              <w:pStyle w:val="19"/>
              <w:widowControl/>
              <w:snapToGrid w:val="0"/>
              <w:ind w:left="0" w:leftChars="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kern w:val="2"/>
                <w:sz w:val="21"/>
                <w:szCs w:val="21"/>
                <w:shd w:val="clear" w:color="auto" w:fill="auto"/>
                <w:lang w:val="en-US" w:eastAsia="zh-CN"/>
              </w:rPr>
              <w:t>3天以下</w:t>
            </w:r>
          </w:p>
        </w:tc>
        <w:tc>
          <w:tcPr>
            <w:tcW w:w="2587" w:type="dxa"/>
            <w:vAlign w:val="center"/>
          </w:tcPr>
          <w:p>
            <w:pPr>
              <w:widowControl/>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425" w:hRule="atLeast"/>
          <w:jc w:val="center"/>
        </w:trPr>
        <w:tc>
          <w:tcPr>
            <w:tcW w:w="1432" w:type="dxa"/>
            <w:vMerge w:val="continue"/>
            <w:vAlign w:val="center"/>
          </w:tcPr>
          <w:p>
            <w:pPr>
              <w:widowControl/>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p>
        </w:tc>
        <w:tc>
          <w:tcPr>
            <w:tcW w:w="5041" w:type="dxa"/>
            <w:vAlign w:val="center"/>
          </w:tcPr>
          <w:p>
            <w:pPr>
              <w:pStyle w:val="19"/>
              <w:widowControl/>
              <w:snapToGrid w:val="0"/>
              <w:ind w:left="0" w:leftChars="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kern w:val="2"/>
                <w:sz w:val="21"/>
                <w:szCs w:val="21"/>
                <w:shd w:val="clear" w:color="auto" w:fill="auto"/>
                <w:lang w:val="en-US" w:eastAsia="zh-CN"/>
              </w:rPr>
              <w:t>3天以上7天以下</w:t>
            </w:r>
          </w:p>
        </w:tc>
        <w:tc>
          <w:tcPr>
            <w:tcW w:w="2587" w:type="dxa"/>
            <w:vAlign w:val="center"/>
          </w:tcPr>
          <w:p>
            <w:pPr>
              <w:widowControl/>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1"/>
                <w:szCs w:val="21"/>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425" w:hRule="atLeast"/>
          <w:jc w:val="center"/>
        </w:trPr>
        <w:tc>
          <w:tcPr>
            <w:tcW w:w="1432" w:type="dxa"/>
            <w:vMerge w:val="continue"/>
            <w:vAlign w:val="center"/>
          </w:tcPr>
          <w:p>
            <w:pPr>
              <w:widowControl/>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p>
        </w:tc>
        <w:tc>
          <w:tcPr>
            <w:tcW w:w="5041" w:type="dxa"/>
            <w:vAlign w:val="center"/>
          </w:tcPr>
          <w:p>
            <w:pPr>
              <w:pStyle w:val="19"/>
              <w:widowControl/>
              <w:snapToGrid w:val="0"/>
              <w:ind w:left="0" w:leftChars="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kern w:val="2"/>
                <w:sz w:val="21"/>
                <w:szCs w:val="21"/>
                <w:shd w:val="clear" w:color="auto" w:fill="auto"/>
                <w:lang w:val="en-US" w:eastAsia="zh-CN"/>
              </w:rPr>
              <w:t>7天以上</w:t>
            </w:r>
          </w:p>
        </w:tc>
        <w:tc>
          <w:tcPr>
            <w:tcW w:w="2587" w:type="dxa"/>
            <w:vAlign w:val="center"/>
          </w:tcPr>
          <w:p>
            <w:pPr>
              <w:widowControl/>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1"/>
                <w:szCs w:val="21"/>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425" w:hRule="atLeast"/>
          <w:jc w:val="center"/>
        </w:trPr>
        <w:tc>
          <w:tcPr>
            <w:tcW w:w="143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w:t>
            </w:r>
            <w:r>
              <w:rPr>
                <w:rFonts w:hint="default" w:ascii="Times New Roman" w:hAnsi="Times New Roman" w:cs="Times New Roman"/>
                <w:b/>
                <w:bCs/>
                <w:color w:val="auto"/>
                <w:sz w:val="20"/>
                <w:szCs w:val="20"/>
                <w:shd w:val="clear" w:color="auto" w:fill="auto"/>
                <w:lang w:val="en-US"/>
              </w:rPr>
              <w:t>规模</w:t>
            </w:r>
          </w:p>
        </w:tc>
        <w:tc>
          <w:tcPr>
            <w:tcW w:w="50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25"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25"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1" w:type="dxa"/>
            <w:vAlign w:val="center"/>
          </w:tcPr>
          <w:p>
            <w:pPr>
              <w:shd w:val="clear" w:color="auto" w:fill="auto"/>
              <w:snapToGrid w:val="0"/>
              <w:spacing w:before="0" w:beforeAutospacing="0" w:after="0" w:afterAutospacing="0" w:line="320" w:lineRule="exact"/>
              <w:ind w:left="0" w:right="0" w:firstLine="2090" w:firstLineChars="1100"/>
              <w:jc w:val="both"/>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25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eastAsia="zh-CN" w:bidi="ar-SA"/>
              </w:rPr>
              <w:t>4</w:t>
            </w:r>
          </w:p>
        </w:tc>
      </w:tr>
      <w:tr>
        <w:trPr>
          <w:trHeight w:val="425" w:hRule="atLeast"/>
          <w:jc w:val="center"/>
        </w:trPr>
        <w:tc>
          <w:tcPr>
            <w:tcW w:w="143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5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587"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2</w:t>
            </w:r>
          </w:p>
        </w:tc>
      </w:tr>
      <w:tr>
        <w:trPr>
          <w:trHeight w:val="425"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5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432"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4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58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jc w:val="center"/>
        </w:trPr>
        <w:tc>
          <w:tcPr>
            <w:tcW w:w="14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58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jc w:val="center"/>
        </w:trPr>
        <w:tc>
          <w:tcPr>
            <w:tcW w:w="14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58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jc w:val="center"/>
        </w:trPr>
        <w:tc>
          <w:tcPr>
            <w:tcW w:w="14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58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jc w:val="center"/>
        </w:trPr>
        <w:tc>
          <w:tcPr>
            <w:tcW w:w="14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58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jc w:val="center"/>
        </w:trPr>
        <w:tc>
          <w:tcPr>
            <w:tcW w:w="143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受处罚次数</w:t>
            </w:r>
          </w:p>
        </w:tc>
        <w:tc>
          <w:tcPr>
            <w:tcW w:w="50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5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两年内受到同类处罚1次</w:t>
            </w:r>
          </w:p>
        </w:tc>
        <w:tc>
          <w:tcPr>
            <w:tcW w:w="2587"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3</w:t>
            </w:r>
          </w:p>
        </w:tc>
      </w:tr>
      <w:tr>
        <w:trPr>
          <w:trHeight w:val="425"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两年内受到同类处罚2次以上</w:t>
            </w:r>
          </w:p>
        </w:tc>
        <w:tc>
          <w:tcPr>
            <w:tcW w:w="2587"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5</w:t>
            </w:r>
          </w:p>
        </w:tc>
      </w:tr>
      <w:tr>
        <w:trPr>
          <w:trHeight w:val="425" w:hRule="atLeast"/>
          <w:jc w:val="center"/>
        </w:trPr>
        <w:tc>
          <w:tcPr>
            <w:tcW w:w="143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58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8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58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58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28"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5220"/>
        <w:gridCol w:w="2408"/>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97" w:hRule="atLeast"/>
          <w:jc w:val="center"/>
        </w:trPr>
        <w:tc>
          <w:tcPr>
            <w:tcW w:w="1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28"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93" w:name="_Toc30046"/>
            <w:r>
              <w:rPr>
                <w:rFonts w:hint="default" w:ascii="Times New Roman" w:hAnsi="Times New Roman" w:cs="Times New Roman"/>
                <w:color w:val="auto"/>
                <w:sz w:val="20"/>
                <w:szCs w:val="20"/>
                <w:shd w:val="clear" w:color="auto" w:fill="auto"/>
              </w:rPr>
              <w:t>14</w:t>
            </w:r>
            <w:bookmarkEnd w:id="193"/>
          </w:p>
        </w:tc>
      </w:tr>
      <w:tr>
        <w:trPr>
          <w:trHeight w:val="397" w:hRule="atLeast"/>
          <w:jc w:val="center"/>
        </w:trPr>
        <w:tc>
          <w:tcPr>
            <w:tcW w:w="1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28" w:type="dxa"/>
            <w:gridSpan w:val="2"/>
            <w:vAlign w:val="center"/>
          </w:tcPr>
          <w:p>
            <w:pPr>
              <w:shd w:val="clear" w:color="auto" w:fill="auto"/>
              <w:snapToGrid w:val="0"/>
              <w:spacing w:before="0" w:beforeAutospacing="0" w:after="0" w:afterAutospacing="0" w:line="320" w:lineRule="exact"/>
              <w:ind w:left="0" w:right="0" w:firstLine="420" w:firstLineChars="200"/>
              <w:jc w:val="left"/>
              <w:outlineLvl w:val="9"/>
              <w:rPr>
                <w:rFonts w:hint="default" w:ascii="Times New Roman" w:hAnsi="Times New Roman" w:cs="Times New Roman"/>
                <w:color w:val="auto"/>
                <w:sz w:val="20"/>
                <w:szCs w:val="20"/>
                <w:shd w:val="clear" w:color="auto" w:fill="auto"/>
              </w:rPr>
            </w:pPr>
            <w:bookmarkStart w:id="194" w:name="_Toc15919"/>
            <w:r>
              <w:rPr>
                <w:rFonts w:hint="default" w:ascii="Times New Roman" w:hAnsi="Times New Roman" w:cs="Times New Roman"/>
                <w:color w:val="auto"/>
                <w:sz w:val="20"/>
                <w:szCs w:val="20"/>
                <w:shd w:val="clear" w:color="auto" w:fill="auto"/>
              </w:rPr>
              <w:t>尾矿、矸石、废石等矿业固体废物贮存设施停止使用后，未按照国家有关环境保护规定进行封场的</w:t>
            </w:r>
            <w:bookmarkEnd w:id="194"/>
          </w:p>
        </w:tc>
      </w:tr>
      <w:tr>
        <w:trPr>
          <w:trHeight w:val="397" w:hRule="atLeast"/>
          <w:jc w:val="center"/>
        </w:trPr>
        <w:tc>
          <w:tcPr>
            <w:tcW w:w="1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28" w:type="dxa"/>
            <w:gridSpan w:val="2"/>
            <w:vAlign w:val="center"/>
          </w:tcPr>
          <w:p>
            <w:pPr>
              <w:shd w:val="clear" w:color="auto" w:fill="auto"/>
              <w:spacing w:before="0" w:beforeAutospacing="0" w:after="0" w:afterAutospacing="0" w:line="320" w:lineRule="exact"/>
              <w:ind w:left="0" w:right="0" w:firstLine="482"/>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《中华人民共和国固体废物污染环境防治法》第四十二条第三款 </w:t>
            </w:r>
            <w:r>
              <w:rPr>
                <w:rFonts w:hint="default" w:ascii="Times New Roman" w:hAnsi="Times New Roman" w:cs="Times New Roman"/>
                <w:color w:val="auto"/>
                <w:sz w:val="20"/>
                <w:szCs w:val="20"/>
                <w:shd w:val="clear" w:color="auto" w:fill="auto"/>
              </w:rPr>
              <w:t>尾矿、煤矸石、废石等矿业固体废物贮存设施停止使用后，矿山企业应当按照国家有关环境保护等规定进行封场，防止造成环境污染和生态破坏。</w:t>
            </w:r>
          </w:p>
        </w:tc>
      </w:tr>
      <w:tr>
        <w:trPr>
          <w:trHeight w:val="397" w:hRule="atLeast"/>
          <w:jc w:val="center"/>
        </w:trPr>
        <w:tc>
          <w:tcPr>
            <w:tcW w:w="1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28" w:type="dxa"/>
            <w:gridSpan w:val="2"/>
            <w:vAlign w:val="center"/>
          </w:tcPr>
          <w:p>
            <w:pPr>
              <w:shd w:val="clear" w:color="auto" w:fill="auto"/>
              <w:spacing w:before="0" w:beforeAutospacing="0" w:after="0" w:afterAutospacing="0" w:line="320" w:lineRule="exact"/>
              <w:ind w:left="0" w:right="0" w:firstLine="422"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《中华人民共和国固体废物污染环境防治法》第一百一十条 </w:t>
            </w:r>
            <w:r>
              <w:rPr>
                <w:rFonts w:hint="default" w:ascii="Times New Roman" w:hAnsi="Times New Roman" w:cs="Times New Roman"/>
                <w:color w:val="auto"/>
                <w:sz w:val="20"/>
                <w:szCs w:val="20"/>
                <w:shd w:val="clear" w:color="auto" w:fill="auto"/>
              </w:rPr>
              <w:t>尾矿、煤矸石、废石等矿业固体废物贮存设施停止使用后，未按照国家有关环境保护规定进行封场的，由生态环境主管部门责令改正，处二十万元以上一百万元以下的罚款。</w:t>
            </w:r>
          </w:p>
        </w:tc>
      </w:tr>
      <w:tr>
        <w:trPr>
          <w:trHeight w:val="425" w:hRule="atLeast"/>
          <w:jc w:val="center"/>
        </w:trPr>
        <w:tc>
          <w:tcPr>
            <w:tcW w:w="1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2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40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08" w:hRule="atLeast"/>
          <w:jc w:val="center"/>
        </w:trPr>
        <w:tc>
          <w:tcPr>
            <w:tcW w:w="143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2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未规范按照国家有关环境保护规定进行封场的</w:t>
            </w:r>
          </w:p>
        </w:tc>
        <w:tc>
          <w:tcPr>
            <w:tcW w:w="2408"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408"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未按照国家有关环境保护规定进行封场的</w:t>
            </w:r>
          </w:p>
        </w:tc>
        <w:tc>
          <w:tcPr>
            <w:tcW w:w="2408"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408" w:hRule="atLeast"/>
          <w:jc w:val="center"/>
        </w:trPr>
        <w:tc>
          <w:tcPr>
            <w:tcW w:w="143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贮存设施</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规模</w:t>
            </w:r>
          </w:p>
        </w:tc>
        <w:tc>
          <w:tcPr>
            <w:tcW w:w="5220" w:type="dxa"/>
            <w:vAlign w:val="center"/>
          </w:tcPr>
          <w:p>
            <w:pPr>
              <w:pStyle w:val="19"/>
              <w:shd w:val="clear" w:color="auto" w:fill="auto"/>
              <w:snapToGrid w:val="0"/>
              <w:spacing w:before="0" w:beforeAutospacing="0" w:after="0" w:afterAutospacing="0" w:line="320" w:lineRule="exact"/>
              <w:ind w:left="0" w:right="0" w:firstLine="48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1000m</w:t>
            </w:r>
            <w:r>
              <w:rPr>
                <w:rFonts w:hint="default" w:ascii="Times New Roman" w:hAnsi="Times New Roman" w:cs="Times New Roman"/>
                <w:color w:val="auto"/>
                <w:sz w:val="21"/>
                <w:szCs w:val="21"/>
                <w:shd w:val="clear" w:color="auto" w:fill="auto"/>
                <w:vertAlign w:val="superscript"/>
              </w:rPr>
              <w:t>3</w:t>
            </w:r>
            <w:r>
              <w:rPr>
                <w:rFonts w:hint="default" w:ascii="Times New Roman" w:hAnsi="Times New Roman" w:cs="Times New Roman"/>
                <w:color w:val="auto"/>
                <w:sz w:val="21"/>
                <w:szCs w:val="21"/>
                <w:shd w:val="clear" w:color="auto" w:fill="auto"/>
              </w:rPr>
              <w:t>的</w:t>
            </w:r>
            <w:r>
              <w:rPr>
                <w:rFonts w:hint="default" w:ascii="Times New Roman" w:hAnsi="Times New Roman" w:cs="Times New Roman"/>
                <w:color w:val="auto"/>
                <w:sz w:val="21"/>
                <w:szCs w:val="21"/>
                <w:shd w:val="clear" w:color="auto" w:fill="auto"/>
                <w:lang w:eastAsia="zh-CN"/>
              </w:rPr>
              <w:t>以下</w:t>
            </w:r>
          </w:p>
        </w:tc>
        <w:tc>
          <w:tcPr>
            <w:tcW w:w="2408"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408"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 m</w:t>
            </w:r>
            <w:r>
              <w:rPr>
                <w:rFonts w:hint="default" w:ascii="Times New Roman" w:hAnsi="Times New Roman" w:cs="Times New Roman"/>
                <w:color w:val="auto"/>
                <w:sz w:val="21"/>
                <w:szCs w:val="21"/>
                <w:shd w:val="clear" w:color="auto" w:fill="auto"/>
                <w:vertAlign w:val="superscript"/>
              </w:rPr>
              <w:t>3</w:t>
            </w:r>
            <w:r>
              <w:rPr>
                <w:rFonts w:hint="default" w:ascii="Times New Roman" w:hAnsi="Times New Roman" w:cs="Times New Roman"/>
                <w:color w:val="auto"/>
                <w:sz w:val="21"/>
                <w:szCs w:val="21"/>
                <w:shd w:val="clear" w:color="auto" w:fill="auto"/>
              </w:rPr>
              <w:t>以上2000 m</w:t>
            </w:r>
            <w:r>
              <w:rPr>
                <w:rFonts w:hint="default" w:ascii="Times New Roman" w:hAnsi="Times New Roman" w:cs="Times New Roman"/>
                <w:color w:val="auto"/>
                <w:sz w:val="21"/>
                <w:szCs w:val="21"/>
                <w:shd w:val="clear" w:color="auto" w:fill="auto"/>
                <w:vertAlign w:val="superscript"/>
              </w:rPr>
              <w:t>3</w:t>
            </w:r>
            <w:r>
              <w:rPr>
                <w:rFonts w:hint="default" w:ascii="Times New Roman" w:hAnsi="Times New Roman" w:cs="Times New Roman"/>
                <w:color w:val="auto"/>
                <w:sz w:val="21"/>
                <w:szCs w:val="21"/>
                <w:shd w:val="clear" w:color="auto" w:fill="auto"/>
              </w:rPr>
              <w:t>的</w:t>
            </w:r>
            <w:r>
              <w:rPr>
                <w:rFonts w:hint="default" w:ascii="Times New Roman" w:hAnsi="Times New Roman" w:cs="Times New Roman"/>
                <w:color w:val="auto"/>
                <w:sz w:val="21"/>
                <w:szCs w:val="21"/>
                <w:shd w:val="clear" w:color="auto" w:fill="auto"/>
                <w:lang w:eastAsia="zh-CN"/>
              </w:rPr>
              <w:t>以下</w:t>
            </w:r>
          </w:p>
        </w:tc>
        <w:tc>
          <w:tcPr>
            <w:tcW w:w="2408"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408"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2000 m</w:t>
            </w:r>
            <w:r>
              <w:rPr>
                <w:rFonts w:hint="default" w:ascii="Times New Roman" w:hAnsi="Times New Roman" w:cs="Times New Roman"/>
                <w:color w:val="auto"/>
                <w:sz w:val="21"/>
                <w:szCs w:val="21"/>
                <w:shd w:val="clear" w:color="auto" w:fill="auto"/>
                <w:vertAlign w:val="superscript"/>
              </w:rPr>
              <w:t>3</w:t>
            </w:r>
            <w:r>
              <w:rPr>
                <w:rFonts w:hint="default" w:ascii="Times New Roman" w:hAnsi="Times New Roman" w:cs="Times New Roman"/>
                <w:color w:val="auto"/>
                <w:sz w:val="21"/>
                <w:szCs w:val="21"/>
                <w:shd w:val="clear" w:color="auto" w:fill="auto"/>
              </w:rPr>
              <w:t>以上3000 m</w:t>
            </w:r>
            <w:r>
              <w:rPr>
                <w:rFonts w:hint="default" w:ascii="Times New Roman" w:hAnsi="Times New Roman" w:cs="Times New Roman"/>
                <w:color w:val="auto"/>
                <w:sz w:val="21"/>
                <w:szCs w:val="21"/>
                <w:shd w:val="clear" w:color="auto" w:fill="auto"/>
                <w:vertAlign w:val="superscript"/>
              </w:rPr>
              <w:t>3</w:t>
            </w:r>
            <w:r>
              <w:rPr>
                <w:rFonts w:hint="default" w:ascii="Times New Roman" w:hAnsi="Times New Roman" w:cs="Times New Roman"/>
                <w:color w:val="auto"/>
                <w:sz w:val="21"/>
                <w:szCs w:val="21"/>
                <w:shd w:val="clear" w:color="auto" w:fill="auto"/>
              </w:rPr>
              <w:t>的</w:t>
            </w:r>
            <w:r>
              <w:rPr>
                <w:rFonts w:hint="default" w:ascii="Times New Roman" w:hAnsi="Times New Roman" w:cs="Times New Roman"/>
                <w:color w:val="auto"/>
                <w:sz w:val="21"/>
                <w:szCs w:val="21"/>
                <w:shd w:val="clear" w:color="auto" w:fill="auto"/>
                <w:lang w:eastAsia="zh-CN"/>
              </w:rPr>
              <w:t>以下</w:t>
            </w:r>
          </w:p>
        </w:tc>
        <w:tc>
          <w:tcPr>
            <w:tcW w:w="2408"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408"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1"/>
                <w:szCs w:val="21"/>
                <w:shd w:val="clear" w:color="auto" w:fill="auto"/>
              </w:rPr>
            </w:pPr>
            <w:r>
              <w:rPr>
                <w:rFonts w:hint="default" w:ascii="Times New Roman" w:hAnsi="Times New Roman" w:cs="Times New Roman"/>
                <w:color w:val="auto"/>
                <w:sz w:val="21"/>
                <w:szCs w:val="21"/>
                <w:shd w:val="clear" w:color="auto" w:fill="auto"/>
              </w:rPr>
              <w:t>3000 m</w:t>
            </w:r>
            <w:r>
              <w:rPr>
                <w:rFonts w:hint="default" w:ascii="Times New Roman" w:hAnsi="Times New Roman" w:cs="Times New Roman"/>
                <w:color w:val="auto"/>
                <w:sz w:val="21"/>
                <w:szCs w:val="21"/>
                <w:shd w:val="clear" w:color="auto" w:fill="auto"/>
                <w:vertAlign w:val="superscript"/>
              </w:rPr>
              <w:t>3</w:t>
            </w:r>
            <w:r>
              <w:rPr>
                <w:rFonts w:hint="default" w:ascii="Times New Roman" w:hAnsi="Times New Roman" w:cs="Times New Roman"/>
                <w:color w:val="auto"/>
                <w:sz w:val="21"/>
                <w:szCs w:val="21"/>
                <w:shd w:val="clear" w:color="auto" w:fill="auto"/>
              </w:rPr>
              <w:t>以上5000 m</w:t>
            </w:r>
            <w:r>
              <w:rPr>
                <w:rFonts w:hint="default" w:ascii="Times New Roman" w:hAnsi="Times New Roman" w:cs="Times New Roman"/>
                <w:color w:val="auto"/>
                <w:sz w:val="21"/>
                <w:szCs w:val="21"/>
                <w:shd w:val="clear" w:color="auto" w:fill="auto"/>
                <w:vertAlign w:val="superscript"/>
              </w:rPr>
              <w:t>3</w:t>
            </w:r>
            <w:r>
              <w:rPr>
                <w:rFonts w:hint="default" w:ascii="Times New Roman" w:hAnsi="Times New Roman" w:cs="Times New Roman"/>
                <w:color w:val="auto"/>
                <w:sz w:val="21"/>
                <w:szCs w:val="21"/>
                <w:shd w:val="clear" w:color="auto" w:fill="auto"/>
                <w:lang w:eastAsia="zh-CN"/>
              </w:rPr>
              <w:t>以下</w:t>
            </w:r>
            <w:r>
              <w:rPr>
                <w:rFonts w:hint="default" w:ascii="Times New Roman" w:hAnsi="Times New Roman" w:cs="Times New Roman"/>
                <w:color w:val="auto"/>
                <w:sz w:val="21"/>
                <w:szCs w:val="21"/>
                <w:shd w:val="clear" w:color="auto" w:fill="auto"/>
              </w:rPr>
              <w:t>的</w:t>
            </w:r>
          </w:p>
        </w:tc>
        <w:tc>
          <w:tcPr>
            <w:tcW w:w="2408"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4</w:t>
            </w:r>
          </w:p>
        </w:tc>
      </w:tr>
      <w:tr>
        <w:trPr>
          <w:trHeight w:val="408"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5000 m</w:t>
            </w:r>
            <w:r>
              <w:rPr>
                <w:rFonts w:hint="default" w:ascii="Times New Roman" w:hAnsi="Times New Roman" w:cs="Times New Roman"/>
                <w:color w:val="auto"/>
                <w:sz w:val="21"/>
                <w:szCs w:val="21"/>
                <w:shd w:val="clear" w:color="auto" w:fill="auto"/>
                <w:vertAlign w:val="superscript"/>
              </w:rPr>
              <w:t>3</w:t>
            </w:r>
            <w:r>
              <w:rPr>
                <w:rFonts w:hint="default" w:ascii="Times New Roman" w:hAnsi="Times New Roman" w:cs="Times New Roman"/>
                <w:color w:val="auto"/>
                <w:sz w:val="21"/>
                <w:szCs w:val="21"/>
                <w:shd w:val="clear" w:color="auto" w:fill="auto"/>
              </w:rPr>
              <w:t>以上的</w:t>
            </w:r>
          </w:p>
        </w:tc>
        <w:tc>
          <w:tcPr>
            <w:tcW w:w="2408"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w:t>
            </w:r>
          </w:p>
        </w:tc>
      </w:tr>
      <w:tr>
        <w:trPr>
          <w:trHeight w:val="408" w:hRule="atLeast"/>
          <w:jc w:val="center"/>
        </w:trPr>
        <w:tc>
          <w:tcPr>
            <w:tcW w:w="143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w:t>
            </w:r>
            <w:r>
              <w:rPr>
                <w:rFonts w:hint="default" w:ascii="Times New Roman" w:hAnsi="Times New Roman" w:cs="Times New Roman"/>
                <w:b/>
                <w:bCs/>
                <w:color w:val="auto"/>
                <w:sz w:val="20"/>
                <w:szCs w:val="20"/>
                <w:shd w:val="clear" w:color="auto" w:fill="auto"/>
                <w:lang w:val="en-US"/>
              </w:rPr>
              <w:t>规模</w:t>
            </w:r>
          </w:p>
        </w:tc>
        <w:tc>
          <w:tcPr>
            <w:tcW w:w="52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40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08"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40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08"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40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08"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shd w:val="clear" w:color="auto" w:fill="auto"/>
              <w:snapToGrid w:val="0"/>
              <w:spacing w:before="0" w:beforeAutospacing="0" w:after="0" w:afterAutospacing="0" w:line="320" w:lineRule="exact"/>
              <w:ind w:left="0" w:right="0" w:firstLine="2090" w:firstLineChars="1100"/>
              <w:jc w:val="both"/>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240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408" w:hRule="atLeast"/>
          <w:jc w:val="center"/>
        </w:trPr>
        <w:tc>
          <w:tcPr>
            <w:tcW w:w="143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220"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40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08"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40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408"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40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08" w:hRule="atLeast"/>
          <w:jc w:val="center"/>
        </w:trPr>
        <w:tc>
          <w:tcPr>
            <w:tcW w:w="1432"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2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40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08" w:hRule="atLeast"/>
          <w:jc w:val="center"/>
        </w:trPr>
        <w:tc>
          <w:tcPr>
            <w:tcW w:w="14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40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08" w:hRule="atLeast"/>
          <w:jc w:val="center"/>
        </w:trPr>
        <w:tc>
          <w:tcPr>
            <w:tcW w:w="14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40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08" w:hRule="atLeast"/>
          <w:jc w:val="center"/>
        </w:trPr>
        <w:tc>
          <w:tcPr>
            <w:tcW w:w="14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40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08" w:hRule="atLeast"/>
          <w:jc w:val="center"/>
        </w:trPr>
        <w:tc>
          <w:tcPr>
            <w:tcW w:w="14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40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08" w:hRule="atLeast"/>
          <w:jc w:val="center"/>
        </w:trPr>
        <w:tc>
          <w:tcPr>
            <w:tcW w:w="143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受处罚次数</w:t>
            </w:r>
          </w:p>
        </w:tc>
        <w:tc>
          <w:tcPr>
            <w:tcW w:w="522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40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08"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240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240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43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2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40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40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40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jc w:val="center"/>
        </w:trPr>
        <w:tc>
          <w:tcPr>
            <w:tcW w:w="14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40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28"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p>
      <w:pPr>
        <w:shd w:val="clear" w:color="auto" w:fill="auto"/>
        <w:snapToGrid w:val="0"/>
        <w:spacing w:line="40" w:lineRule="exact"/>
        <w:rPr>
          <w:rFonts w:ascii="Times New Roman" w:hAnsi="Times New Roman" w:cs="Times New Roman"/>
          <w:color w:val="auto"/>
          <w:shd w:val="clear" w:color="auto" w:fill="auto"/>
        </w:rPr>
      </w:pP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649"/>
      </w:tblGrid>
      <w:tr>
        <w:trPr>
          <w:trHeight w:val="397"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95" w:name="_Toc30626"/>
            <w:r>
              <w:rPr>
                <w:rFonts w:hint="default" w:ascii="Times New Roman" w:hAnsi="Times New Roman" w:cs="Times New Roman"/>
                <w:color w:val="auto"/>
                <w:sz w:val="20"/>
                <w:szCs w:val="20"/>
                <w:shd w:val="clear" w:color="auto" w:fill="auto"/>
              </w:rPr>
              <w:t>15</w:t>
            </w:r>
            <w:bookmarkEnd w:id="195"/>
          </w:p>
        </w:tc>
      </w:tr>
      <w:tr>
        <w:trPr>
          <w:trHeight w:val="334"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96" w:name="_Toc16837"/>
            <w:r>
              <w:rPr>
                <w:rFonts w:hint="default" w:ascii="Times New Roman" w:hAnsi="Times New Roman" w:cs="Times New Roman"/>
                <w:color w:val="auto"/>
                <w:sz w:val="20"/>
                <w:szCs w:val="20"/>
                <w:shd w:val="clear" w:color="auto" w:fill="auto"/>
              </w:rPr>
              <w:t>未按照规定设置危险废物识别标志的</w:t>
            </w:r>
            <w:bookmarkEnd w:id="196"/>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top"/>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《中华人民共和国固体废物污染环境防治法》第七十七条</w:t>
            </w:r>
            <w:r>
              <w:rPr>
                <w:rFonts w:hint="default" w:ascii="Times New Roman" w:hAnsi="Times New Roman" w:cs="Times New Roman"/>
                <w:color w:val="auto"/>
                <w:sz w:val="21"/>
                <w:szCs w:val="21"/>
                <w:shd w:val="clear" w:color="auto" w:fill="auto"/>
              </w:rPr>
              <w:t xml:space="preserve">  危险废物的容器和包装物以及收集、贮存、运输、利用、处置危险废物的设施、场所，应当按照规定设置危险废物识别标志。</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top"/>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《中华人民共和国固体废物污染环境防治法》第一百一十二条第一款第（一）项、第二款</w:t>
            </w:r>
            <w:r>
              <w:rPr>
                <w:rFonts w:hint="default" w:ascii="Times New Roman" w:hAnsi="Times New Roman" w:cs="Times New Roman"/>
                <w:color w:val="auto"/>
                <w:sz w:val="21"/>
                <w:szCs w:val="21"/>
                <w:shd w:val="clear" w:color="auto" w:fill="auto"/>
              </w:rPr>
              <w:t>　违反本法规定，有下列行为之一，由生态环境主管部门责令改正，处以罚款，没收违法所得；情节严重的，报经有批准权的人民政府批准，可以责令停业或者关闭：</w:t>
            </w:r>
          </w:p>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（一）未按照规定设置危险废物识别标志的；</w:t>
            </w:r>
          </w:p>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r>
      <w:tr>
        <w:trPr>
          <w:trHeight w:val="425"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4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危险废物识别标识设置不规范的</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未设置危险废物标识的</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涉及危险</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废物数量</w:t>
            </w:r>
          </w:p>
        </w:tc>
        <w:tc>
          <w:tcPr>
            <w:tcW w:w="504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0.3吨以下</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0.3吨以上0.5吨</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0.5吨以上1吨</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1吨以上2吨</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2吨以上</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小型企业</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中型企业</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大型企业</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lang w:val="en-US" w:eastAsia="zh-CN"/>
              </w:rPr>
              <w:t>4</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color w:val="auto"/>
                <w:sz w:val="21"/>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04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lang/>
              </w:rPr>
            </w:pPr>
            <w:r>
              <w:rPr>
                <w:rFonts w:hint="eastAsia" w:ascii="Times New Roman" w:hAnsi="Times New Roman" w:cs="Times New Roman"/>
                <w:color w:val="auto"/>
                <w:kern w:val="2"/>
                <w:sz w:val="21"/>
                <w:szCs w:val="21"/>
                <w:shd w:val="clear" w:color="auto" w:fill="auto"/>
                <w:lang w:eastAsia="zh-CN"/>
              </w:rPr>
              <w:t>限期改正</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color w:val="auto"/>
                <w:sz w:val="21"/>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3天以上7天以下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color w:val="auto"/>
                <w:sz w:val="21"/>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7天以上</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color w:val="auto"/>
                <w:sz w:val="21"/>
                <w:szCs w:val="20"/>
                <w:shd w:val="clear" w:color="auto" w:fill="auto"/>
              </w:rPr>
              <w:t>受处罚次数</w:t>
            </w:r>
          </w:p>
        </w:tc>
        <w:tc>
          <w:tcPr>
            <w:tcW w:w="5043"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0"/>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0"/>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649"/>
      </w:tblGrid>
      <w:tr>
        <w:trPr>
          <w:trHeight w:val="340"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4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97" w:name="_Toc10585"/>
            <w:r>
              <w:rPr>
                <w:rFonts w:hint="default" w:ascii="Times New Roman" w:hAnsi="Times New Roman" w:cs="Times New Roman"/>
                <w:color w:val="auto"/>
                <w:sz w:val="20"/>
                <w:szCs w:val="20"/>
                <w:shd w:val="clear" w:color="auto" w:fill="auto"/>
              </w:rPr>
              <w:t>16</w:t>
            </w:r>
            <w:bookmarkEnd w:id="197"/>
          </w:p>
        </w:tc>
      </w:tr>
      <w:tr>
        <w:trPr>
          <w:trHeight w:val="34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pStyle w:val="19"/>
              <w:shd w:val="clear" w:color="auto" w:fill="auto"/>
              <w:snapToGrid w:val="0"/>
              <w:spacing w:before="0" w:beforeAutospacing="0" w:after="0" w:afterAutospacing="0" w:line="320" w:lineRule="exact"/>
              <w:ind w:left="0" w:right="0" w:firstLine="420"/>
              <w:outlineLvl w:val="9"/>
              <w:rPr>
                <w:rFonts w:hint="default" w:ascii="Times New Roman" w:hAnsi="Times New Roman" w:cs="Times New Roman"/>
                <w:color w:val="auto"/>
                <w:sz w:val="21"/>
                <w:szCs w:val="21"/>
                <w:shd w:val="clear" w:color="auto" w:fill="auto"/>
              </w:rPr>
            </w:pPr>
            <w:bookmarkStart w:id="198" w:name="_Toc25686"/>
            <w:r>
              <w:rPr>
                <w:rFonts w:hint="default" w:ascii="Times New Roman" w:hAnsi="Times New Roman" w:cs="Times New Roman"/>
                <w:color w:val="auto"/>
                <w:sz w:val="21"/>
                <w:szCs w:val="21"/>
                <w:shd w:val="clear" w:color="auto" w:fill="auto"/>
              </w:rPr>
              <w:t>未按照国家有关规定制定危险废物管理计划或者申报危险废物有关资料的</w:t>
            </w:r>
            <w:bookmarkEnd w:id="198"/>
          </w:p>
        </w:tc>
      </w:tr>
      <w:tr>
        <w:trPr>
          <w:trHeight w:val="34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top"/>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《中华人民共和国固体废物污染环境防治法》第七十八条第一款 </w:t>
            </w:r>
            <w:r>
              <w:rPr>
                <w:rFonts w:hint="default" w:ascii="Times New Roman" w:hAnsi="Times New Roman" w:cs="Times New Roman"/>
                <w:color w:val="auto"/>
                <w:sz w:val="21"/>
                <w:szCs w:val="21"/>
                <w:shd w:val="clear" w:color="auto" w:fill="auto"/>
              </w:rPr>
              <w:t>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p>
        </w:tc>
      </w:tr>
      <w:tr>
        <w:trPr>
          <w:trHeight w:val="34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top"/>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《中华人民共和国固体废物污染环境防治法》第一百一十二条第一款第（二）项、第二款</w:t>
            </w:r>
            <w:r>
              <w:rPr>
                <w:rFonts w:hint="default" w:ascii="Times New Roman" w:hAnsi="Times New Roman" w:cs="Times New Roman"/>
                <w:color w:val="auto"/>
                <w:sz w:val="21"/>
                <w:szCs w:val="21"/>
                <w:shd w:val="clear" w:color="auto" w:fill="auto"/>
              </w:rPr>
              <w:t>　违反本法规定，有下列行为之一，由生态环境主管部门责令改正，处以罚款，没收违法所得；情节严重的，报经有批准权的人民政府批准，可以责令停业或者关闭：</w:t>
            </w:r>
          </w:p>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（二）未按照国家有关规定制定危险废物管理计划或者申报危险废物有关资料的；</w:t>
            </w:r>
          </w:p>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r>
      <w:tr>
        <w:trPr>
          <w:trHeight w:val="351"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1"/>
                <w:szCs w:val="21"/>
                <w:shd w:val="clear" w:color="auto" w:fill="auto"/>
              </w:rPr>
            </w:pPr>
            <w:r>
              <w:rPr>
                <w:rFonts w:hint="default" w:ascii="Times New Roman" w:hAnsi="Times New Roman" w:cs="Times New Roman"/>
                <w:color w:val="auto"/>
                <w:kern w:val="2"/>
                <w:sz w:val="21"/>
                <w:szCs w:val="21"/>
                <w:shd w:val="clear" w:color="auto" w:fill="auto"/>
              </w:rPr>
              <w:t>已制定</w:t>
            </w:r>
            <w:r>
              <w:rPr>
                <w:rFonts w:hint="default" w:ascii="Times New Roman" w:hAnsi="Times New Roman" w:cs="Times New Roman"/>
                <w:color w:val="auto"/>
                <w:sz w:val="21"/>
                <w:szCs w:val="21"/>
                <w:shd w:val="clear" w:color="auto" w:fill="auto"/>
              </w:rPr>
              <w:t>危险废物</w:t>
            </w:r>
            <w:r>
              <w:rPr>
                <w:rFonts w:hint="default" w:ascii="Times New Roman" w:hAnsi="Times New Roman" w:cs="Times New Roman"/>
                <w:color w:val="auto"/>
                <w:kern w:val="2"/>
                <w:sz w:val="21"/>
                <w:szCs w:val="21"/>
                <w:shd w:val="clear" w:color="auto" w:fill="auto"/>
              </w:rPr>
              <w:t>管理计划，但申报不规范的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已制定危险废物管理计划，未进行申报的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未制定危险废物管理计划的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申报登记</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数量</w:t>
            </w:r>
          </w:p>
        </w:tc>
        <w:tc>
          <w:tcPr>
            <w:tcW w:w="504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危险废物0.3吨以下</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危险废物0.3吨以上0.5吨</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危险废物0.5吨以上1吨</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危险废物1吨以上2吨</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危险废物2吨以上</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逾期时间</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3个月以</w:t>
            </w:r>
            <w:r>
              <w:rPr>
                <w:rFonts w:hint="default" w:ascii="Times New Roman" w:hAnsi="Times New Roman" w:cs="Times New Roman"/>
                <w:color w:val="auto"/>
                <w:sz w:val="20"/>
                <w:szCs w:val="20"/>
                <w:shd w:val="clear" w:color="auto" w:fill="auto"/>
                <w:lang w:eastAsia="zh-CN"/>
              </w:rPr>
              <w:t>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3个月以上6个月以</w:t>
            </w:r>
            <w:r>
              <w:rPr>
                <w:rFonts w:hint="default" w:ascii="Times New Roman" w:hAnsi="Times New Roman" w:cs="Times New Roman"/>
                <w:color w:val="auto"/>
                <w:sz w:val="21"/>
                <w:szCs w:val="21"/>
                <w:shd w:val="clear" w:color="auto" w:fill="auto"/>
                <w:lang w:eastAsia="zh-CN"/>
              </w:rPr>
              <w:t>下</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6个月以上</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管理类别</w:t>
            </w:r>
          </w:p>
        </w:tc>
        <w:tc>
          <w:tcPr>
            <w:tcW w:w="5043" w:type="dxa"/>
            <w:vAlign w:val="center"/>
          </w:tcPr>
          <w:p>
            <w:pPr>
              <w:shd w:val="clear" w:color="auto" w:fill="auto"/>
              <w:spacing w:before="0" w:beforeAutospacing="0" w:after="0" w:afterAutospacing="0" w:line="320" w:lineRule="exact"/>
              <w:ind w:left="0" w:right="0" w:firstLine="1890" w:firstLineChars="900"/>
              <w:rPr>
                <w:rFonts w:hint="default" w:ascii="Times New Roman" w:hAnsi="Times New Roman" w:eastAsia="宋体" w:cs="Times New Roman"/>
                <w:color w:val="auto"/>
                <w:sz w:val="21"/>
                <w:szCs w:val="21"/>
                <w:shd w:val="clear" w:color="auto" w:fill="auto"/>
                <w:lang w:eastAsia="zh-CN"/>
              </w:rPr>
            </w:pPr>
            <w:r>
              <w:rPr>
                <w:rFonts w:hint="eastAsia" w:ascii="Times New Roman" w:hAnsi="Times New Roman" w:cs="Times New Roman"/>
                <w:color w:val="auto"/>
                <w:sz w:val="20"/>
                <w:szCs w:val="20"/>
                <w:shd w:val="clear" w:color="auto" w:fill="auto"/>
                <w:lang w:val="en-US" w:eastAsia="zh-CN"/>
              </w:rPr>
              <w:t>登记管理</w:t>
            </w:r>
          </w:p>
        </w:tc>
        <w:tc>
          <w:tcPr>
            <w:tcW w:w="2649" w:type="dxa"/>
            <w:vAlign w:val="center"/>
          </w:tcPr>
          <w:p>
            <w:pPr>
              <w:shd w:val="clear" w:color="auto" w:fill="auto"/>
              <w:spacing w:before="0" w:beforeAutospacing="0" w:after="0" w:afterAutospacing="0" w:line="320" w:lineRule="exact"/>
              <w:ind w:left="0" w:right="0" w:firstLine="1260" w:firstLineChars="600"/>
              <w:rPr>
                <w:rFonts w:hint="default" w:ascii="Times New Roman" w:hAnsi="Times New Roman" w:eastAsia="宋体"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lang w:eastAsia="zh-CN"/>
              </w:rPr>
            </w:pPr>
            <w:r>
              <w:rPr>
                <w:rFonts w:hint="default" w:ascii="Times New Roman" w:hAnsi="Times New Roman" w:cs="Times New Roman"/>
                <w:color w:val="auto"/>
                <w:sz w:val="20"/>
                <w:szCs w:val="20"/>
                <w:shd w:val="clear" w:color="auto" w:fill="auto"/>
                <w:lang w:val="en-US"/>
              </w:rPr>
              <w:t>简化管理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pacing w:before="0" w:beforeAutospacing="0" w:after="0" w:afterAutospacing="0" w:line="320" w:lineRule="exact"/>
              <w:ind w:left="0" w:right="0" w:firstLine="2100" w:firstLineChars="1000"/>
              <w:rPr>
                <w:rFonts w:hint="default" w:ascii="Times New Roman" w:hAnsi="Times New Roman" w:eastAsia="宋体" w:cs="Times New Roman"/>
                <w:color w:val="auto"/>
                <w:sz w:val="21"/>
                <w:szCs w:val="21"/>
                <w:shd w:val="clear" w:color="auto" w:fill="auto"/>
                <w:lang w:eastAsia="zh-CN"/>
              </w:rPr>
            </w:pPr>
            <w:r>
              <w:rPr>
                <w:rFonts w:hint="default" w:ascii="Times New Roman" w:hAnsi="Times New Roman" w:cs="Times New Roman"/>
                <w:color w:val="auto"/>
                <w:sz w:val="20"/>
                <w:szCs w:val="20"/>
                <w:shd w:val="clear" w:color="auto" w:fill="auto"/>
                <w:lang w:val="en-US"/>
              </w:rPr>
              <w:t>重点管理</w:t>
            </w:r>
          </w:p>
        </w:tc>
        <w:tc>
          <w:tcPr>
            <w:tcW w:w="2649" w:type="dxa"/>
            <w:vAlign w:val="center"/>
          </w:tcPr>
          <w:p>
            <w:pPr>
              <w:shd w:val="clear" w:color="auto" w:fill="auto"/>
              <w:spacing w:before="0" w:beforeAutospacing="0" w:after="0" w:afterAutospacing="0" w:line="320" w:lineRule="exact"/>
              <w:ind w:left="0" w:right="0" w:firstLine="1260" w:firstLineChars="600"/>
              <w:rPr>
                <w:rFonts w:hint="default" w:ascii="Times New Roman" w:hAnsi="Times New Roman" w:eastAsia="宋体"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w:t>
            </w:r>
            <w:r>
              <w:rPr>
                <w:rFonts w:hint="default" w:ascii="Times New Roman" w:hAnsi="Times New Roman" w:cs="Times New Roman"/>
                <w:b/>
                <w:bCs/>
                <w:color w:val="auto"/>
                <w:sz w:val="20"/>
                <w:szCs w:val="20"/>
                <w:shd w:val="clear" w:color="auto" w:fill="auto"/>
                <w:lang w:val="en-US"/>
              </w:rPr>
              <w:t>规模</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2090" w:firstLineChars="1100"/>
              <w:jc w:val="both"/>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r>
              <w:rPr>
                <w:rFonts w:hint="default" w:ascii="Times New Roman" w:hAnsi="Times New Roman" w:cs="Times New Roman"/>
                <w:b/>
                <w:bCs/>
                <w:color w:val="auto"/>
                <w:sz w:val="20"/>
                <w:szCs w:val="20"/>
                <w:shd w:val="clear" w:color="auto" w:fill="auto"/>
                <w:lang w:val="en-US"/>
              </w:rPr>
              <w:t>改正时间</w:t>
            </w:r>
          </w:p>
        </w:tc>
        <w:tc>
          <w:tcPr>
            <w:tcW w:w="504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kern w:val="2"/>
                <w:sz w:val="21"/>
                <w:szCs w:val="21"/>
                <w:shd w:val="clear" w:color="auto" w:fill="auto"/>
                <w:lang w:eastAsia="zh-CN"/>
              </w:rPr>
              <w:t>限期改正</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7天以上</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5</w:t>
            </w:r>
          </w:p>
        </w:tc>
      </w:tr>
      <w:tr>
        <w:trPr>
          <w:trHeight w:val="397"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受处罚次数</w:t>
            </w:r>
          </w:p>
        </w:tc>
        <w:tc>
          <w:tcPr>
            <w:tcW w:w="5043" w:type="dxa"/>
            <w:vAlign w:val="center"/>
          </w:tcPr>
          <w:p>
            <w:pPr>
              <w:widowControl w:val="0"/>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两年内未受到过同类处罚</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两年内受到同类处罚</w:t>
            </w:r>
            <w:r>
              <w:rPr>
                <w:rFonts w:hint="default" w:ascii="Times New Roman" w:hAnsi="Times New Roman" w:eastAsia="￥ﾮﾋ￤ﾽﾓ" w:cs="Times New Roman"/>
                <w:color w:val="auto"/>
                <w:kern w:val="2"/>
                <w:sz w:val="21"/>
                <w:szCs w:val="21"/>
                <w:shd w:val="clear" w:color="auto" w:fill="auto"/>
                <w:lang w:val="en-US" w:eastAsia="zh-CN"/>
              </w:rPr>
              <w:t>1</w:t>
            </w:r>
            <w:r>
              <w:rPr>
                <w:rFonts w:hint="default" w:ascii="Times New Roman" w:hAnsi="Times New Roman" w:eastAsia="宋体" w:cs="Times New Roman"/>
                <w:color w:val="auto"/>
                <w:kern w:val="2"/>
                <w:sz w:val="21"/>
                <w:szCs w:val="21"/>
                <w:shd w:val="clear" w:color="auto" w:fill="auto"/>
                <w:lang w:val="en-US" w:eastAsia="zh-CN"/>
              </w:rPr>
              <w:t>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两年内受到同类处罚</w:t>
            </w:r>
            <w:r>
              <w:rPr>
                <w:rFonts w:hint="default" w:ascii="Times New Roman" w:hAnsi="Times New Roman" w:eastAsia="￥ﾮﾋ￤ﾽﾓ" w:cs="Times New Roman"/>
                <w:color w:val="auto"/>
                <w:kern w:val="2"/>
                <w:sz w:val="21"/>
                <w:szCs w:val="21"/>
                <w:shd w:val="clear" w:color="auto" w:fill="auto"/>
                <w:lang w:val="en-US" w:eastAsia="zh-CN"/>
              </w:rPr>
              <w:t>2</w:t>
            </w:r>
            <w:r>
              <w:rPr>
                <w:rFonts w:hint="default" w:ascii="Times New Roman" w:hAnsi="Times New Roman" w:eastAsia="宋体" w:cs="Times New Roman"/>
                <w:color w:val="auto"/>
                <w:kern w:val="2"/>
                <w:sz w:val="21"/>
                <w:szCs w:val="21"/>
                <w:shd w:val="clear" w:color="auto" w:fill="auto"/>
                <w:lang w:val="en-US" w:eastAsia="zh-CN"/>
              </w:rPr>
              <w:t>次以上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5021"/>
        <w:gridCol w:w="2649"/>
      </w:tblGrid>
      <w:tr>
        <w:trPr>
          <w:trHeight w:val="369"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69"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70"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199" w:name="_Toc21285"/>
            <w:r>
              <w:rPr>
                <w:rFonts w:hint="default" w:ascii="Times New Roman" w:hAnsi="Times New Roman" w:cs="Times New Roman"/>
                <w:color w:val="auto"/>
                <w:sz w:val="20"/>
                <w:szCs w:val="20"/>
                <w:shd w:val="clear" w:color="auto" w:fill="auto"/>
              </w:rPr>
              <w:t>17</w:t>
            </w:r>
            <w:bookmarkEnd w:id="199"/>
          </w:p>
        </w:tc>
      </w:tr>
      <w:tr>
        <w:trPr>
          <w:trHeight w:val="369"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70"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00" w:name="_Toc2197"/>
            <w:r>
              <w:rPr>
                <w:rFonts w:hint="default" w:ascii="Times New Roman" w:hAnsi="Times New Roman" w:cs="Times New Roman"/>
                <w:color w:val="auto"/>
                <w:sz w:val="20"/>
                <w:szCs w:val="20"/>
                <w:shd w:val="clear" w:color="auto" w:fill="auto"/>
              </w:rPr>
              <w:t>擅自倾倒、堆放危险废物的</w:t>
            </w:r>
            <w:bookmarkEnd w:id="200"/>
          </w:p>
        </w:tc>
      </w:tr>
      <w:tr>
        <w:trPr>
          <w:trHeight w:val="369"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70" w:type="dxa"/>
            <w:gridSpan w:val="2"/>
            <w:vAlign w:val="top"/>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《中华人民共和国固体废物污染环境防治法》第七十九条</w:t>
            </w:r>
            <w:r>
              <w:rPr>
                <w:rFonts w:hint="default" w:ascii="Times New Roman" w:hAnsi="Times New Roman" w:cs="Times New Roman"/>
                <w:color w:val="auto"/>
                <w:kern w:val="2"/>
                <w:sz w:val="21"/>
                <w:szCs w:val="21"/>
                <w:shd w:val="clear" w:color="auto" w:fill="auto"/>
              </w:rPr>
              <w:t xml:space="preserve"> 产生危险废物的单位，应当按照国家有关规定和环境保护标准要求贮存、利用、处置危险废物，不得擅自倾倒、堆放。</w:t>
            </w:r>
          </w:p>
        </w:tc>
      </w:tr>
      <w:tr>
        <w:trPr>
          <w:trHeight w:val="369"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70" w:type="dxa"/>
            <w:gridSpan w:val="2"/>
            <w:vAlign w:val="top"/>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《中华人民共和国固体废物污染环境防治法》第一百一十二条第一款第（三）项、第二款</w:t>
            </w:r>
            <w:r>
              <w:rPr>
                <w:rFonts w:hint="default" w:ascii="Times New Roman" w:hAnsi="Times New Roman" w:cs="Times New Roman"/>
                <w:color w:val="auto"/>
                <w:sz w:val="21"/>
                <w:szCs w:val="21"/>
                <w:shd w:val="clear" w:color="auto" w:fill="auto"/>
              </w:rPr>
              <w:t>　</w:t>
            </w:r>
            <w:r>
              <w:rPr>
                <w:rFonts w:hint="default" w:ascii="Times New Roman" w:hAnsi="Times New Roman" w:cs="Times New Roman"/>
                <w:color w:val="auto"/>
                <w:kern w:val="2"/>
                <w:sz w:val="21"/>
                <w:szCs w:val="21"/>
                <w:shd w:val="clear" w:color="auto" w:fill="auto"/>
              </w:rPr>
              <w:t>违反本法规定，有下列行为之一，由生态环境主管部门责令改正，处以罚款，没收违法所得；情节严重的，报经有批准权的人民政府批准，可以责令停业或者关闭：</w:t>
            </w:r>
          </w:p>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（三）擅自倾倒、堆放危险废物的；</w:t>
            </w:r>
          </w:p>
          <w:p>
            <w:pPr>
              <w:pStyle w:val="19"/>
              <w:shd w:val="clear" w:color="auto" w:fill="auto"/>
              <w:snapToGrid w:val="0"/>
              <w:spacing w:before="0" w:beforeAutospacing="0" w:after="0" w:afterAutospacing="0" w:line="320" w:lineRule="exact"/>
              <w:ind w:left="0" w:right="0" w:firstLine="48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r>
      <w:tr>
        <w:trPr>
          <w:trHeight w:val="386"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86"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★涉及危险</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废物数量</w:t>
            </w:r>
          </w:p>
        </w:tc>
        <w:tc>
          <w:tcPr>
            <w:tcW w:w="5021" w:type="dxa"/>
            <w:vAlign w:val="center"/>
          </w:tcPr>
          <w:p>
            <w:pPr>
              <w:pStyle w:val="19"/>
              <w:shd w:val="clear" w:color="auto" w:fill="auto"/>
              <w:snapToGrid w:val="0"/>
              <w:spacing w:before="0" w:beforeAutospacing="0" w:after="0" w:afterAutospacing="0" w:line="320" w:lineRule="exact"/>
              <w:ind w:left="0" w:right="0" w:firstLine="48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0.2吨以下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9"/>
              <w:shd w:val="clear" w:color="auto" w:fill="auto"/>
              <w:snapToGrid w:val="0"/>
              <w:spacing w:before="0" w:beforeAutospacing="0" w:after="0" w:afterAutospacing="0" w:line="320" w:lineRule="exact"/>
              <w:ind w:left="0" w:right="0" w:firstLine="48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0.2吨以上0.5吨</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86"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9"/>
              <w:shd w:val="clear" w:color="auto" w:fill="auto"/>
              <w:snapToGrid w:val="0"/>
              <w:spacing w:before="0" w:beforeAutospacing="0" w:after="0" w:afterAutospacing="0" w:line="320" w:lineRule="exact"/>
              <w:ind w:left="0" w:right="0" w:firstLine="48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0.5吨以上1吨</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9"/>
              <w:shd w:val="clear" w:color="auto" w:fill="auto"/>
              <w:snapToGrid w:val="0"/>
              <w:spacing w:before="0" w:beforeAutospacing="0" w:after="0" w:afterAutospacing="0" w:line="320" w:lineRule="exact"/>
              <w:ind w:left="0" w:right="0" w:firstLine="48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1吨以上2吨</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86"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9"/>
              <w:shd w:val="clear" w:color="auto" w:fill="auto"/>
              <w:snapToGrid w:val="0"/>
              <w:spacing w:before="0" w:beforeAutospacing="0" w:after="0" w:afterAutospacing="0" w:line="320" w:lineRule="exact"/>
              <w:ind w:left="0" w:right="0" w:firstLine="48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2吨以上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none"/>
                <w:shd w:val="clear" w:color="auto" w:fill="auto"/>
              </w:rPr>
            </w:pPr>
            <w:r>
              <w:rPr>
                <w:rFonts w:hint="default" w:ascii="Times New Roman" w:hAnsi="Times New Roman" w:cs="Times New Roman"/>
                <w:b/>
                <w:bCs/>
                <w:color w:val="auto"/>
                <w:sz w:val="20"/>
                <w:szCs w:val="20"/>
                <w:highlight w:val="none"/>
                <w:shd w:val="clear" w:color="auto" w:fill="auto"/>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highlight w:val="none"/>
                <w:shd w:val="clear" w:color="auto" w:fill="auto"/>
              </w:rPr>
            </w:pPr>
            <w:r>
              <w:rPr>
                <w:rFonts w:hint="default" w:ascii="Times New Roman" w:hAnsi="Times New Roman" w:cs="Times New Roman"/>
                <w:b/>
                <w:bCs/>
                <w:color w:val="auto"/>
                <w:sz w:val="20"/>
                <w:szCs w:val="20"/>
                <w:highlight w:val="none"/>
                <w:shd w:val="clear" w:color="auto" w:fill="auto"/>
              </w:rPr>
              <w:t>发生地环境</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highlight w:val="none"/>
                <w:shd w:val="clear" w:color="auto" w:fill="auto"/>
              </w:rPr>
              <w:t>敏感程度</w:t>
            </w: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荒地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1"/>
                <w:shd w:val="clear" w:color="auto" w:fill="auto"/>
              </w:rPr>
              <w:t>沟、塘、坑、渠</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86"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1"/>
                <w:shd w:val="clear" w:color="auto" w:fill="auto"/>
              </w:rPr>
              <w:t>湿地、滩地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1"/>
                <w:shd w:val="clear" w:color="auto" w:fill="auto"/>
              </w:rPr>
              <w:t>建设用地、林业用地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86"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农业用地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390"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86"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86"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86"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86"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86"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发生频次</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r>
              <w:rPr>
                <w:rFonts w:hint="default" w:ascii="Times New Roman" w:hAnsi="Times New Roman" w:cs="Times New Roman"/>
                <w:color w:val="auto"/>
                <w:sz w:val="20"/>
                <w:szCs w:val="20"/>
                <w:shd w:val="clear" w:color="auto" w:fill="auto"/>
                <w:lang w:val="en-US"/>
              </w:rPr>
              <w:t>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r>
              <w:rPr>
                <w:rFonts w:hint="default" w:ascii="Times New Roman" w:hAnsi="Times New Roman" w:cs="Times New Roman"/>
                <w:color w:val="auto"/>
                <w:sz w:val="20"/>
                <w:szCs w:val="20"/>
                <w:shd w:val="clear" w:color="auto" w:fill="auto"/>
                <w:lang w:val="en-US"/>
              </w:rPr>
              <w:t>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86"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r>
              <w:rPr>
                <w:rFonts w:hint="default" w:ascii="Times New Roman" w:hAnsi="Times New Roman" w:cs="Times New Roman"/>
                <w:color w:val="auto"/>
                <w:sz w:val="20"/>
                <w:szCs w:val="20"/>
                <w:shd w:val="clear" w:color="auto" w:fill="auto"/>
                <w:lang w:val="en-US"/>
              </w:rPr>
              <w:t>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r>
              <w:rPr>
                <w:rFonts w:hint="default" w:ascii="Times New Roman" w:hAnsi="Times New Roman" w:cs="Times New Roman"/>
                <w:color w:val="auto"/>
                <w:sz w:val="20"/>
                <w:szCs w:val="20"/>
                <w:shd w:val="clear" w:color="auto" w:fill="auto"/>
                <w:lang w:val="en-US"/>
              </w:rPr>
              <w:t>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86"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r>
              <w:rPr>
                <w:rFonts w:hint="default" w:ascii="Times New Roman" w:hAnsi="Times New Roman" w:cs="Times New Roman"/>
                <w:color w:val="auto"/>
                <w:sz w:val="20"/>
                <w:szCs w:val="20"/>
                <w:shd w:val="clear" w:color="auto" w:fill="auto"/>
                <w:lang w:val="en-US"/>
              </w:rPr>
              <w:t>次</w:t>
            </w:r>
            <w:r>
              <w:rPr>
                <w:rFonts w:hint="eastAsia" w:ascii="Times New Roman" w:hAnsi="Times New Roman" w:cs="Times New Roman"/>
                <w:color w:val="auto"/>
                <w:sz w:val="20"/>
                <w:szCs w:val="20"/>
                <w:shd w:val="clear" w:color="auto" w:fill="auto"/>
                <w:lang w:val="en-US" w:eastAsia="zh-CN"/>
              </w:rPr>
              <w:t>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w:t>
            </w:r>
            <w:r>
              <w:rPr>
                <w:rFonts w:hint="default" w:ascii="Times New Roman" w:hAnsi="Times New Roman" w:cs="Times New Roman"/>
                <w:b/>
                <w:bCs/>
                <w:color w:val="auto"/>
                <w:sz w:val="20"/>
                <w:szCs w:val="20"/>
                <w:shd w:val="clear" w:color="auto" w:fill="auto"/>
                <w:lang w:val="en-US"/>
              </w:rPr>
              <w:t>规模</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69"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69"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firstLine="2090" w:firstLineChars="1100"/>
              <w:jc w:val="both"/>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69"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69"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受处罚次数</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69"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69"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69"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69"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70"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649"/>
      </w:tblGrid>
      <w:tr>
        <w:trPr>
          <w:trHeight w:val="340"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4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01" w:name="_Toc32543"/>
            <w:r>
              <w:rPr>
                <w:rFonts w:hint="default" w:ascii="Times New Roman" w:hAnsi="Times New Roman" w:cs="Times New Roman"/>
                <w:color w:val="auto"/>
                <w:sz w:val="20"/>
                <w:szCs w:val="20"/>
                <w:shd w:val="clear" w:color="auto" w:fill="auto"/>
              </w:rPr>
              <w:t>18</w:t>
            </w:r>
            <w:bookmarkEnd w:id="201"/>
          </w:p>
        </w:tc>
      </w:tr>
      <w:tr>
        <w:trPr>
          <w:trHeight w:val="34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02" w:name="_Toc16800"/>
            <w:r>
              <w:rPr>
                <w:rFonts w:hint="default" w:ascii="Times New Roman" w:hAnsi="Times New Roman" w:cs="Times New Roman"/>
                <w:color w:val="auto"/>
                <w:sz w:val="20"/>
                <w:szCs w:val="20"/>
                <w:shd w:val="clear" w:color="auto" w:fill="auto"/>
              </w:rPr>
              <w:t>将危险废物提供或者委托给无许可证的单位从事经营活动的</w:t>
            </w:r>
            <w:bookmarkEnd w:id="202"/>
          </w:p>
        </w:tc>
      </w:tr>
      <w:tr>
        <w:trPr>
          <w:trHeight w:val="34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top"/>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《中华人民共和国固体废物污染环境防治法》第八十条第三款</w:t>
            </w:r>
            <w:r>
              <w:rPr>
                <w:rFonts w:hint="default" w:ascii="Times New Roman" w:hAnsi="Times New Roman" w:cs="Times New Roman"/>
                <w:color w:val="auto"/>
                <w:sz w:val="21"/>
                <w:szCs w:val="21"/>
                <w:shd w:val="clear" w:color="auto" w:fill="auto"/>
              </w:rPr>
              <w:t xml:space="preserve">  </w:t>
            </w:r>
            <w:r>
              <w:rPr>
                <w:rFonts w:hint="default" w:ascii="Times New Roman" w:hAnsi="Times New Roman" w:cs="Times New Roman"/>
                <w:color w:val="auto"/>
                <w:kern w:val="2"/>
                <w:sz w:val="21"/>
                <w:szCs w:val="21"/>
                <w:shd w:val="clear" w:color="auto" w:fill="auto"/>
              </w:rPr>
              <w:t>禁止将危险废物提供或者委托给无许可证的单位或者其他生产经营者从事收集、贮存、利用、处置活动。</w:t>
            </w:r>
          </w:p>
        </w:tc>
      </w:tr>
      <w:tr>
        <w:trPr>
          <w:trHeight w:val="34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top"/>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《中华人民共和国固体废物污染环境防治法》第一百一十二条第一款第（四）项、第二款</w:t>
            </w:r>
            <w:r>
              <w:rPr>
                <w:rFonts w:hint="default" w:ascii="Times New Roman" w:hAnsi="Times New Roman" w:cs="Times New Roman"/>
                <w:color w:val="auto"/>
                <w:sz w:val="21"/>
                <w:szCs w:val="21"/>
                <w:shd w:val="clear" w:color="auto" w:fill="auto"/>
              </w:rPr>
              <w:t>　</w:t>
            </w:r>
            <w:r>
              <w:rPr>
                <w:rFonts w:hint="default" w:ascii="Times New Roman" w:hAnsi="Times New Roman" w:cs="Times New Roman"/>
                <w:color w:val="auto"/>
                <w:kern w:val="2"/>
                <w:sz w:val="21"/>
                <w:szCs w:val="21"/>
                <w:shd w:val="clear" w:color="auto" w:fill="auto"/>
              </w:rPr>
              <w:t>违反本法规定，有下列行为之一，由生态环境主管部门责令改正，处以罚款，没收违法所得；情节严重的，报经有批准权的人民政府批准，可以责令停业或者关闭：</w:t>
            </w:r>
          </w:p>
          <w:p>
            <w:pPr>
              <w:numPr>
                <w:ilvl w:val="0"/>
                <w:numId w:val="10"/>
              </w:num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将危险废物提供或者委托给无许可证的单位或者其他生产经营者从事经营活动的；</w:t>
            </w:r>
          </w:p>
          <w:p>
            <w:pPr>
              <w:shd w:val="clear" w:color="auto" w:fill="auto"/>
              <w:snapToGrid w:val="0"/>
              <w:spacing w:before="0" w:beforeAutospacing="0" w:after="0" w:afterAutospacing="0" w:line="320" w:lineRule="exact"/>
              <w:ind w:left="0" w:right="0" w:firstLine="420"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r>
      <w:tr>
        <w:trPr>
          <w:trHeight w:val="35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★危险废物</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数量</w:t>
            </w:r>
          </w:p>
        </w:tc>
        <w:tc>
          <w:tcPr>
            <w:tcW w:w="504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危险废物0.3吨以下</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危险废物0.3吨以上0.5吨</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危险废物0.5吨以上1吨</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危险废物1吨以上2吨</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4</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危险废物2吨以上</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发生频次</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r>
              <w:rPr>
                <w:rFonts w:hint="default" w:ascii="Times New Roman" w:hAnsi="Times New Roman" w:cs="Times New Roman"/>
                <w:color w:val="auto"/>
                <w:sz w:val="20"/>
                <w:szCs w:val="20"/>
                <w:shd w:val="clear" w:color="auto" w:fill="auto"/>
                <w:lang w:val="en-US"/>
              </w:rPr>
              <w:t>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r>
              <w:rPr>
                <w:rFonts w:hint="default" w:ascii="Times New Roman" w:hAnsi="Times New Roman" w:cs="Times New Roman"/>
                <w:color w:val="auto"/>
                <w:sz w:val="20"/>
                <w:szCs w:val="20"/>
                <w:shd w:val="clear" w:color="auto" w:fill="auto"/>
                <w:lang w:val="en-US"/>
              </w:rPr>
              <w:t>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r>
              <w:rPr>
                <w:rFonts w:hint="default" w:ascii="Times New Roman" w:hAnsi="Times New Roman" w:cs="Times New Roman"/>
                <w:color w:val="auto"/>
                <w:sz w:val="20"/>
                <w:szCs w:val="20"/>
                <w:shd w:val="clear" w:color="auto" w:fill="auto"/>
                <w:lang w:val="en-US"/>
              </w:rPr>
              <w:t>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r>
              <w:rPr>
                <w:rFonts w:hint="default" w:ascii="Times New Roman" w:hAnsi="Times New Roman" w:cs="Times New Roman"/>
                <w:color w:val="auto"/>
                <w:sz w:val="20"/>
                <w:szCs w:val="20"/>
                <w:shd w:val="clear" w:color="auto" w:fill="auto"/>
                <w:lang w:val="en-US"/>
              </w:rPr>
              <w:t>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r>
              <w:rPr>
                <w:rFonts w:hint="default" w:ascii="Times New Roman" w:hAnsi="Times New Roman" w:cs="Times New Roman"/>
                <w:color w:val="auto"/>
                <w:sz w:val="20"/>
                <w:szCs w:val="20"/>
                <w:shd w:val="clear" w:color="auto" w:fill="auto"/>
                <w:lang w:val="en-US"/>
              </w:rPr>
              <w:t>次</w:t>
            </w:r>
            <w:r>
              <w:rPr>
                <w:rFonts w:hint="eastAsia" w:ascii="Times New Roman" w:hAnsi="Times New Roman" w:cs="Times New Roman"/>
                <w:color w:val="auto"/>
                <w:sz w:val="20"/>
                <w:szCs w:val="20"/>
                <w:shd w:val="clear" w:color="auto" w:fill="auto"/>
                <w:lang w:val="en-US" w:eastAsia="zh-CN"/>
              </w:rPr>
              <w:t>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400"/>
        <w:gridCol w:w="2292"/>
      </w:tblGrid>
      <w:tr>
        <w:trPr>
          <w:trHeight w:val="284"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284"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03" w:name="_Toc1968"/>
            <w:r>
              <w:rPr>
                <w:rFonts w:hint="default" w:ascii="Times New Roman" w:hAnsi="Times New Roman" w:cs="Times New Roman"/>
                <w:color w:val="auto"/>
                <w:sz w:val="20"/>
                <w:szCs w:val="20"/>
                <w:shd w:val="clear" w:color="auto" w:fill="auto"/>
              </w:rPr>
              <w:t>19</w:t>
            </w:r>
            <w:bookmarkEnd w:id="203"/>
          </w:p>
        </w:tc>
      </w:tr>
      <w:tr>
        <w:trPr>
          <w:trHeight w:val="284"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04" w:name="_Toc19705"/>
            <w:r>
              <w:rPr>
                <w:rFonts w:hint="default" w:ascii="Times New Roman" w:hAnsi="Times New Roman" w:cs="Times New Roman"/>
                <w:color w:val="auto"/>
                <w:sz w:val="20"/>
                <w:szCs w:val="20"/>
                <w:shd w:val="clear" w:color="auto" w:fill="auto"/>
              </w:rPr>
              <w:t>不按照国家规定填写、运行危险废物转移联单或者未经批准擅自转移危险废物的</w:t>
            </w:r>
            <w:bookmarkEnd w:id="204"/>
          </w:p>
        </w:tc>
      </w:tr>
      <w:tr>
        <w:trPr>
          <w:trHeight w:val="241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《中华人民共和国固体废物污染环境防治法》第八十二条第一款、第二款</w:t>
            </w:r>
            <w:r>
              <w:rPr>
                <w:rFonts w:hint="default" w:ascii="Times New Roman" w:hAnsi="Times New Roman" w:cs="Times New Roman"/>
                <w:color w:val="auto"/>
                <w:sz w:val="21"/>
                <w:szCs w:val="21"/>
                <w:shd w:val="clear" w:color="auto" w:fill="auto"/>
              </w:rPr>
              <w:t xml:space="preserve">  </w:t>
            </w:r>
            <w:r>
              <w:rPr>
                <w:rFonts w:hint="default" w:ascii="Times New Roman" w:hAnsi="Times New Roman" w:cs="Times New Roman"/>
                <w:color w:val="auto"/>
                <w:kern w:val="2"/>
                <w:sz w:val="21"/>
                <w:szCs w:val="21"/>
                <w:shd w:val="clear" w:color="auto" w:fill="auto"/>
              </w:rPr>
              <w:t>转移危险废物的，应当按照国家有关规定填写、运行危险废物电子或者纸质转移联单。</w:t>
            </w:r>
          </w:p>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rPr>
              <w:t>跨省、自治区、直辖市转移危险废物的，应当向危险废物移出地省、自治区、直辖市人民政府生态环境主管部门申请。移出地省、自治区、直辖市人民政府生态环境主管部门应当及时商经接受地省、自治区、直辖市人民政府生态环境主管部门同意后，在规定期限内批准转移该危险废物，并将批准信息通报相关省、自治区、直辖市人民政府生态环境主管部门和交通运输主管部门。未经批准的，不得转移。</w:t>
            </w:r>
          </w:p>
        </w:tc>
      </w:tr>
      <w:tr>
        <w:trPr>
          <w:trHeight w:val="341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《中华人民共和国固体废物污染环境防治法》第一百一十二条第一款第（五）项、第二款</w:t>
            </w:r>
            <w:r>
              <w:rPr>
                <w:rFonts w:hint="default" w:ascii="Times New Roman" w:hAnsi="Times New Roman" w:cs="Times New Roman"/>
                <w:color w:val="auto"/>
                <w:sz w:val="21"/>
                <w:szCs w:val="21"/>
                <w:shd w:val="clear" w:color="auto" w:fill="auto"/>
              </w:rPr>
              <w:t>　</w:t>
            </w:r>
            <w:r>
              <w:rPr>
                <w:rFonts w:hint="default" w:ascii="Times New Roman" w:hAnsi="Times New Roman" w:cs="Times New Roman"/>
                <w:color w:val="auto"/>
                <w:kern w:val="2"/>
                <w:sz w:val="21"/>
                <w:szCs w:val="21"/>
                <w:shd w:val="clear" w:color="auto" w:fill="auto"/>
              </w:rPr>
              <w:t>违反本法规定，有下列行为之一，由生态环境主管部门责令改正，处以罚款，没收违法所得；情节严重的，报经有批准权的人民政府批准，可以责令停业或者关闭：</w:t>
            </w:r>
          </w:p>
          <w:p>
            <w:pPr>
              <w:shd w:val="clear" w:color="auto" w:fill="auto"/>
              <w:snapToGrid w:val="0"/>
              <w:spacing w:before="0" w:beforeAutospacing="0" w:after="0" w:afterAutospacing="0" w:line="320" w:lineRule="exact"/>
              <w:ind w:left="0" w:right="0" w:firstLine="420"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（五）未按照国家有关规定填写、运行危险废物转移联单或者未经批准擅自转移危险废物的；</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40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2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40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已填写危险废物转移联单，但是</w:t>
            </w:r>
            <w:r>
              <w:rPr>
                <w:rFonts w:hint="default" w:ascii="Times New Roman" w:hAnsi="Times New Roman" w:cs="Times New Roman"/>
                <w:color w:val="auto"/>
                <w:sz w:val="21"/>
                <w:szCs w:val="21"/>
                <w:shd w:val="clear" w:color="auto" w:fill="auto"/>
                <w:lang w:val="en-US"/>
              </w:rPr>
              <w:t>未运行</w:t>
            </w:r>
          </w:p>
        </w:tc>
        <w:tc>
          <w:tcPr>
            <w:tcW w:w="22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0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未填写危险废物转移联单的</w:t>
            </w:r>
          </w:p>
        </w:tc>
        <w:tc>
          <w:tcPr>
            <w:tcW w:w="229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0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未经批准擅自转移危险废物，规范采取相应防范措施的</w:t>
            </w:r>
          </w:p>
        </w:tc>
        <w:tc>
          <w:tcPr>
            <w:tcW w:w="229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0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未经批准擅自转移危险废物，未规范采取相应防范措施的</w:t>
            </w:r>
          </w:p>
        </w:tc>
        <w:tc>
          <w:tcPr>
            <w:tcW w:w="229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4</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0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未经批准擅自转移危险废物，且未采取相应防范措施的</w:t>
            </w:r>
          </w:p>
        </w:tc>
        <w:tc>
          <w:tcPr>
            <w:tcW w:w="229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危险废物</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数量</w:t>
            </w:r>
          </w:p>
        </w:tc>
        <w:tc>
          <w:tcPr>
            <w:tcW w:w="540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0.5吨以下的</w:t>
            </w:r>
          </w:p>
        </w:tc>
        <w:tc>
          <w:tcPr>
            <w:tcW w:w="22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0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rPr>
              <w:t>0.5吨以上3吨</w:t>
            </w:r>
            <w:r>
              <w:rPr>
                <w:rFonts w:hint="default" w:ascii="Times New Roman" w:hAnsi="Times New Roman" w:cs="Times New Roman"/>
                <w:color w:val="auto"/>
                <w:sz w:val="21"/>
                <w:szCs w:val="21"/>
                <w:shd w:val="clear" w:color="auto" w:fill="auto"/>
                <w:lang w:eastAsia="zh-CN"/>
              </w:rPr>
              <w:t>以下</w:t>
            </w:r>
            <w:r>
              <w:rPr>
                <w:rFonts w:hint="default" w:ascii="Times New Roman" w:hAnsi="Times New Roman" w:cs="Times New Roman"/>
                <w:color w:val="auto"/>
                <w:kern w:val="2"/>
                <w:sz w:val="21"/>
                <w:szCs w:val="21"/>
                <w:shd w:val="clear" w:color="auto" w:fill="auto"/>
              </w:rPr>
              <w:t>的</w:t>
            </w:r>
          </w:p>
        </w:tc>
        <w:tc>
          <w:tcPr>
            <w:tcW w:w="229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0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rPr>
              <w:t>3吨以上5吨</w:t>
            </w:r>
            <w:r>
              <w:rPr>
                <w:rFonts w:hint="default" w:ascii="Times New Roman" w:hAnsi="Times New Roman" w:cs="Times New Roman"/>
                <w:color w:val="auto"/>
                <w:sz w:val="21"/>
                <w:szCs w:val="21"/>
                <w:shd w:val="clear" w:color="auto" w:fill="auto"/>
                <w:lang w:eastAsia="zh-CN"/>
              </w:rPr>
              <w:t>以下</w:t>
            </w:r>
            <w:r>
              <w:rPr>
                <w:rFonts w:hint="default" w:ascii="Times New Roman" w:hAnsi="Times New Roman" w:cs="Times New Roman"/>
                <w:color w:val="auto"/>
                <w:kern w:val="2"/>
                <w:sz w:val="21"/>
                <w:szCs w:val="21"/>
                <w:shd w:val="clear" w:color="auto" w:fill="auto"/>
              </w:rPr>
              <w:t>的</w:t>
            </w:r>
          </w:p>
        </w:tc>
        <w:tc>
          <w:tcPr>
            <w:tcW w:w="229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0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rPr>
              <w:t>5吨以上10吨</w:t>
            </w:r>
            <w:r>
              <w:rPr>
                <w:rFonts w:hint="default" w:ascii="Times New Roman" w:hAnsi="Times New Roman" w:cs="Times New Roman"/>
                <w:color w:val="auto"/>
                <w:sz w:val="21"/>
                <w:szCs w:val="21"/>
                <w:shd w:val="clear" w:color="auto" w:fill="auto"/>
                <w:lang w:eastAsia="zh-CN"/>
              </w:rPr>
              <w:t>以下</w:t>
            </w:r>
            <w:r>
              <w:rPr>
                <w:rFonts w:hint="default" w:ascii="Times New Roman" w:hAnsi="Times New Roman" w:cs="Times New Roman"/>
                <w:color w:val="auto"/>
                <w:kern w:val="2"/>
                <w:sz w:val="21"/>
                <w:szCs w:val="21"/>
                <w:shd w:val="clear" w:color="auto" w:fill="auto"/>
              </w:rPr>
              <w:t>的</w:t>
            </w:r>
          </w:p>
        </w:tc>
        <w:tc>
          <w:tcPr>
            <w:tcW w:w="229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4</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0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rPr>
              <w:t>10吨以上的</w:t>
            </w:r>
          </w:p>
        </w:tc>
        <w:tc>
          <w:tcPr>
            <w:tcW w:w="229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40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2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0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1"/>
                <w:shd w:val="clear" w:color="auto" w:fill="auto"/>
              </w:rPr>
              <w:t>小型企业</w:t>
            </w:r>
          </w:p>
        </w:tc>
        <w:tc>
          <w:tcPr>
            <w:tcW w:w="229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0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1"/>
                <w:shd w:val="clear" w:color="auto" w:fill="auto"/>
              </w:rPr>
              <w:t>中型企业</w:t>
            </w:r>
          </w:p>
        </w:tc>
        <w:tc>
          <w:tcPr>
            <w:tcW w:w="229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0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1"/>
                <w:shd w:val="clear" w:color="auto" w:fill="auto"/>
              </w:rPr>
              <w:t>大型企业</w:t>
            </w:r>
          </w:p>
        </w:tc>
        <w:tc>
          <w:tcPr>
            <w:tcW w:w="229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4</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40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2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0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2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0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2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40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2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0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2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0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2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0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2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0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2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40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1次</w:t>
            </w:r>
          </w:p>
        </w:tc>
        <w:tc>
          <w:tcPr>
            <w:tcW w:w="22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0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2次</w:t>
            </w:r>
          </w:p>
        </w:tc>
        <w:tc>
          <w:tcPr>
            <w:tcW w:w="22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0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3次</w:t>
            </w:r>
          </w:p>
        </w:tc>
        <w:tc>
          <w:tcPr>
            <w:tcW w:w="22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0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4次</w:t>
            </w:r>
          </w:p>
        </w:tc>
        <w:tc>
          <w:tcPr>
            <w:tcW w:w="22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0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5次</w:t>
            </w:r>
            <w:r>
              <w:rPr>
                <w:rFonts w:hint="eastAsia" w:ascii="Times New Roman" w:hAnsi="Times New Roman" w:cs="Times New Roman"/>
                <w:color w:val="auto"/>
                <w:kern w:val="2"/>
                <w:sz w:val="21"/>
                <w:szCs w:val="21"/>
                <w:shd w:val="clear" w:color="auto" w:fill="auto"/>
                <w:lang w:val="en-US" w:eastAsia="zh-CN"/>
              </w:rPr>
              <w:t>以上</w:t>
            </w:r>
          </w:p>
        </w:tc>
        <w:tc>
          <w:tcPr>
            <w:tcW w:w="22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40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2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0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两年内受到同类处罚1次</w:t>
            </w:r>
          </w:p>
        </w:tc>
        <w:tc>
          <w:tcPr>
            <w:tcW w:w="22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0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两年内受到同类处罚2次以上</w:t>
            </w:r>
          </w:p>
        </w:tc>
        <w:tc>
          <w:tcPr>
            <w:tcW w:w="22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40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29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0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29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0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29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0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29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0"/>
              <w:jc w:val="both"/>
              <w:rPr>
                <w:rFonts w:hint="default" w:ascii="Times New Roman" w:hAnsi="Times New Roman" w:eastAsia="宋体" w:cs="Times New Roman"/>
                <w:color w:val="auto"/>
                <w:sz w:val="20"/>
                <w:szCs w:val="20"/>
                <w:shd w:val="clear" w:color="auto" w:fill="auto"/>
                <w:lang w:val="en-US" w:eastAsia="zh-CN"/>
              </w:rPr>
            </w:pPr>
          </w:p>
        </w:tc>
      </w:tr>
    </w:tbl>
    <w:p>
      <w:pPr>
        <w:shd w:val="clear" w:color="auto" w:fill="auto"/>
        <w:snapToGrid w:val="0"/>
        <w:spacing w:line="20" w:lineRule="exact"/>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220"/>
        <w:gridCol w:w="2472"/>
      </w:tblGrid>
      <w:tr>
        <w:trPr>
          <w:trHeight w:val="284" w:hRule="atLeast"/>
        </w:trPr>
        <w:tc>
          <w:tcPr>
            <w:tcW w:w="9060" w:type="dxa"/>
            <w:gridSpan w:val="3"/>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284"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05" w:name="_Toc13858"/>
            <w:r>
              <w:rPr>
                <w:rFonts w:hint="default" w:ascii="Times New Roman" w:hAnsi="Times New Roman" w:cs="Times New Roman"/>
                <w:color w:val="auto"/>
                <w:sz w:val="20"/>
                <w:szCs w:val="20"/>
                <w:shd w:val="clear" w:color="auto" w:fill="auto"/>
              </w:rPr>
              <w:t>20</w:t>
            </w:r>
            <w:bookmarkEnd w:id="205"/>
          </w:p>
        </w:tc>
      </w:tr>
      <w:tr>
        <w:trPr>
          <w:trHeight w:val="284"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firstLine="420" w:firstLineChars="200"/>
              <w:jc w:val="left"/>
              <w:outlineLvl w:val="9"/>
              <w:rPr>
                <w:rFonts w:hint="default" w:ascii="Times New Roman" w:hAnsi="Times New Roman" w:cs="Times New Roman"/>
                <w:color w:val="auto"/>
                <w:sz w:val="20"/>
                <w:szCs w:val="20"/>
                <w:shd w:val="clear" w:color="auto" w:fill="auto"/>
              </w:rPr>
            </w:pPr>
            <w:bookmarkStart w:id="206" w:name="_Toc4425"/>
            <w:r>
              <w:rPr>
                <w:rFonts w:hint="default" w:ascii="Times New Roman" w:hAnsi="Times New Roman" w:cs="Times New Roman"/>
                <w:color w:val="auto"/>
                <w:sz w:val="20"/>
                <w:szCs w:val="20"/>
                <w:shd w:val="clear" w:color="auto" w:fill="auto"/>
              </w:rPr>
              <w:t>未按照国家环境保护标准贮存、利用、处置危险废物或者将危险废物混入非危险废物中贮存</w:t>
            </w:r>
            <w:bookmarkEnd w:id="206"/>
          </w:p>
        </w:tc>
      </w:tr>
      <w:tr>
        <w:trPr>
          <w:trHeight w:val="284"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top"/>
          </w:tcPr>
          <w:p>
            <w:pPr>
              <w:pStyle w:val="19"/>
              <w:shd w:val="clear" w:color="auto" w:fill="auto"/>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《中华人民共和国固体废物污染环境防治法》第八十一条 </w:t>
            </w:r>
            <w:r>
              <w:rPr>
                <w:rFonts w:hint="default" w:ascii="Times New Roman" w:hAnsi="Times New Roman" w:cs="Times New Roman"/>
                <w:color w:val="auto"/>
                <w:kern w:val="2"/>
                <w:sz w:val="21"/>
                <w:szCs w:val="21"/>
                <w:shd w:val="clear" w:color="auto" w:fill="auto"/>
              </w:rPr>
              <w:t>收集、贮存危险废物，应当按照危险废物特性分类进行。禁止混合收集、贮存、运输、处置性质不相容而未经安全性处置的危险废物。</w:t>
            </w:r>
          </w:p>
          <w:p>
            <w:pPr>
              <w:pStyle w:val="19"/>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rPr>
              <w:t>贮存危险废物应当采取符合国家环境保护标准的防护措施。禁止将危险废物混入非危险废物中贮存。</w:t>
            </w:r>
          </w:p>
          <w:p>
            <w:pPr>
              <w:pStyle w:val="19"/>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rPr>
              <w:t>从事收集、贮存、利用、处置危险废物经营活动的单位，贮存危险废物不得超过一年；确需延长期限的，应当报经颁发许可证的生态环境主管部门批准；法律、行政法规另有规定的除外。</w:t>
            </w:r>
          </w:p>
        </w:tc>
      </w:tr>
      <w:tr>
        <w:trPr>
          <w:trHeight w:val="284"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top"/>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《中华人民共和国固体废物污染环境防治法》第一百一十二条第一款第（六）项、第二款</w:t>
            </w:r>
            <w:r>
              <w:rPr>
                <w:rFonts w:hint="default" w:ascii="Times New Roman" w:hAnsi="Times New Roman" w:cs="Times New Roman"/>
                <w:color w:val="auto"/>
                <w:sz w:val="21"/>
                <w:szCs w:val="21"/>
                <w:shd w:val="clear" w:color="auto" w:fill="auto"/>
              </w:rPr>
              <w:t>　</w:t>
            </w:r>
            <w:r>
              <w:rPr>
                <w:rFonts w:hint="default" w:ascii="Times New Roman" w:hAnsi="Times New Roman" w:cs="Times New Roman"/>
                <w:color w:val="auto"/>
                <w:kern w:val="2"/>
                <w:sz w:val="21"/>
                <w:szCs w:val="21"/>
                <w:shd w:val="clear" w:color="auto" w:fill="auto"/>
              </w:rPr>
              <w:t>违反本法规定，有下列行为之一，由生态环境主管部门责令改正，处以罚款，没收违法所得；情节严重的，报经有批准权的人民政府批准，可以责令停业或者关闭：</w:t>
            </w:r>
          </w:p>
          <w:p>
            <w:pPr>
              <w:shd w:val="clear" w:color="auto" w:fill="auto"/>
              <w:snapToGrid w:val="0"/>
              <w:spacing w:before="0" w:beforeAutospacing="0" w:after="0" w:afterAutospacing="0" w:line="320" w:lineRule="exact"/>
              <w:ind w:left="0" w:right="0" w:firstLine="420"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（六）未按照国家环境保护标准贮存、利用、处置危险废物或者将危险废物混入非危险废物中贮存的；</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r>
      <w:tr>
        <w:trPr>
          <w:trHeight w:val="425"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2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4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2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rPr>
              <w:t>贮存、利用、处置</w:t>
            </w:r>
            <w:r>
              <w:rPr>
                <w:rFonts w:hint="default" w:ascii="Times New Roman" w:hAnsi="Times New Roman" w:cs="Times New Roman"/>
                <w:color w:val="auto"/>
                <w:sz w:val="21"/>
                <w:szCs w:val="21"/>
                <w:shd w:val="clear" w:color="auto" w:fill="auto"/>
              </w:rPr>
              <w:t>场所已建设危险废物污染防治措施，但危险废物污染防治措施不规范的</w:t>
            </w:r>
          </w:p>
        </w:tc>
        <w:tc>
          <w:tcPr>
            <w:tcW w:w="24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rPr>
              <w:t>贮存、利用、处置</w:t>
            </w:r>
            <w:r>
              <w:rPr>
                <w:rFonts w:hint="default" w:ascii="Times New Roman" w:hAnsi="Times New Roman" w:cs="Times New Roman"/>
                <w:color w:val="auto"/>
                <w:sz w:val="21"/>
                <w:szCs w:val="21"/>
                <w:shd w:val="clear" w:color="auto" w:fill="auto"/>
              </w:rPr>
              <w:t>场所未建设危险废物污染防治措施的</w:t>
            </w:r>
          </w:p>
        </w:tc>
        <w:tc>
          <w:tcPr>
            <w:tcW w:w="24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★混合物</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数量</w:t>
            </w:r>
          </w:p>
        </w:tc>
        <w:tc>
          <w:tcPr>
            <w:tcW w:w="52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混合物数量1吨</w:t>
            </w:r>
            <w:r>
              <w:rPr>
                <w:rFonts w:hint="default" w:ascii="Times New Roman" w:hAnsi="Times New Roman" w:cs="Times New Roman"/>
                <w:color w:val="auto"/>
                <w:sz w:val="21"/>
                <w:szCs w:val="21"/>
                <w:shd w:val="clear" w:color="auto" w:fill="auto"/>
                <w:lang w:eastAsia="zh-CN"/>
              </w:rPr>
              <w:t>以下</w:t>
            </w:r>
          </w:p>
        </w:tc>
        <w:tc>
          <w:tcPr>
            <w:tcW w:w="24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混合物数量1吨以上5吨</w:t>
            </w:r>
            <w:r>
              <w:rPr>
                <w:rFonts w:hint="default" w:ascii="Times New Roman" w:hAnsi="Times New Roman" w:cs="Times New Roman"/>
                <w:color w:val="auto"/>
                <w:sz w:val="21"/>
                <w:szCs w:val="21"/>
                <w:shd w:val="clear" w:color="auto" w:fill="auto"/>
                <w:lang w:eastAsia="zh-CN"/>
              </w:rPr>
              <w:t>以下</w:t>
            </w:r>
          </w:p>
        </w:tc>
        <w:tc>
          <w:tcPr>
            <w:tcW w:w="24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混合物数量5吨以上10吨</w:t>
            </w:r>
            <w:r>
              <w:rPr>
                <w:rFonts w:hint="default" w:ascii="Times New Roman" w:hAnsi="Times New Roman" w:cs="Times New Roman"/>
                <w:color w:val="auto"/>
                <w:sz w:val="21"/>
                <w:szCs w:val="21"/>
                <w:shd w:val="clear" w:color="auto" w:fill="auto"/>
                <w:lang w:eastAsia="zh-CN"/>
              </w:rPr>
              <w:t>以下</w:t>
            </w:r>
          </w:p>
        </w:tc>
        <w:tc>
          <w:tcPr>
            <w:tcW w:w="24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混合物数量10吨以上20吨</w:t>
            </w:r>
            <w:r>
              <w:rPr>
                <w:rFonts w:hint="default" w:ascii="Times New Roman" w:hAnsi="Times New Roman" w:cs="Times New Roman"/>
                <w:color w:val="auto"/>
                <w:sz w:val="21"/>
                <w:szCs w:val="21"/>
                <w:shd w:val="clear" w:color="auto" w:fill="auto"/>
                <w:lang w:eastAsia="zh-CN"/>
              </w:rPr>
              <w:t>以下</w:t>
            </w:r>
          </w:p>
        </w:tc>
        <w:tc>
          <w:tcPr>
            <w:tcW w:w="24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混合物数量20吨以上</w:t>
            </w:r>
          </w:p>
        </w:tc>
        <w:tc>
          <w:tcPr>
            <w:tcW w:w="24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2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4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小型企业</w:t>
            </w:r>
          </w:p>
        </w:tc>
        <w:tc>
          <w:tcPr>
            <w:tcW w:w="24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中型企业</w:t>
            </w:r>
          </w:p>
        </w:tc>
        <w:tc>
          <w:tcPr>
            <w:tcW w:w="24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大型企业</w:t>
            </w:r>
          </w:p>
        </w:tc>
        <w:tc>
          <w:tcPr>
            <w:tcW w:w="24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2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4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4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47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2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4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4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4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4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4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2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1次</w:t>
            </w:r>
          </w:p>
        </w:tc>
        <w:tc>
          <w:tcPr>
            <w:tcW w:w="24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2次</w:t>
            </w:r>
          </w:p>
        </w:tc>
        <w:tc>
          <w:tcPr>
            <w:tcW w:w="24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3次</w:t>
            </w:r>
          </w:p>
        </w:tc>
        <w:tc>
          <w:tcPr>
            <w:tcW w:w="24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4次</w:t>
            </w:r>
          </w:p>
        </w:tc>
        <w:tc>
          <w:tcPr>
            <w:tcW w:w="24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5次</w:t>
            </w:r>
            <w:r>
              <w:rPr>
                <w:rFonts w:hint="eastAsia" w:ascii="Times New Roman" w:hAnsi="Times New Roman" w:cs="Times New Roman"/>
                <w:color w:val="auto"/>
                <w:kern w:val="2"/>
                <w:sz w:val="21"/>
                <w:szCs w:val="21"/>
                <w:shd w:val="clear" w:color="auto" w:fill="auto"/>
                <w:lang w:val="en-US" w:eastAsia="zh-CN"/>
              </w:rPr>
              <w:t>以上</w:t>
            </w:r>
          </w:p>
        </w:tc>
        <w:tc>
          <w:tcPr>
            <w:tcW w:w="24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受处罚次数</w:t>
            </w:r>
          </w:p>
        </w:tc>
        <w:tc>
          <w:tcPr>
            <w:tcW w:w="52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两年内未受到过同类处罚</w:t>
            </w:r>
          </w:p>
        </w:tc>
        <w:tc>
          <w:tcPr>
            <w:tcW w:w="24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pStyle w:val="19"/>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0"/>
                <w:sz w:val="21"/>
                <w:szCs w:val="21"/>
                <w:shd w:val="clear" w:color="auto" w:fill="auto"/>
                <w:lang w:val="en-US" w:eastAsia="zh-CN"/>
              </w:rPr>
              <w:t>两年内受到同类处罚1次</w:t>
            </w:r>
          </w:p>
        </w:tc>
        <w:tc>
          <w:tcPr>
            <w:tcW w:w="24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pStyle w:val="19"/>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0"/>
                <w:sz w:val="21"/>
                <w:szCs w:val="21"/>
                <w:shd w:val="clear" w:color="auto" w:fill="auto"/>
                <w:lang w:val="en-US" w:eastAsia="zh-CN"/>
              </w:rPr>
              <w:t>两年内受到同类处罚2次以上</w:t>
            </w:r>
          </w:p>
        </w:tc>
        <w:tc>
          <w:tcPr>
            <w:tcW w:w="247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2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47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47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47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47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20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5245"/>
        <w:gridCol w:w="2693"/>
      </w:tblGrid>
      <w:tr>
        <w:trPr>
          <w:trHeight w:val="369" w:hRule="atLeast"/>
        </w:trPr>
        <w:tc>
          <w:tcPr>
            <w:tcW w:w="9209" w:type="dxa"/>
            <w:gridSpan w:val="3"/>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69" w:hRule="atLeast"/>
        </w:trPr>
        <w:tc>
          <w:tcPr>
            <w:tcW w:w="127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938"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07" w:name="_Toc14046"/>
            <w:r>
              <w:rPr>
                <w:rFonts w:hint="default" w:ascii="Times New Roman" w:hAnsi="Times New Roman" w:cs="Times New Roman"/>
                <w:color w:val="auto"/>
                <w:sz w:val="20"/>
                <w:szCs w:val="20"/>
                <w:shd w:val="clear" w:color="auto" w:fill="auto"/>
              </w:rPr>
              <w:t>21</w:t>
            </w:r>
            <w:bookmarkEnd w:id="207"/>
          </w:p>
        </w:tc>
      </w:tr>
      <w:tr>
        <w:trPr>
          <w:trHeight w:val="369" w:hRule="atLeast"/>
        </w:trPr>
        <w:tc>
          <w:tcPr>
            <w:tcW w:w="127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938"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08" w:name="_Toc28723"/>
            <w:r>
              <w:rPr>
                <w:rFonts w:hint="default" w:ascii="Times New Roman" w:hAnsi="Times New Roman" w:cs="Times New Roman"/>
                <w:color w:val="auto"/>
                <w:sz w:val="20"/>
                <w:szCs w:val="20"/>
                <w:shd w:val="clear" w:color="auto" w:fill="auto"/>
              </w:rPr>
              <w:t>未经安全性处置，混合收集、贮存、运输、处置具有不相容性质的危险废物的</w:t>
            </w:r>
            <w:bookmarkEnd w:id="208"/>
          </w:p>
        </w:tc>
      </w:tr>
      <w:tr>
        <w:trPr>
          <w:trHeight w:val="369" w:hRule="atLeast"/>
        </w:trPr>
        <w:tc>
          <w:tcPr>
            <w:tcW w:w="127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938" w:type="dxa"/>
            <w:gridSpan w:val="2"/>
            <w:vAlign w:val="top"/>
          </w:tcPr>
          <w:p>
            <w:pPr>
              <w:widowControl/>
              <w:shd w:val="clear" w:color="auto" w:fill="auto"/>
              <w:spacing w:before="0" w:beforeAutospacing="0" w:after="0" w:afterAutospacing="0" w:line="320" w:lineRule="exact"/>
              <w:ind w:left="0" w:right="0" w:firstLine="42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《中华人民共和国固体废物污染环境防治法》第八十一条第一款 </w:t>
            </w:r>
            <w:r>
              <w:rPr>
                <w:rFonts w:hint="default" w:ascii="Times New Roman" w:hAnsi="Times New Roman" w:cs="Times New Roman"/>
                <w:color w:val="auto"/>
                <w:kern w:val="0"/>
                <w:sz w:val="20"/>
                <w:szCs w:val="20"/>
                <w:shd w:val="clear" w:color="auto" w:fill="auto"/>
              </w:rPr>
              <w:t xml:space="preserve">  </w:t>
            </w:r>
            <w:r>
              <w:rPr>
                <w:rFonts w:hint="default" w:ascii="Times New Roman" w:hAnsi="Times New Roman" w:cs="Times New Roman"/>
                <w:color w:val="auto"/>
                <w:sz w:val="20"/>
                <w:szCs w:val="20"/>
                <w:shd w:val="clear" w:color="auto" w:fill="auto"/>
              </w:rPr>
              <w:t>收集、贮存危险废物，应当按照危险废物特性分类进行。禁止混合收集、贮存、运输、处置性质不相容而未经安全性处置的危险废物。</w:t>
            </w:r>
          </w:p>
        </w:tc>
      </w:tr>
      <w:tr>
        <w:trPr>
          <w:trHeight w:val="369" w:hRule="atLeast"/>
        </w:trPr>
        <w:tc>
          <w:tcPr>
            <w:tcW w:w="127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938" w:type="dxa"/>
            <w:gridSpan w:val="2"/>
            <w:vAlign w:val="top"/>
          </w:tcPr>
          <w:p>
            <w:pPr>
              <w:widowControl/>
              <w:shd w:val="clear" w:color="auto" w:fill="auto"/>
              <w:snapToGrid w:val="0"/>
              <w:spacing w:before="0" w:beforeAutospacing="0" w:after="0" w:afterAutospacing="0" w:line="320" w:lineRule="exact"/>
              <w:ind w:left="0" w:right="0" w:firstLine="42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kern w:val="0"/>
                <w:sz w:val="20"/>
                <w:szCs w:val="20"/>
                <w:shd w:val="clear" w:color="auto" w:fill="auto"/>
              </w:rPr>
              <w:t>《中华人民共和国固体废物污染环境防治法》第一百一十二条第一款第（七）项、第二款</w:t>
            </w:r>
            <w:r>
              <w:rPr>
                <w:rFonts w:hint="default" w:ascii="Times New Roman" w:hAnsi="Times New Roman" w:cs="Times New Roman"/>
                <w:color w:val="auto"/>
                <w:kern w:val="0"/>
                <w:sz w:val="20"/>
                <w:szCs w:val="20"/>
                <w:shd w:val="clear" w:color="auto" w:fill="auto"/>
              </w:rPr>
              <w:t>　</w:t>
            </w:r>
            <w:r>
              <w:rPr>
                <w:rFonts w:hint="default" w:ascii="Times New Roman" w:hAnsi="Times New Roman" w:cs="Times New Roman"/>
                <w:color w:val="auto"/>
                <w:sz w:val="20"/>
                <w:szCs w:val="20"/>
                <w:shd w:val="clear" w:color="auto" w:fill="auto"/>
              </w:rPr>
              <w:t>违反本法规定，有下列行为之一，由生态环境主管部门责令改正，处以罚款，没收违法所得；情节严重的，报经有批准权的人民政府批准，可以责令停业或者关闭：</w:t>
            </w:r>
          </w:p>
          <w:p>
            <w:pPr>
              <w:numPr>
                <w:ilvl w:val="0"/>
                <w:numId w:val="11"/>
              </w:num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未经安全性处置，混合收集、贮存、运输、处置具有不相容性质的危险废物的；</w:t>
            </w:r>
          </w:p>
          <w:p>
            <w:pPr>
              <w:shd w:val="clear" w:color="auto" w:fill="auto"/>
              <w:snapToGrid w:val="0"/>
              <w:spacing w:before="0" w:beforeAutospacing="0" w:after="0" w:afterAutospacing="0" w:line="320" w:lineRule="exact"/>
              <w:ind w:left="0" w:right="0" w:firstLine="420"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r>
      <w:tr>
        <w:trPr>
          <w:trHeight w:val="425" w:hRule="atLeast"/>
        </w:trPr>
        <w:tc>
          <w:tcPr>
            <w:tcW w:w="127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24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27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违法事实</w:t>
            </w:r>
          </w:p>
        </w:tc>
        <w:tc>
          <w:tcPr>
            <w:tcW w:w="5245"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未经安全性处置，混合收集、贮存、运输、处置</w:t>
            </w:r>
            <w:r>
              <w:rPr>
                <w:rFonts w:hint="default" w:ascii="Times New Roman" w:hAnsi="Times New Roman" w:cs="Times New Roman"/>
                <w:color w:val="auto"/>
                <w:kern w:val="0"/>
                <w:sz w:val="20"/>
                <w:szCs w:val="20"/>
                <w:shd w:val="clear" w:color="auto" w:fill="auto"/>
              </w:rPr>
              <w:t>数量1吨</w:t>
            </w:r>
            <w:r>
              <w:rPr>
                <w:rFonts w:hint="default" w:ascii="Times New Roman" w:hAnsi="Times New Roman" w:cs="Times New Roman"/>
                <w:color w:val="auto"/>
                <w:kern w:val="0"/>
                <w:sz w:val="20"/>
                <w:szCs w:val="20"/>
                <w:shd w:val="clear" w:color="auto" w:fill="auto"/>
                <w:lang w:val="en-US"/>
              </w:rPr>
              <w:t>以下</w:t>
            </w:r>
          </w:p>
        </w:tc>
        <w:tc>
          <w:tcPr>
            <w:tcW w:w="2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27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5"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未经安全性处置，混合收集、贮存、运输、处置</w:t>
            </w:r>
            <w:r>
              <w:rPr>
                <w:rFonts w:hint="default" w:ascii="Times New Roman" w:hAnsi="Times New Roman" w:cs="Times New Roman"/>
                <w:color w:val="auto"/>
                <w:kern w:val="0"/>
                <w:sz w:val="20"/>
                <w:szCs w:val="20"/>
                <w:shd w:val="clear" w:color="auto" w:fill="auto"/>
              </w:rPr>
              <w:t>数量1吨以上5吨</w:t>
            </w:r>
            <w:r>
              <w:rPr>
                <w:rFonts w:hint="default" w:ascii="Times New Roman" w:hAnsi="Times New Roman" w:cs="Times New Roman"/>
                <w:color w:val="auto"/>
                <w:kern w:val="0"/>
                <w:sz w:val="20"/>
                <w:szCs w:val="20"/>
                <w:shd w:val="clear" w:color="auto" w:fill="auto"/>
                <w:lang w:val="en-US"/>
              </w:rPr>
              <w:t>以下</w:t>
            </w:r>
          </w:p>
        </w:tc>
        <w:tc>
          <w:tcPr>
            <w:tcW w:w="2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trPr>
        <w:tc>
          <w:tcPr>
            <w:tcW w:w="127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5"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未经安全性处置，混合收集、贮存、运输、处置</w:t>
            </w:r>
            <w:r>
              <w:rPr>
                <w:rFonts w:hint="default" w:ascii="Times New Roman" w:hAnsi="Times New Roman" w:cs="Times New Roman"/>
                <w:color w:val="auto"/>
                <w:kern w:val="0"/>
                <w:sz w:val="20"/>
                <w:szCs w:val="20"/>
                <w:shd w:val="clear" w:color="auto" w:fill="auto"/>
              </w:rPr>
              <w:t>数量5吨以上10吨</w:t>
            </w:r>
            <w:r>
              <w:rPr>
                <w:rFonts w:hint="default" w:ascii="Times New Roman" w:hAnsi="Times New Roman" w:cs="Times New Roman"/>
                <w:color w:val="auto"/>
                <w:kern w:val="0"/>
                <w:sz w:val="20"/>
                <w:szCs w:val="20"/>
                <w:shd w:val="clear" w:color="auto" w:fill="auto"/>
                <w:lang w:val="en-US"/>
              </w:rPr>
              <w:t>以下</w:t>
            </w:r>
          </w:p>
        </w:tc>
        <w:tc>
          <w:tcPr>
            <w:tcW w:w="2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27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5"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未经安全性处置，混合收集、贮存、运输、处置</w:t>
            </w:r>
            <w:r>
              <w:rPr>
                <w:rFonts w:hint="default" w:ascii="Times New Roman" w:hAnsi="Times New Roman" w:cs="Times New Roman"/>
                <w:color w:val="auto"/>
                <w:kern w:val="0"/>
                <w:sz w:val="20"/>
                <w:szCs w:val="20"/>
                <w:shd w:val="clear" w:color="auto" w:fill="auto"/>
              </w:rPr>
              <w:t>数量10吨以上20吨</w:t>
            </w:r>
            <w:r>
              <w:rPr>
                <w:rFonts w:hint="default" w:ascii="Times New Roman" w:hAnsi="Times New Roman" w:cs="Times New Roman"/>
                <w:color w:val="auto"/>
                <w:kern w:val="0"/>
                <w:sz w:val="20"/>
                <w:szCs w:val="20"/>
                <w:shd w:val="clear" w:color="auto" w:fill="auto"/>
                <w:lang w:val="en-US"/>
              </w:rPr>
              <w:t>以下</w:t>
            </w:r>
          </w:p>
        </w:tc>
        <w:tc>
          <w:tcPr>
            <w:tcW w:w="2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trPr>
        <w:tc>
          <w:tcPr>
            <w:tcW w:w="127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5"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未经安全性处置，混合收集、贮存、运输、处置</w:t>
            </w:r>
            <w:r>
              <w:rPr>
                <w:rFonts w:hint="default" w:ascii="Times New Roman" w:hAnsi="Times New Roman" w:cs="Times New Roman"/>
                <w:color w:val="auto"/>
                <w:kern w:val="0"/>
                <w:sz w:val="20"/>
                <w:szCs w:val="20"/>
                <w:shd w:val="clear" w:color="auto" w:fill="auto"/>
              </w:rPr>
              <w:t>数量20吨以上</w:t>
            </w:r>
          </w:p>
        </w:tc>
        <w:tc>
          <w:tcPr>
            <w:tcW w:w="2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7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24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7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5"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小型企业</w:t>
            </w:r>
          </w:p>
        </w:tc>
        <w:tc>
          <w:tcPr>
            <w:tcW w:w="2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27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5"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中型企业</w:t>
            </w:r>
          </w:p>
        </w:tc>
        <w:tc>
          <w:tcPr>
            <w:tcW w:w="2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7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5"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大型企业</w:t>
            </w:r>
          </w:p>
        </w:tc>
        <w:tc>
          <w:tcPr>
            <w:tcW w:w="2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27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245"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7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trPr>
        <w:tc>
          <w:tcPr>
            <w:tcW w:w="127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5"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71"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24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9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271"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4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9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271"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4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9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271"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4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9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271"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4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9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271"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24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1次</w:t>
            </w:r>
          </w:p>
        </w:tc>
        <w:tc>
          <w:tcPr>
            <w:tcW w:w="269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271"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4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2次</w:t>
            </w:r>
          </w:p>
        </w:tc>
        <w:tc>
          <w:tcPr>
            <w:tcW w:w="269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271"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4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3次</w:t>
            </w:r>
          </w:p>
        </w:tc>
        <w:tc>
          <w:tcPr>
            <w:tcW w:w="269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271"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4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4次</w:t>
            </w:r>
          </w:p>
        </w:tc>
        <w:tc>
          <w:tcPr>
            <w:tcW w:w="269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271"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4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5次</w:t>
            </w:r>
            <w:r>
              <w:rPr>
                <w:rFonts w:hint="eastAsia" w:ascii="Times New Roman" w:hAnsi="Times New Roman" w:cs="Times New Roman"/>
                <w:color w:val="auto"/>
                <w:kern w:val="2"/>
                <w:sz w:val="21"/>
                <w:szCs w:val="21"/>
                <w:shd w:val="clear" w:color="auto" w:fill="auto"/>
                <w:lang w:val="en-US" w:eastAsia="zh-CN"/>
              </w:rPr>
              <w:t>以上</w:t>
            </w:r>
          </w:p>
        </w:tc>
        <w:tc>
          <w:tcPr>
            <w:tcW w:w="269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27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24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7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5"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两年内受到同类处罚1次</w:t>
            </w:r>
          </w:p>
        </w:tc>
        <w:tc>
          <w:tcPr>
            <w:tcW w:w="2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7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5"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两年内受到同类处罚2次以上</w:t>
            </w:r>
          </w:p>
        </w:tc>
        <w:tc>
          <w:tcPr>
            <w:tcW w:w="2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7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2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0"/>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7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7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27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7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938"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spacing w:line="20" w:lineRule="exact"/>
        <w:rPr>
          <w:rFonts w:ascii="Times New Roman" w:hAnsi="Times New Roman" w:cs="Times New Roman"/>
          <w:color w:val="auto"/>
          <w:shd w:val="clear" w:color="auto" w:fill="auto"/>
        </w:rPr>
      </w:pPr>
    </w:p>
    <w:p>
      <w:pPr>
        <w:shd w:val="clear" w:color="auto" w:fill="auto"/>
        <w:snapToGrid w:val="0"/>
        <w:spacing w:line="20" w:lineRule="exact"/>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798"/>
      </w:tblGrid>
      <w:tr>
        <w:trPr>
          <w:trHeight w:val="397" w:hRule="atLeast"/>
        </w:trPr>
        <w:tc>
          <w:tcPr>
            <w:tcW w:w="9209" w:type="dxa"/>
            <w:gridSpan w:val="3"/>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841"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09" w:name="_Toc27581"/>
            <w:r>
              <w:rPr>
                <w:rFonts w:hint="default" w:ascii="Times New Roman" w:hAnsi="Times New Roman" w:cs="Times New Roman"/>
                <w:color w:val="auto"/>
                <w:sz w:val="20"/>
                <w:szCs w:val="20"/>
                <w:shd w:val="clear" w:color="auto" w:fill="auto"/>
              </w:rPr>
              <w:t>22</w:t>
            </w:r>
            <w:bookmarkEnd w:id="209"/>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841"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10" w:name="_Toc29629"/>
            <w:r>
              <w:rPr>
                <w:rFonts w:hint="default" w:ascii="Times New Roman" w:hAnsi="Times New Roman" w:cs="Times New Roman"/>
                <w:color w:val="auto"/>
                <w:sz w:val="20"/>
                <w:szCs w:val="20"/>
                <w:shd w:val="clear" w:color="auto" w:fill="auto"/>
              </w:rPr>
              <w:t>将危险废物与旅客在同一运输工具上载运的</w:t>
            </w:r>
            <w:bookmarkEnd w:id="210"/>
          </w:p>
        </w:tc>
      </w:tr>
      <w:tr>
        <w:trPr>
          <w:trHeight w:val="79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841" w:type="dxa"/>
            <w:gridSpan w:val="2"/>
            <w:vAlign w:val="center"/>
          </w:tcPr>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《中华人民共和国固体废物污染环境防治法》第八十三条第二款</w:t>
            </w:r>
            <w:r>
              <w:rPr>
                <w:rFonts w:hint="default" w:ascii="Times New Roman" w:hAnsi="Times New Roman" w:cs="Times New Roman"/>
                <w:color w:val="auto"/>
                <w:sz w:val="21"/>
                <w:szCs w:val="21"/>
                <w:shd w:val="clear" w:color="auto" w:fill="auto"/>
              </w:rPr>
              <w:t xml:space="preserve"> </w:t>
            </w:r>
            <w:r>
              <w:rPr>
                <w:rFonts w:hint="default" w:ascii="Times New Roman" w:hAnsi="Times New Roman" w:cs="Times New Roman"/>
                <w:color w:val="auto"/>
                <w:kern w:val="2"/>
                <w:sz w:val="21"/>
                <w:szCs w:val="21"/>
                <w:shd w:val="clear" w:color="auto" w:fill="auto"/>
              </w:rPr>
              <w:t>禁止将危险废物与旅客在同一运输工具上载运。</w:t>
            </w:r>
          </w:p>
        </w:tc>
      </w:tr>
      <w:tr>
        <w:trPr>
          <w:trHeight w:val="309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841" w:type="dxa"/>
            <w:gridSpan w:val="2"/>
            <w:vAlign w:val="center"/>
          </w:tcPr>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《中华人民共和国固体废物污染环境防治法》第一百一十二条第一款第（八）项、第二款</w:t>
            </w:r>
            <w:r>
              <w:rPr>
                <w:rFonts w:hint="default" w:ascii="Times New Roman" w:hAnsi="Times New Roman" w:cs="Times New Roman"/>
                <w:color w:val="auto"/>
                <w:sz w:val="21"/>
                <w:szCs w:val="21"/>
                <w:shd w:val="clear" w:color="auto" w:fill="auto"/>
              </w:rPr>
              <w:t>　</w:t>
            </w:r>
            <w:r>
              <w:rPr>
                <w:rFonts w:hint="default" w:ascii="Times New Roman" w:hAnsi="Times New Roman" w:cs="Times New Roman"/>
                <w:color w:val="auto"/>
                <w:kern w:val="2"/>
                <w:sz w:val="21"/>
                <w:szCs w:val="21"/>
                <w:shd w:val="clear" w:color="auto" w:fill="auto"/>
              </w:rPr>
              <w:t>违反本法规定，有下列行为之一，由生态环境主管部门责令改正，处以罚款，没收违法所得；情节严重的，报经有批准权的人民政府批准，可以责令停业或者关闭：</w:t>
            </w:r>
          </w:p>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（八）将危险废物与旅客在同一运输工具上载运的；</w:t>
            </w:r>
          </w:p>
          <w:p>
            <w:pPr>
              <w:shd w:val="clear" w:color="auto" w:fill="auto"/>
              <w:snapToGrid w:val="0"/>
              <w:spacing w:before="0" w:beforeAutospacing="0" w:after="0" w:afterAutospacing="0" w:line="320" w:lineRule="exact"/>
              <w:ind w:left="0" w:right="0" w:firstLine="420"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79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★运载数量</w:t>
            </w: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载运</w:t>
            </w:r>
            <w:r>
              <w:rPr>
                <w:rFonts w:hint="default" w:ascii="Times New Roman" w:hAnsi="Times New Roman" w:cs="Times New Roman"/>
                <w:color w:val="auto"/>
                <w:sz w:val="21"/>
                <w:szCs w:val="21"/>
                <w:shd w:val="clear" w:color="auto" w:fill="auto"/>
              </w:rPr>
              <w:t>危险废物10千克</w:t>
            </w:r>
            <w:r>
              <w:rPr>
                <w:rFonts w:hint="default" w:ascii="Times New Roman" w:hAnsi="Times New Roman" w:cs="Times New Roman"/>
                <w:color w:val="auto"/>
                <w:sz w:val="21"/>
                <w:szCs w:val="21"/>
                <w:shd w:val="clear" w:color="auto" w:fill="auto"/>
                <w:lang w:val="en-US"/>
              </w:rPr>
              <w:t>以下的</w:t>
            </w:r>
          </w:p>
        </w:tc>
        <w:tc>
          <w:tcPr>
            <w:tcW w:w="279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载运</w:t>
            </w:r>
            <w:r>
              <w:rPr>
                <w:rFonts w:hint="default" w:ascii="Times New Roman" w:hAnsi="Times New Roman" w:cs="Times New Roman"/>
                <w:color w:val="auto"/>
                <w:sz w:val="21"/>
                <w:szCs w:val="21"/>
                <w:shd w:val="clear" w:color="auto" w:fill="auto"/>
              </w:rPr>
              <w:t>危险废物10千克以上20千克</w:t>
            </w:r>
            <w:r>
              <w:rPr>
                <w:rFonts w:hint="default" w:ascii="Times New Roman" w:hAnsi="Times New Roman" w:cs="Times New Roman"/>
                <w:color w:val="auto"/>
                <w:sz w:val="21"/>
                <w:szCs w:val="21"/>
                <w:shd w:val="clear" w:color="auto" w:fill="auto"/>
                <w:lang w:val="en-US"/>
              </w:rPr>
              <w:t>以下的</w:t>
            </w:r>
          </w:p>
        </w:tc>
        <w:tc>
          <w:tcPr>
            <w:tcW w:w="279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载运</w:t>
            </w:r>
            <w:r>
              <w:rPr>
                <w:rFonts w:hint="default" w:ascii="Times New Roman" w:hAnsi="Times New Roman" w:cs="Times New Roman"/>
                <w:color w:val="auto"/>
                <w:sz w:val="21"/>
                <w:szCs w:val="21"/>
                <w:shd w:val="clear" w:color="auto" w:fill="auto"/>
              </w:rPr>
              <w:t>危险废物20千克以上30千克</w:t>
            </w:r>
            <w:r>
              <w:rPr>
                <w:rFonts w:hint="default" w:ascii="Times New Roman" w:hAnsi="Times New Roman" w:cs="Times New Roman"/>
                <w:color w:val="auto"/>
                <w:sz w:val="21"/>
                <w:szCs w:val="21"/>
                <w:shd w:val="clear" w:color="auto" w:fill="auto"/>
                <w:lang w:val="en-US"/>
              </w:rPr>
              <w:t>以下的</w:t>
            </w:r>
          </w:p>
        </w:tc>
        <w:tc>
          <w:tcPr>
            <w:tcW w:w="279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载运</w:t>
            </w:r>
            <w:r>
              <w:rPr>
                <w:rFonts w:hint="default" w:ascii="Times New Roman" w:hAnsi="Times New Roman" w:cs="Times New Roman"/>
                <w:color w:val="auto"/>
                <w:sz w:val="21"/>
                <w:szCs w:val="21"/>
                <w:shd w:val="clear" w:color="auto" w:fill="auto"/>
              </w:rPr>
              <w:t>危险废物30千克以上50千克</w:t>
            </w:r>
            <w:r>
              <w:rPr>
                <w:rFonts w:hint="default" w:ascii="Times New Roman" w:hAnsi="Times New Roman" w:cs="Times New Roman"/>
                <w:color w:val="auto"/>
                <w:sz w:val="21"/>
                <w:szCs w:val="21"/>
                <w:shd w:val="clear" w:color="auto" w:fill="auto"/>
                <w:lang w:val="en-US"/>
              </w:rPr>
              <w:t>以下的</w:t>
            </w:r>
          </w:p>
        </w:tc>
        <w:tc>
          <w:tcPr>
            <w:tcW w:w="279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载运</w:t>
            </w:r>
            <w:r>
              <w:rPr>
                <w:rFonts w:hint="default" w:ascii="Times New Roman" w:hAnsi="Times New Roman" w:cs="Times New Roman"/>
                <w:color w:val="auto"/>
                <w:sz w:val="21"/>
                <w:szCs w:val="21"/>
                <w:shd w:val="clear" w:color="auto" w:fill="auto"/>
              </w:rPr>
              <w:t>危险废物50千克以上</w:t>
            </w:r>
          </w:p>
        </w:tc>
        <w:tc>
          <w:tcPr>
            <w:tcW w:w="279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79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79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79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79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79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1次</w:t>
            </w:r>
          </w:p>
        </w:tc>
        <w:tc>
          <w:tcPr>
            <w:tcW w:w="279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2次</w:t>
            </w:r>
          </w:p>
        </w:tc>
        <w:tc>
          <w:tcPr>
            <w:tcW w:w="279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3次</w:t>
            </w:r>
          </w:p>
        </w:tc>
        <w:tc>
          <w:tcPr>
            <w:tcW w:w="279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4次</w:t>
            </w:r>
          </w:p>
        </w:tc>
        <w:tc>
          <w:tcPr>
            <w:tcW w:w="279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eastAsia"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r>
              <w:rPr>
                <w:rFonts w:hint="default" w:ascii="Times New Roman" w:hAnsi="Times New Roman" w:eastAsia="宋体" w:cs="Times New Roman"/>
                <w:color w:val="auto"/>
                <w:kern w:val="2"/>
                <w:sz w:val="21"/>
                <w:szCs w:val="21"/>
                <w:shd w:val="clear" w:color="auto" w:fill="auto"/>
                <w:lang w:val="en-US"/>
              </w:rPr>
              <w:t>次</w:t>
            </w:r>
            <w:r>
              <w:rPr>
                <w:rFonts w:hint="eastAsia" w:ascii="Times New Roman" w:hAnsi="Times New Roman" w:cs="Times New Roman"/>
                <w:color w:val="auto"/>
                <w:kern w:val="2"/>
                <w:sz w:val="21"/>
                <w:szCs w:val="21"/>
                <w:shd w:val="clear" w:color="auto" w:fill="auto"/>
                <w:lang w:val="en-US" w:eastAsia="zh-CN"/>
              </w:rPr>
              <w:t>以上</w:t>
            </w:r>
          </w:p>
        </w:tc>
        <w:tc>
          <w:tcPr>
            <w:tcW w:w="279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对社会影响或环境污染、生态环境破坏程度</w:t>
            </w:r>
          </w:p>
        </w:tc>
        <w:tc>
          <w:tcPr>
            <w:tcW w:w="5043"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未造成社会影响与环境污染、生态环境破坏的</w:t>
            </w:r>
          </w:p>
        </w:tc>
        <w:tc>
          <w:tcPr>
            <w:tcW w:w="279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造成社会影响或环境污染、生态环境破坏轻微的</w:t>
            </w:r>
          </w:p>
        </w:tc>
        <w:tc>
          <w:tcPr>
            <w:tcW w:w="279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造成社会影响或环境污染、生态环境破坏严重的</w:t>
            </w:r>
          </w:p>
        </w:tc>
        <w:tc>
          <w:tcPr>
            <w:tcW w:w="279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受处罚次数</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79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两年内受到同类处罚1次</w:t>
            </w:r>
          </w:p>
        </w:tc>
        <w:tc>
          <w:tcPr>
            <w:tcW w:w="279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两年内受到同类处罚2次以上</w:t>
            </w:r>
          </w:p>
        </w:tc>
        <w:tc>
          <w:tcPr>
            <w:tcW w:w="279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79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79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79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79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841"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5411"/>
        <w:gridCol w:w="2260"/>
      </w:tblGrid>
      <w:tr>
        <w:trPr>
          <w:trHeight w:val="284" w:hRule="atLeast"/>
        </w:trPr>
        <w:tc>
          <w:tcPr>
            <w:tcW w:w="9060" w:type="dxa"/>
            <w:gridSpan w:val="3"/>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284" w:hRule="atLeast"/>
        </w:trPr>
        <w:tc>
          <w:tcPr>
            <w:tcW w:w="13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71"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11" w:name="_Toc25635"/>
            <w:r>
              <w:rPr>
                <w:rFonts w:hint="default" w:ascii="Times New Roman" w:hAnsi="Times New Roman" w:cs="Times New Roman"/>
                <w:color w:val="auto"/>
                <w:sz w:val="20"/>
                <w:szCs w:val="20"/>
                <w:shd w:val="clear" w:color="auto" w:fill="auto"/>
              </w:rPr>
              <w:t>23</w:t>
            </w:r>
            <w:bookmarkEnd w:id="211"/>
          </w:p>
        </w:tc>
      </w:tr>
      <w:tr>
        <w:trPr>
          <w:trHeight w:val="284" w:hRule="atLeast"/>
        </w:trPr>
        <w:tc>
          <w:tcPr>
            <w:tcW w:w="13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71" w:type="dxa"/>
            <w:gridSpan w:val="2"/>
            <w:vAlign w:val="top"/>
          </w:tcPr>
          <w:p>
            <w:pPr>
              <w:shd w:val="clear" w:color="auto" w:fill="auto"/>
              <w:snapToGrid w:val="0"/>
              <w:spacing w:before="0" w:beforeAutospacing="0" w:after="0" w:afterAutospacing="0" w:line="320" w:lineRule="exact"/>
              <w:ind w:left="0" w:right="0" w:firstLine="420" w:firstLineChars="200"/>
              <w:outlineLvl w:val="9"/>
              <w:rPr>
                <w:rFonts w:hint="default" w:ascii="Times New Roman" w:hAnsi="Times New Roman" w:cs="Times New Roman"/>
                <w:color w:val="auto"/>
                <w:sz w:val="20"/>
                <w:szCs w:val="20"/>
                <w:shd w:val="clear" w:color="auto" w:fill="auto"/>
              </w:rPr>
            </w:pPr>
            <w:bookmarkStart w:id="212" w:name="_Toc3886"/>
            <w:r>
              <w:rPr>
                <w:rFonts w:hint="default" w:ascii="Times New Roman" w:hAnsi="Times New Roman" w:cs="Times New Roman"/>
                <w:color w:val="auto"/>
                <w:sz w:val="20"/>
                <w:szCs w:val="20"/>
                <w:shd w:val="clear" w:color="auto" w:fill="auto"/>
              </w:rPr>
              <w:t>未经消除污染处理将收集、贮存、运输、处置危险废物的场所、设施、设备和容器、包装物及其他物品转作他用的</w:t>
            </w:r>
            <w:bookmarkEnd w:id="212"/>
          </w:p>
        </w:tc>
      </w:tr>
      <w:tr>
        <w:trPr>
          <w:trHeight w:val="284" w:hRule="atLeast"/>
        </w:trPr>
        <w:tc>
          <w:tcPr>
            <w:tcW w:w="13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71" w:type="dxa"/>
            <w:gridSpan w:val="2"/>
            <w:vAlign w:val="top"/>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《中华人民共和国固体废物污染环境防治法》第八十四条</w:t>
            </w:r>
            <w:r>
              <w:rPr>
                <w:rFonts w:hint="default" w:ascii="Times New Roman" w:hAnsi="Times New Roman" w:cs="Times New Roman"/>
                <w:color w:val="auto"/>
                <w:kern w:val="2"/>
                <w:sz w:val="21"/>
                <w:szCs w:val="21"/>
                <w:shd w:val="clear" w:color="auto" w:fill="auto"/>
              </w:rPr>
              <w:t xml:space="preserve"> 收集、贮存、运输、利用、处置危险废物的场所、设施、设备和容器、包装物及其他物品转作他用时，应当按照国家有关规定经过消除污染处理，方可使用。</w:t>
            </w:r>
          </w:p>
        </w:tc>
      </w:tr>
      <w:tr>
        <w:trPr>
          <w:trHeight w:val="284" w:hRule="atLeast"/>
        </w:trPr>
        <w:tc>
          <w:tcPr>
            <w:tcW w:w="13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71" w:type="dxa"/>
            <w:gridSpan w:val="2"/>
            <w:vAlign w:val="top"/>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《中华人民共和国固体废物污染环境防治法》第一百一十二条第一款第（九）项、第二款</w:t>
            </w:r>
            <w:r>
              <w:rPr>
                <w:rFonts w:hint="default" w:ascii="Times New Roman" w:hAnsi="Times New Roman" w:cs="Times New Roman"/>
                <w:color w:val="auto"/>
                <w:sz w:val="21"/>
                <w:szCs w:val="21"/>
                <w:shd w:val="clear" w:color="auto" w:fill="auto"/>
              </w:rPr>
              <w:t>　</w:t>
            </w:r>
            <w:r>
              <w:rPr>
                <w:rFonts w:hint="default" w:ascii="Times New Roman" w:hAnsi="Times New Roman" w:cs="Times New Roman"/>
                <w:color w:val="auto"/>
                <w:kern w:val="2"/>
                <w:sz w:val="21"/>
                <w:szCs w:val="21"/>
                <w:shd w:val="clear" w:color="auto" w:fill="auto"/>
              </w:rPr>
              <w:t>违反本法规定，有下列行为之一，由生态环境主管部门责令改正，处以罚款，没收违法所得；情节严重的，报经有批准权的人民政府批准，可以责令停业或者关闭：</w:t>
            </w:r>
          </w:p>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（九）未经消除污染处理，将收集、贮存、运输、处置危险废物的场所、设施、设备和容器、包装物及其他物品转作他用的；</w:t>
            </w:r>
          </w:p>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r>
      <w:tr>
        <w:trPr>
          <w:trHeight w:val="329" w:hRule="atLeast"/>
        </w:trPr>
        <w:tc>
          <w:tcPr>
            <w:tcW w:w="13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4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29" w:hRule="atLeast"/>
        </w:trPr>
        <w:tc>
          <w:tcPr>
            <w:tcW w:w="138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rPr>
              <w:t>★违法事实</w:t>
            </w:r>
          </w:p>
        </w:tc>
        <w:tc>
          <w:tcPr>
            <w:tcW w:w="5411"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rPr>
              <w:t>未经消除污染处理将收集、贮存、运输、处置危险废物的场所、设施、设备和容器、包装物及其他物品转作他用(容量30m</w:t>
            </w:r>
            <w:r>
              <w:rPr>
                <w:rFonts w:hint="default" w:ascii="Times New Roman" w:hAnsi="Times New Roman" w:cs="Times New Roman"/>
                <w:color w:val="auto"/>
                <w:kern w:val="2"/>
                <w:sz w:val="21"/>
                <w:szCs w:val="21"/>
                <w:shd w:val="clear" w:color="auto" w:fill="auto"/>
                <w:vertAlign w:val="superscript"/>
              </w:rPr>
              <w:t>3</w:t>
            </w:r>
            <w:r>
              <w:rPr>
                <w:rFonts w:hint="default" w:ascii="Times New Roman" w:hAnsi="Times New Roman" w:cs="Times New Roman"/>
                <w:color w:val="auto"/>
                <w:sz w:val="21"/>
                <w:szCs w:val="21"/>
                <w:shd w:val="clear" w:color="auto" w:fill="auto"/>
                <w:lang w:eastAsia="zh-CN"/>
              </w:rPr>
              <w:t>以下</w:t>
            </w:r>
            <w:r>
              <w:rPr>
                <w:rFonts w:hint="default" w:ascii="Times New Roman" w:hAnsi="Times New Roman" w:cs="Times New Roman"/>
                <w:color w:val="auto"/>
                <w:kern w:val="2"/>
                <w:sz w:val="21"/>
                <w:szCs w:val="21"/>
                <w:shd w:val="clear" w:color="auto" w:fill="auto"/>
              </w:rPr>
              <w:t>的)</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29" w:hRule="atLeast"/>
        </w:trPr>
        <w:tc>
          <w:tcPr>
            <w:tcW w:w="138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1"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rPr>
              <w:t>未经消除污处理将收集、贮存、运输、处置危险废物的场所、设施、设备和容器、包装物及其他物品转作他用(容量30m</w:t>
            </w:r>
            <w:r>
              <w:rPr>
                <w:rFonts w:hint="default" w:ascii="Times New Roman" w:hAnsi="Times New Roman" w:cs="Times New Roman"/>
                <w:color w:val="auto"/>
                <w:kern w:val="2"/>
                <w:sz w:val="21"/>
                <w:szCs w:val="21"/>
                <w:shd w:val="clear" w:color="auto" w:fill="auto"/>
                <w:vertAlign w:val="superscript"/>
              </w:rPr>
              <w:t>3</w:t>
            </w:r>
            <w:r>
              <w:rPr>
                <w:rFonts w:hint="default" w:ascii="Times New Roman" w:hAnsi="Times New Roman" w:cs="Times New Roman"/>
                <w:color w:val="auto"/>
                <w:kern w:val="2"/>
                <w:sz w:val="21"/>
                <w:szCs w:val="21"/>
                <w:shd w:val="clear" w:color="auto" w:fill="auto"/>
              </w:rPr>
              <w:t>以上100m</w:t>
            </w:r>
            <w:r>
              <w:rPr>
                <w:rFonts w:hint="default" w:ascii="Times New Roman" w:hAnsi="Times New Roman" w:cs="Times New Roman"/>
                <w:color w:val="auto"/>
                <w:kern w:val="2"/>
                <w:sz w:val="21"/>
                <w:szCs w:val="21"/>
                <w:shd w:val="clear" w:color="auto" w:fill="auto"/>
                <w:vertAlign w:val="superscript"/>
              </w:rPr>
              <w:t>3</w:t>
            </w:r>
            <w:r>
              <w:rPr>
                <w:rFonts w:hint="default" w:ascii="Times New Roman" w:hAnsi="Times New Roman" w:cs="Times New Roman"/>
                <w:color w:val="auto"/>
                <w:sz w:val="21"/>
                <w:szCs w:val="21"/>
                <w:shd w:val="clear" w:color="auto" w:fill="auto"/>
                <w:lang w:eastAsia="zh-CN"/>
              </w:rPr>
              <w:t>以下</w:t>
            </w:r>
            <w:r>
              <w:rPr>
                <w:rFonts w:hint="default" w:ascii="Times New Roman" w:hAnsi="Times New Roman" w:cs="Times New Roman"/>
                <w:color w:val="auto"/>
                <w:kern w:val="2"/>
                <w:sz w:val="21"/>
                <w:szCs w:val="21"/>
                <w:shd w:val="clear" w:color="auto" w:fill="auto"/>
              </w:rPr>
              <w:t>的)</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29" w:hRule="atLeast"/>
        </w:trPr>
        <w:tc>
          <w:tcPr>
            <w:tcW w:w="138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1"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rPr>
              <w:t>未经消除污染处理将收集、贮存、运输、 处置危险废物的场所、设施、设备和容器、 包装物及其他物品转作他用(容量100m</w:t>
            </w:r>
            <w:r>
              <w:rPr>
                <w:rFonts w:hint="default" w:ascii="Times New Roman" w:hAnsi="Times New Roman" w:cs="Times New Roman"/>
                <w:color w:val="auto"/>
                <w:kern w:val="2"/>
                <w:sz w:val="21"/>
                <w:szCs w:val="21"/>
                <w:shd w:val="clear" w:color="auto" w:fill="auto"/>
                <w:vertAlign w:val="superscript"/>
              </w:rPr>
              <w:t>3</w:t>
            </w:r>
            <w:r>
              <w:rPr>
                <w:rFonts w:hint="default" w:ascii="Times New Roman" w:hAnsi="Times New Roman" w:cs="Times New Roman"/>
                <w:color w:val="auto"/>
                <w:kern w:val="2"/>
                <w:sz w:val="21"/>
                <w:szCs w:val="21"/>
                <w:shd w:val="clear" w:color="auto" w:fill="auto"/>
              </w:rPr>
              <w:t>以上500m</w:t>
            </w:r>
            <w:r>
              <w:rPr>
                <w:rFonts w:hint="default" w:ascii="Times New Roman" w:hAnsi="Times New Roman" w:cs="Times New Roman"/>
                <w:color w:val="auto"/>
                <w:kern w:val="2"/>
                <w:sz w:val="21"/>
                <w:szCs w:val="21"/>
                <w:shd w:val="clear" w:color="auto" w:fill="auto"/>
                <w:vertAlign w:val="superscript"/>
              </w:rPr>
              <w:t>3</w:t>
            </w:r>
            <w:r>
              <w:rPr>
                <w:rFonts w:hint="default" w:ascii="Times New Roman" w:hAnsi="Times New Roman" w:cs="Times New Roman"/>
                <w:color w:val="auto"/>
                <w:sz w:val="21"/>
                <w:szCs w:val="21"/>
                <w:shd w:val="clear" w:color="auto" w:fill="auto"/>
                <w:lang w:eastAsia="zh-CN"/>
              </w:rPr>
              <w:t>以下</w:t>
            </w:r>
            <w:r>
              <w:rPr>
                <w:rFonts w:hint="default" w:ascii="Times New Roman" w:hAnsi="Times New Roman" w:cs="Times New Roman"/>
                <w:color w:val="auto"/>
                <w:kern w:val="2"/>
                <w:sz w:val="21"/>
                <w:szCs w:val="21"/>
                <w:shd w:val="clear" w:color="auto" w:fill="auto"/>
              </w:rPr>
              <w:t>的)</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4</w:t>
            </w:r>
          </w:p>
        </w:tc>
      </w:tr>
      <w:tr>
        <w:trPr>
          <w:trHeight w:val="329" w:hRule="atLeast"/>
        </w:trPr>
        <w:tc>
          <w:tcPr>
            <w:tcW w:w="138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1"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rPr>
              <w:t>未经消除污染处理将收集、贮存、运输、处置危险废物的场所、设施、设备和容器、包装物及其他物品转作他用(容量500m</w:t>
            </w:r>
            <w:r>
              <w:rPr>
                <w:rFonts w:hint="default" w:ascii="Times New Roman" w:hAnsi="Times New Roman" w:cs="Times New Roman"/>
                <w:color w:val="auto"/>
                <w:kern w:val="2"/>
                <w:sz w:val="21"/>
                <w:szCs w:val="21"/>
                <w:shd w:val="clear" w:color="auto" w:fill="auto"/>
                <w:vertAlign w:val="superscript"/>
              </w:rPr>
              <w:t>3</w:t>
            </w:r>
            <w:r>
              <w:rPr>
                <w:rFonts w:hint="default" w:ascii="Times New Roman" w:hAnsi="Times New Roman" w:cs="Times New Roman"/>
                <w:color w:val="auto"/>
                <w:kern w:val="2"/>
                <w:sz w:val="21"/>
                <w:szCs w:val="21"/>
                <w:shd w:val="clear" w:color="auto" w:fill="auto"/>
              </w:rPr>
              <w:t>以上的)</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425" w:hRule="atLeast"/>
        </w:trPr>
        <w:tc>
          <w:tcPr>
            <w:tcW w:w="138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color w:val="auto"/>
                <w:sz w:val="21"/>
                <w:szCs w:val="20"/>
                <w:shd w:val="clear" w:color="auto" w:fill="auto"/>
              </w:rPr>
            </w:pPr>
            <w:r>
              <w:rPr>
                <w:rFonts w:hint="default" w:ascii="Times New Roman" w:hAnsi="Times New Roman" w:cs="Times New Roman"/>
                <w:b/>
                <w:color w:val="auto"/>
                <w:sz w:val="21"/>
                <w:szCs w:val="20"/>
                <w:shd w:val="clear" w:color="auto" w:fill="auto"/>
              </w:rPr>
              <w:t>污染事故</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color w:val="auto"/>
                <w:sz w:val="21"/>
                <w:szCs w:val="20"/>
                <w:shd w:val="clear" w:color="auto" w:fill="auto"/>
              </w:rPr>
              <w:t>等级</w:t>
            </w:r>
          </w:p>
        </w:tc>
        <w:tc>
          <w:tcPr>
            <w:tcW w:w="54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0"/>
                <w:shd w:val="clear" w:color="auto" w:fill="auto"/>
              </w:rPr>
              <w:t>一般突发环境事件(IV)及以下事件</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0"/>
                <w:shd w:val="clear" w:color="auto" w:fill="auto"/>
              </w:rPr>
              <w:t>1</w:t>
            </w:r>
          </w:p>
        </w:tc>
      </w:tr>
      <w:tr>
        <w:trPr>
          <w:trHeight w:val="425" w:hRule="atLeast"/>
        </w:trPr>
        <w:tc>
          <w:tcPr>
            <w:tcW w:w="138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0"/>
                <w:shd w:val="clear" w:color="auto" w:fill="auto"/>
              </w:rPr>
              <w:t>较大突发环境事件(III)</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0"/>
                <w:shd w:val="clear" w:color="auto" w:fill="auto"/>
              </w:rPr>
              <w:t>3</w:t>
            </w:r>
          </w:p>
        </w:tc>
      </w:tr>
      <w:tr>
        <w:trPr>
          <w:trHeight w:val="425" w:hRule="atLeast"/>
        </w:trPr>
        <w:tc>
          <w:tcPr>
            <w:tcW w:w="138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0"/>
                <w:shd w:val="clear" w:color="auto" w:fill="auto"/>
              </w:rPr>
              <w:t>重大突发环境事件(II)</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0"/>
                <w:shd w:val="clear" w:color="auto" w:fill="auto"/>
              </w:rPr>
              <w:t>4</w:t>
            </w:r>
          </w:p>
        </w:tc>
      </w:tr>
      <w:tr>
        <w:trPr>
          <w:trHeight w:val="425" w:hRule="atLeast"/>
        </w:trPr>
        <w:tc>
          <w:tcPr>
            <w:tcW w:w="138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0"/>
                <w:shd w:val="clear" w:color="auto" w:fill="auto"/>
              </w:rPr>
              <w:t>特别重大突发环境事件(I)</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0"/>
                <w:shd w:val="clear" w:color="auto" w:fill="auto"/>
              </w:rPr>
              <w:t>5</w:t>
            </w:r>
          </w:p>
        </w:tc>
      </w:tr>
      <w:tr>
        <w:trPr>
          <w:trHeight w:val="425" w:hRule="atLeast"/>
        </w:trPr>
        <w:tc>
          <w:tcPr>
            <w:tcW w:w="138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4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8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trPr>
        <w:tc>
          <w:tcPr>
            <w:tcW w:w="138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8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trPr>
        <w:tc>
          <w:tcPr>
            <w:tcW w:w="138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4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8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425" w:hRule="atLeast"/>
        </w:trPr>
        <w:tc>
          <w:tcPr>
            <w:tcW w:w="138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89"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4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38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38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38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38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trPr>
        <w:tc>
          <w:tcPr>
            <w:tcW w:w="1389"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4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1次</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38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2次</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38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3次</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38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4次</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38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5次</w:t>
            </w:r>
            <w:r>
              <w:rPr>
                <w:rFonts w:hint="eastAsia" w:ascii="Times New Roman" w:hAnsi="Times New Roman" w:cs="Times New Roman"/>
                <w:color w:val="auto"/>
                <w:kern w:val="2"/>
                <w:sz w:val="21"/>
                <w:szCs w:val="21"/>
                <w:shd w:val="clear" w:color="auto" w:fill="auto"/>
                <w:lang w:val="en-US" w:eastAsia="zh-CN"/>
              </w:rPr>
              <w:t>以上</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trPr>
        <w:tc>
          <w:tcPr>
            <w:tcW w:w="138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4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8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两年内受到同类处罚1次</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8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两年内受到同类处罚2次以上</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8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4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8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38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38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71" w:type="dxa"/>
            <w:gridSpan w:val="2"/>
            <w:vAlign w:val="top"/>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5021"/>
        <w:gridCol w:w="2649"/>
      </w:tblGrid>
      <w:tr>
        <w:trPr>
          <w:trHeight w:val="295"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289"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70"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24</w:t>
            </w:r>
          </w:p>
        </w:tc>
      </w:tr>
      <w:tr>
        <w:trPr>
          <w:trHeight w:val="329"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70"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未采取相应防范措施，造成危险废物扬散、流失、渗漏或者造成其他环境污染的</w:t>
            </w:r>
          </w:p>
        </w:tc>
      </w:tr>
      <w:tr>
        <w:trPr>
          <w:trHeight w:val="849"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70" w:type="dxa"/>
            <w:gridSpan w:val="2"/>
            <w:vAlign w:val="top"/>
          </w:tcPr>
          <w:p>
            <w:pPr>
              <w:pStyle w:val="19"/>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 xml:space="preserve">《中华人民共和国固体废物污染环境防治法》第二十条第一款 </w:t>
            </w:r>
            <w:r>
              <w:rPr>
                <w:rFonts w:hint="default" w:ascii="Times New Roman" w:hAnsi="Times New Roman" w:cs="Times New Roman"/>
                <w:color w:val="auto"/>
                <w:kern w:val="2"/>
                <w:sz w:val="21"/>
                <w:szCs w:val="21"/>
                <w:shd w:val="clear" w:color="auto" w:fill="auto"/>
              </w:rPr>
              <w:t>产生、收集、贮存、运输、利用、处置固体废物的单位和其他生产经营者，应当采取防扬散、防流失、防渗漏或者其他防止污染环境的措施，不得擅自倾倒、堆放、丢弃、遗撒固体废物。</w:t>
            </w:r>
          </w:p>
          <w:p>
            <w:pPr>
              <w:pStyle w:val="19"/>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 xml:space="preserve">《中华人民共和国固体废物污染环境防治法》第七十九条 </w:t>
            </w:r>
            <w:r>
              <w:rPr>
                <w:rFonts w:hint="default" w:ascii="Times New Roman" w:hAnsi="Times New Roman" w:cs="Times New Roman"/>
                <w:color w:val="auto"/>
                <w:kern w:val="2"/>
                <w:sz w:val="21"/>
                <w:szCs w:val="21"/>
                <w:shd w:val="clear" w:color="auto" w:fill="auto"/>
              </w:rPr>
              <w:t>产生危险废物的单位，应当按照国家有关规定和环境保护标准要求贮存、利用、处置危险废物，不得擅自倾倒、堆放。</w:t>
            </w:r>
          </w:p>
        </w:tc>
      </w:tr>
      <w:tr>
        <w:trPr>
          <w:trHeight w:val="2603"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70" w:type="dxa"/>
            <w:gridSpan w:val="2"/>
            <w:vAlign w:val="top"/>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《中华人民共和国固体废物污染环境防治法》第一百一十二条第一款第（十）项、第二款</w:t>
            </w:r>
            <w:r>
              <w:rPr>
                <w:rFonts w:hint="default" w:ascii="Times New Roman" w:hAnsi="Times New Roman" w:cs="Times New Roman"/>
                <w:color w:val="auto"/>
                <w:sz w:val="21"/>
                <w:szCs w:val="21"/>
                <w:shd w:val="clear" w:color="auto" w:fill="auto"/>
              </w:rPr>
              <w:t>　</w:t>
            </w:r>
            <w:r>
              <w:rPr>
                <w:rFonts w:hint="default" w:ascii="Times New Roman" w:hAnsi="Times New Roman" w:cs="Times New Roman"/>
                <w:color w:val="auto"/>
                <w:kern w:val="2"/>
                <w:sz w:val="21"/>
                <w:szCs w:val="21"/>
                <w:shd w:val="clear" w:color="auto" w:fill="auto"/>
              </w:rPr>
              <w:t>违反本法规定，有下列行为之一，由生态环境主管部门责令改正，处以罚款，没收违法所得；情节严重的，报经有批准权的人民政府批准，可以责令停业或者关闭：</w:t>
            </w:r>
          </w:p>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（十）未采取相应防范措施，造成危险废物扬散、流失、渗漏或者其他环境污染的；</w:t>
            </w:r>
          </w:p>
          <w:p>
            <w:pPr>
              <w:pStyle w:val="19"/>
              <w:shd w:val="clear" w:color="auto" w:fill="auto"/>
              <w:snapToGrid w:val="0"/>
              <w:spacing w:before="0" w:beforeAutospacing="0" w:after="0" w:afterAutospacing="0" w:line="320" w:lineRule="exact"/>
              <w:ind w:left="0" w:right="0" w:firstLine="420" w:firstLineChars="20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r>
      <w:tr>
        <w:trPr>
          <w:trHeight w:val="425"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21"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1"/>
                <w:szCs w:val="21"/>
                <w:shd w:val="clear" w:color="auto" w:fill="auto"/>
              </w:rPr>
            </w:pPr>
            <w:r>
              <w:rPr>
                <w:rFonts w:hint="default" w:ascii="Times New Roman" w:hAnsi="Times New Roman" w:cs="Times New Roman"/>
                <w:color w:val="auto"/>
                <w:sz w:val="21"/>
                <w:szCs w:val="21"/>
                <w:shd w:val="clear" w:color="auto" w:fill="auto"/>
              </w:rPr>
              <w:t>未规范采取相应防范措施，造成危险废物扬散、流失、渗漏或者其他环境污染的</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1"/>
                <w:shd w:val="clear" w:color="auto" w:fill="auto"/>
              </w:rPr>
              <w:t>未采取相应防范措施的，造成危险废物扬散、流失、渗漏或者其他环境污染的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涉及危险</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废物数量</w:t>
            </w:r>
          </w:p>
        </w:tc>
        <w:tc>
          <w:tcPr>
            <w:tcW w:w="5021"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0.2吨以下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0.2吨以上0.5吨</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0.5吨以上1吨</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1吨以上2吨</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2吨以上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1"/>
                <w:shd w:val="clear" w:color="auto" w:fill="auto"/>
              </w:rPr>
              <w:t>小型企业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1"/>
                <w:shd w:val="clear" w:color="auto" w:fill="auto"/>
              </w:rPr>
              <w:t>中型企业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1"/>
                <w:shd w:val="clear" w:color="auto" w:fill="auto"/>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90"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390"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eastAsia"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r>
              <w:rPr>
                <w:rFonts w:hint="default" w:ascii="Times New Roman" w:hAnsi="Times New Roman" w:eastAsia="宋体" w:cs="Times New Roman"/>
                <w:color w:val="auto"/>
                <w:kern w:val="2"/>
                <w:sz w:val="21"/>
                <w:szCs w:val="21"/>
                <w:shd w:val="clear" w:color="auto" w:fill="auto"/>
                <w:lang w:val="en-US"/>
              </w:rPr>
              <w:t>次</w:t>
            </w:r>
            <w:r>
              <w:rPr>
                <w:rFonts w:hint="eastAsia" w:ascii="Times New Roman" w:hAnsi="Times New Roman" w:cs="Times New Roman"/>
                <w:color w:val="auto"/>
                <w:kern w:val="2"/>
                <w:sz w:val="21"/>
                <w:szCs w:val="21"/>
                <w:shd w:val="clear" w:color="auto" w:fill="auto"/>
                <w:lang w:val="en-US" w:eastAsia="zh-CN"/>
              </w:rPr>
              <w:t>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p>
        </w:tc>
      </w:tr>
      <w:tr>
        <w:trPr>
          <w:trHeight w:val="397"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670"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p>
    <w:p>
      <w:pPr>
        <w:shd w:val="clear" w:color="auto" w:fill="auto"/>
        <w:spacing w:line="200" w:lineRule="exact"/>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5021"/>
        <w:gridCol w:w="2649"/>
      </w:tblGrid>
      <w:tr>
        <w:trPr>
          <w:trHeight w:val="397"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97"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70"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25</w:t>
            </w:r>
          </w:p>
        </w:tc>
      </w:tr>
      <w:tr>
        <w:trPr>
          <w:trHeight w:val="397"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70"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在运输过程中沿途丢弃、遗撒危险废物的</w:t>
            </w:r>
          </w:p>
        </w:tc>
      </w:tr>
      <w:tr>
        <w:trPr>
          <w:trHeight w:val="860"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70" w:type="dxa"/>
            <w:gridSpan w:val="2"/>
            <w:vAlign w:val="center"/>
          </w:tcPr>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 xml:space="preserve">《中华人民共和国固体废物污染环境防治法》第八十三条第一款 </w:t>
            </w:r>
            <w:r>
              <w:rPr>
                <w:rFonts w:hint="default" w:ascii="Times New Roman" w:hAnsi="Times New Roman" w:cs="Times New Roman"/>
                <w:color w:val="auto"/>
                <w:kern w:val="2"/>
                <w:sz w:val="21"/>
                <w:szCs w:val="21"/>
                <w:shd w:val="clear" w:color="auto" w:fill="auto"/>
              </w:rPr>
              <w:t>运输危险废物，应当采取防止污染环境的措施，并遵守国家有关危险货物运输管理的规定。</w:t>
            </w:r>
          </w:p>
        </w:tc>
      </w:tr>
      <w:tr>
        <w:trPr>
          <w:trHeight w:val="3190"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70" w:type="dxa"/>
            <w:gridSpan w:val="2"/>
            <w:vAlign w:val="center"/>
          </w:tcPr>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《中华人民共和国固体废物污染环境防治法》第一百一十二条第一款第（十一）项、第二款</w:t>
            </w:r>
            <w:r>
              <w:rPr>
                <w:rFonts w:hint="default" w:ascii="Times New Roman" w:hAnsi="Times New Roman" w:cs="Times New Roman"/>
                <w:color w:val="auto"/>
                <w:sz w:val="21"/>
                <w:szCs w:val="21"/>
                <w:shd w:val="clear" w:color="auto" w:fill="auto"/>
              </w:rPr>
              <w:t>　</w:t>
            </w:r>
            <w:r>
              <w:rPr>
                <w:rFonts w:hint="default" w:ascii="Times New Roman" w:hAnsi="Times New Roman" w:cs="Times New Roman"/>
                <w:color w:val="auto"/>
                <w:kern w:val="2"/>
                <w:sz w:val="21"/>
                <w:szCs w:val="21"/>
                <w:shd w:val="clear" w:color="auto" w:fill="auto"/>
              </w:rPr>
              <w:t>违反本法规定，有下列行为之一，由生态环境主管部门责令改正，处以罚款，没收违法所得；情节严重的，报经有批准权的人民政府批准，可以责令停业或者关闭：</w:t>
            </w:r>
          </w:p>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（十一）在运输过程中沿途丢弃、遗撒危险废物的；</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r>
      <w:tr>
        <w:trPr>
          <w:trHeight w:val="369"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丢弃、遗撒1吨</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丢弃、遗撒1吨以上2吨</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1"/>
                <w:szCs w:val="21"/>
                <w:shd w:val="clear" w:color="auto" w:fill="auto"/>
              </w:rPr>
            </w:pPr>
            <w:r>
              <w:rPr>
                <w:rFonts w:hint="default" w:ascii="Times New Roman" w:hAnsi="Times New Roman" w:cs="Times New Roman"/>
                <w:color w:val="auto"/>
                <w:sz w:val="21"/>
                <w:szCs w:val="21"/>
                <w:shd w:val="clear" w:color="auto" w:fill="auto"/>
              </w:rPr>
              <w:t>丢弃、遗撒2吨以上3吨</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1"/>
                <w:szCs w:val="21"/>
                <w:shd w:val="clear" w:color="auto" w:fill="auto"/>
              </w:rPr>
            </w:pPr>
            <w:r>
              <w:rPr>
                <w:rFonts w:hint="default" w:ascii="Times New Roman" w:hAnsi="Times New Roman" w:cs="Times New Roman"/>
                <w:color w:val="auto"/>
                <w:sz w:val="21"/>
                <w:szCs w:val="21"/>
                <w:shd w:val="clear" w:color="auto" w:fill="auto"/>
              </w:rPr>
              <w:t>丢弃、遗撒3吨以上5吨</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1"/>
                <w:szCs w:val="21"/>
                <w:shd w:val="clear" w:color="auto" w:fill="auto"/>
              </w:rPr>
            </w:pPr>
            <w:r>
              <w:rPr>
                <w:rFonts w:hint="default" w:ascii="Times New Roman" w:hAnsi="Times New Roman" w:cs="Times New Roman"/>
                <w:color w:val="auto"/>
                <w:sz w:val="21"/>
                <w:szCs w:val="21"/>
                <w:shd w:val="clear" w:color="auto" w:fill="auto"/>
              </w:rPr>
              <w:t>丢弃、遗撒5吨以上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发生地环境</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敏感程度</w:t>
            </w: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荒地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沟、塘、坑、渠</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湿地、滩地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建设用地、林业用地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农业用地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企业规模</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微型企业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小型企业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中型企业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90"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trPr>
        <w:tc>
          <w:tcPr>
            <w:tcW w:w="1390"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eastAsia"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r>
              <w:rPr>
                <w:rFonts w:hint="default" w:ascii="Times New Roman" w:hAnsi="Times New Roman" w:eastAsia="宋体" w:cs="Times New Roman"/>
                <w:color w:val="auto"/>
                <w:kern w:val="2"/>
                <w:sz w:val="21"/>
                <w:szCs w:val="21"/>
                <w:shd w:val="clear" w:color="auto" w:fill="auto"/>
                <w:lang w:val="en-US"/>
              </w:rPr>
              <w:t>次</w:t>
            </w:r>
            <w:r>
              <w:rPr>
                <w:rFonts w:hint="eastAsia" w:ascii="Times New Roman" w:hAnsi="Times New Roman" w:cs="Times New Roman"/>
                <w:color w:val="auto"/>
                <w:kern w:val="2"/>
                <w:sz w:val="21"/>
                <w:szCs w:val="21"/>
                <w:shd w:val="clear" w:color="auto" w:fill="auto"/>
                <w:lang w:val="en-US" w:eastAsia="zh-CN"/>
              </w:rPr>
              <w:t>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p>
        </w:tc>
      </w:tr>
      <w:tr>
        <w:trPr>
          <w:trHeight w:val="425"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受处罚次数</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425"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70"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4863"/>
        <w:gridCol w:w="2649"/>
      </w:tblGrid>
      <w:tr>
        <w:trPr>
          <w:trHeight w:val="397"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97"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51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13" w:name="_Toc26510"/>
            <w:r>
              <w:rPr>
                <w:rFonts w:hint="default" w:ascii="Times New Roman" w:hAnsi="Times New Roman" w:cs="Times New Roman"/>
                <w:color w:val="auto"/>
                <w:sz w:val="20"/>
                <w:szCs w:val="20"/>
                <w:shd w:val="clear" w:color="auto" w:fill="auto"/>
              </w:rPr>
              <w:t>26</w:t>
            </w:r>
            <w:bookmarkEnd w:id="213"/>
          </w:p>
        </w:tc>
      </w:tr>
      <w:tr>
        <w:trPr>
          <w:trHeight w:val="397"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51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14" w:name="_Toc8499"/>
            <w:r>
              <w:rPr>
                <w:rFonts w:hint="default" w:ascii="Times New Roman" w:hAnsi="Times New Roman" w:cs="Times New Roman"/>
                <w:color w:val="auto"/>
                <w:sz w:val="20"/>
                <w:szCs w:val="20"/>
                <w:shd w:val="clear" w:color="auto" w:fill="auto"/>
              </w:rPr>
              <w:t>未制定危险废物意外事故防范措施和应急预案的</w:t>
            </w:r>
            <w:bookmarkEnd w:id="214"/>
          </w:p>
        </w:tc>
      </w:tr>
      <w:tr>
        <w:trPr>
          <w:trHeight w:val="1960"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512" w:type="dxa"/>
            <w:gridSpan w:val="2"/>
            <w:vAlign w:val="center"/>
          </w:tcPr>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《中华人民共和国固体废物污染环境防治法》第八十五条</w:t>
            </w:r>
            <w:r>
              <w:rPr>
                <w:rFonts w:hint="default" w:ascii="Times New Roman" w:hAnsi="Times New Roman" w:cs="Times New Roman"/>
                <w:color w:val="auto"/>
                <w:sz w:val="21"/>
                <w:szCs w:val="21"/>
                <w:shd w:val="clear" w:color="auto" w:fill="auto"/>
              </w:rPr>
              <w:t xml:space="preserve"> </w:t>
            </w:r>
            <w:r>
              <w:rPr>
                <w:rFonts w:hint="default" w:ascii="Times New Roman" w:hAnsi="Times New Roman" w:cs="Times New Roman"/>
                <w:color w:val="auto"/>
                <w:kern w:val="2"/>
                <w:sz w:val="21"/>
                <w:szCs w:val="21"/>
                <w:shd w:val="clear" w:color="auto" w:fill="auto"/>
              </w:rPr>
              <w:t>　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w:t>
            </w:r>
          </w:p>
        </w:tc>
      </w:tr>
      <w:tr>
        <w:trPr>
          <w:trHeight w:val="3190"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512" w:type="dxa"/>
            <w:gridSpan w:val="2"/>
            <w:vAlign w:val="center"/>
          </w:tcPr>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《中华人民共和国固体废物污染环境防治法》第一百一十二条第一款第（十二）项、第二款</w:t>
            </w:r>
            <w:r>
              <w:rPr>
                <w:rFonts w:hint="default" w:ascii="Times New Roman" w:hAnsi="Times New Roman" w:cs="Times New Roman"/>
                <w:color w:val="auto"/>
                <w:sz w:val="21"/>
                <w:szCs w:val="21"/>
                <w:shd w:val="clear" w:color="auto" w:fill="auto"/>
              </w:rPr>
              <w:t>　</w:t>
            </w:r>
            <w:r>
              <w:rPr>
                <w:rFonts w:hint="default" w:ascii="Times New Roman" w:hAnsi="Times New Roman" w:cs="Times New Roman"/>
                <w:color w:val="auto"/>
                <w:kern w:val="2"/>
                <w:sz w:val="21"/>
                <w:szCs w:val="21"/>
                <w:shd w:val="clear" w:color="auto" w:fill="auto"/>
              </w:rPr>
              <w:t>违反本法规定，有下列行为之一，由生态环境主管部门责令改正，处以罚款，没收违法所得；情节严重的，报经有批准权的人民政府批准，可以责令停业或者关闭：</w:t>
            </w:r>
          </w:p>
          <w:p>
            <w:pPr>
              <w:numPr>
                <w:ilvl w:val="0"/>
                <w:numId w:val="12"/>
              </w:num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未制定危险废物意外事故防范措施和应急预案的；</w:t>
            </w:r>
          </w:p>
          <w:p>
            <w:pPr>
              <w:shd w:val="clear" w:color="auto" w:fill="auto"/>
              <w:snapToGrid w:val="0"/>
              <w:spacing w:before="0" w:beforeAutospacing="0" w:after="0" w:afterAutospacing="0" w:line="320" w:lineRule="exact"/>
              <w:ind w:left="0" w:right="0" w:firstLine="420"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r>
      <w:tr>
        <w:trPr>
          <w:trHeight w:val="450"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48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54"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486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未制定危险废物意外事故防范措施和应急预案，</w:t>
            </w:r>
          </w:p>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但未发生突发环境事件</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未制定危险废物意外事故防范措施和应急预案，</w:t>
            </w:r>
          </w:p>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且发生一般突发环境事件(IV)及以下事件</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未制定危险废物意外事故防范措施和应急预案，</w:t>
            </w:r>
          </w:p>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且发生较大突发环境事件(III)</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未制定危险废物意外事故防范措施和应急预案，</w:t>
            </w:r>
          </w:p>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且发生重大突发环境事件(II)</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未制定危险废物意外事故防范措施和应急预案，</w:t>
            </w:r>
          </w:p>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且发生特别重大突发环境事件(I)</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48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小型企业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中型企业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48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54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486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54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54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54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54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trPr>
        <w:tc>
          <w:tcPr>
            <w:tcW w:w="154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486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lang/>
              </w:rPr>
            </w:pPr>
            <w:r>
              <w:rPr>
                <w:rFonts w:hint="eastAsia" w:ascii="Times New Roman" w:hAnsi="Times New Roman" w:cs="Times New Roman"/>
                <w:color w:val="auto"/>
                <w:kern w:val="2"/>
                <w:sz w:val="21"/>
                <w:szCs w:val="21"/>
                <w:shd w:val="clear" w:color="auto" w:fill="auto"/>
                <w:lang w:eastAsia="zh-CN"/>
              </w:rPr>
              <w:t>限期改正</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425" w:hRule="atLeast"/>
        </w:trPr>
        <w:tc>
          <w:tcPr>
            <w:tcW w:w="154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48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54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3天以上7天以下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425" w:hRule="atLeast"/>
        </w:trPr>
        <w:tc>
          <w:tcPr>
            <w:tcW w:w="154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7天以上</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425"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48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48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51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p>
    <w:p>
      <w:pPr>
        <w:shd w:val="clear" w:color="auto" w:fill="auto"/>
        <w:spacing w:line="200" w:lineRule="exact"/>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392"/>
        <w:gridCol w:w="2120"/>
      </w:tblGrid>
      <w:tr>
        <w:trPr>
          <w:trHeight w:val="397"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97"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51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15" w:name="_Toc9095"/>
            <w:r>
              <w:rPr>
                <w:rFonts w:hint="default" w:ascii="Times New Roman" w:hAnsi="Times New Roman" w:cs="Times New Roman"/>
                <w:color w:val="auto"/>
                <w:sz w:val="20"/>
                <w:szCs w:val="20"/>
                <w:shd w:val="clear" w:color="auto" w:fill="auto"/>
              </w:rPr>
              <w:t>27</w:t>
            </w:r>
            <w:bookmarkEnd w:id="215"/>
          </w:p>
        </w:tc>
      </w:tr>
      <w:tr>
        <w:trPr>
          <w:trHeight w:val="397"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512" w:type="dxa"/>
            <w:gridSpan w:val="2"/>
            <w:vAlign w:val="center"/>
          </w:tcPr>
          <w:p>
            <w:pPr>
              <w:pStyle w:val="18"/>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kern w:val="2"/>
                <w:sz w:val="21"/>
                <w:szCs w:val="21"/>
                <w:shd w:val="clear" w:color="auto" w:fill="auto"/>
              </w:rPr>
            </w:pPr>
            <w:bookmarkStart w:id="216" w:name="_Toc31279"/>
            <w:r>
              <w:rPr>
                <w:rFonts w:hint="default" w:ascii="Times New Roman" w:hAnsi="Times New Roman" w:cs="Times New Roman"/>
                <w:color w:val="auto"/>
                <w:kern w:val="2"/>
                <w:sz w:val="21"/>
                <w:szCs w:val="21"/>
                <w:shd w:val="clear" w:color="auto" w:fill="auto"/>
              </w:rPr>
              <w:t>未按照国家有关规定建立危险废物管理台账并如实记录的</w:t>
            </w:r>
            <w:bookmarkEnd w:id="216"/>
          </w:p>
        </w:tc>
      </w:tr>
      <w:tr>
        <w:trPr>
          <w:trHeight w:val="1600"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512" w:type="dxa"/>
            <w:gridSpan w:val="2"/>
            <w:vAlign w:val="center"/>
          </w:tcPr>
          <w:p>
            <w:pPr>
              <w:pStyle w:val="18"/>
              <w:shd w:val="clear" w:color="auto" w:fill="auto"/>
              <w:snapToGrid w:val="0"/>
              <w:spacing w:before="0" w:beforeAutospacing="0" w:after="0" w:afterAutospacing="0" w:line="320" w:lineRule="exact"/>
              <w:ind w:left="0" w:right="0" w:firstLine="357"/>
              <w:jc w:val="both"/>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 xml:space="preserve">《中华人民共和国固体废物污染环境防治法》第七十八条第一款 </w:t>
            </w:r>
            <w:r>
              <w:rPr>
                <w:rFonts w:hint="default" w:ascii="Times New Roman" w:hAnsi="Times New Roman" w:cs="Times New Roman"/>
                <w:color w:val="auto"/>
                <w:kern w:val="2"/>
                <w:sz w:val="21"/>
                <w:szCs w:val="21"/>
                <w:shd w:val="clear" w:color="auto" w:fill="auto"/>
              </w:rPr>
              <w:t xml:space="preserve"> 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p>
        </w:tc>
      </w:tr>
      <w:tr>
        <w:trPr>
          <w:trHeight w:val="3310"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512" w:type="dxa"/>
            <w:gridSpan w:val="2"/>
            <w:vAlign w:val="center"/>
          </w:tcPr>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《中华人民共和国固体废物污染环境防治法》第一百一十二条第一款第（十三）项、第二款</w:t>
            </w:r>
            <w:r>
              <w:rPr>
                <w:rFonts w:hint="default" w:ascii="Times New Roman" w:hAnsi="Times New Roman" w:cs="Times New Roman"/>
                <w:color w:val="auto"/>
                <w:sz w:val="21"/>
                <w:szCs w:val="21"/>
                <w:shd w:val="clear" w:color="auto" w:fill="auto"/>
              </w:rPr>
              <w:t>　</w:t>
            </w:r>
            <w:r>
              <w:rPr>
                <w:rFonts w:hint="default" w:ascii="Times New Roman" w:hAnsi="Times New Roman" w:cs="Times New Roman"/>
                <w:color w:val="auto"/>
                <w:kern w:val="2"/>
                <w:sz w:val="21"/>
                <w:szCs w:val="21"/>
                <w:shd w:val="clear" w:color="auto" w:fill="auto"/>
              </w:rPr>
              <w:t>违反本法规定，有下列行为之一，由生态环境主管部门责令改正，处以罚款，没收违法所得；情节严重的，报经有批准权的人民政府批准，可以责令停业或者关闭：</w:t>
            </w:r>
          </w:p>
          <w:p>
            <w:pPr>
              <w:shd w:val="clear" w:color="auto" w:fill="auto"/>
              <w:snapToGrid w:val="0"/>
              <w:spacing w:before="0" w:beforeAutospacing="0" w:after="0" w:afterAutospacing="0" w:line="320" w:lineRule="exact"/>
              <w:ind w:left="0" w:right="0" w:firstLine="420"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（十三）未按照国家有关规定建立危险废物管理台账并如实记录的</w:t>
            </w:r>
          </w:p>
          <w:p>
            <w:pPr>
              <w:pStyle w:val="18"/>
              <w:shd w:val="clear" w:color="auto" w:fill="auto"/>
              <w:snapToGrid w:val="0"/>
              <w:spacing w:before="0" w:beforeAutospacing="0" w:after="0" w:afterAutospacing="0" w:line="320" w:lineRule="exact"/>
              <w:ind w:left="0" w:right="0" w:firstLine="360"/>
              <w:jc w:val="both"/>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r>
      <w:tr>
        <w:trPr>
          <w:trHeight w:val="386"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3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3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未规范建立危险废物管理台账</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未建立危险废物管理台账</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危险废物管理台账未如实记录</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3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小型企业</w:t>
            </w:r>
          </w:p>
        </w:tc>
        <w:tc>
          <w:tcPr>
            <w:tcW w:w="21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中型企业</w:t>
            </w:r>
          </w:p>
        </w:tc>
        <w:tc>
          <w:tcPr>
            <w:tcW w:w="21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大型企业</w:t>
            </w:r>
          </w:p>
        </w:tc>
        <w:tc>
          <w:tcPr>
            <w:tcW w:w="21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lang w:val="en-US" w:eastAsia="zh-CN"/>
              </w:rPr>
              <w:t>4</w:t>
            </w:r>
          </w:p>
        </w:tc>
      </w:tr>
      <w:tr>
        <w:trPr>
          <w:trHeight w:val="425"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3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54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3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1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54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1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54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1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54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1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54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1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trPr>
        <w:tc>
          <w:tcPr>
            <w:tcW w:w="154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3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1次</w:t>
            </w:r>
          </w:p>
        </w:tc>
        <w:tc>
          <w:tcPr>
            <w:tcW w:w="21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54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2次</w:t>
            </w:r>
          </w:p>
        </w:tc>
        <w:tc>
          <w:tcPr>
            <w:tcW w:w="21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54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3次</w:t>
            </w:r>
          </w:p>
        </w:tc>
        <w:tc>
          <w:tcPr>
            <w:tcW w:w="21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54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4次</w:t>
            </w:r>
          </w:p>
        </w:tc>
        <w:tc>
          <w:tcPr>
            <w:tcW w:w="21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54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widowControl w:val="0"/>
              <w:shd w:val="clear" w:color="auto" w:fill="auto"/>
              <w:snapToGrid w:val="0"/>
              <w:spacing w:before="0" w:beforeAutospacing="0" w:after="0" w:afterAutospacing="0" w:line="320" w:lineRule="exact"/>
              <w:ind w:left="0" w:leftChars="0" w:right="0"/>
              <w:jc w:val="center"/>
              <w:rPr>
                <w:rFonts w:hint="eastAsia"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eastAsia="zh-CN"/>
              </w:rPr>
              <w:t>5</w:t>
            </w:r>
            <w:r>
              <w:rPr>
                <w:rFonts w:hint="default" w:ascii="Times New Roman" w:hAnsi="Times New Roman" w:eastAsia="宋体" w:cs="Times New Roman"/>
                <w:color w:val="auto"/>
                <w:kern w:val="2"/>
                <w:sz w:val="21"/>
                <w:szCs w:val="21"/>
                <w:shd w:val="clear" w:color="auto" w:fill="auto"/>
                <w:lang w:val="en-US"/>
              </w:rPr>
              <w:t>次</w:t>
            </w:r>
            <w:r>
              <w:rPr>
                <w:rFonts w:hint="eastAsia" w:ascii="Times New Roman" w:hAnsi="Times New Roman" w:cs="Times New Roman"/>
                <w:color w:val="auto"/>
                <w:kern w:val="2"/>
                <w:sz w:val="21"/>
                <w:szCs w:val="21"/>
                <w:shd w:val="clear" w:color="auto" w:fill="auto"/>
                <w:lang w:val="en-US" w:eastAsia="zh-CN"/>
              </w:rPr>
              <w:t>以上</w:t>
            </w:r>
          </w:p>
        </w:tc>
        <w:tc>
          <w:tcPr>
            <w:tcW w:w="212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p>
        </w:tc>
      </w:tr>
      <w:tr>
        <w:trPr>
          <w:trHeight w:val="425"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3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lang w:eastAsia="zh-CN"/>
              </w:rPr>
            </w:pPr>
            <w:r>
              <w:rPr>
                <w:rFonts w:hint="default" w:ascii="Times New Roman" w:hAnsi="Times New Roman" w:cs="Times New Roman"/>
                <w:color w:val="auto"/>
                <w:sz w:val="21"/>
                <w:szCs w:val="21"/>
                <w:shd w:val="clear" w:color="auto" w:fill="auto"/>
              </w:rPr>
              <w:t>两年内受到同类处罚1次</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lang w:eastAsia="zh-CN"/>
              </w:rPr>
            </w:pPr>
            <w:r>
              <w:rPr>
                <w:rFonts w:hint="default" w:ascii="Times New Roman" w:hAnsi="Times New Roman" w:cs="Times New Roman"/>
                <w:color w:val="auto"/>
                <w:sz w:val="21"/>
                <w:szCs w:val="21"/>
                <w:shd w:val="clear" w:color="auto" w:fill="auto"/>
              </w:rPr>
              <w:t>两年内受到同类处罚2次以上</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39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1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1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1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1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51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5021"/>
        <w:gridCol w:w="2649"/>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97"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70"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17" w:name="_Toc23292"/>
            <w:r>
              <w:rPr>
                <w:rFonts w:hint="default" w:ascii="Times New Roman" w:hAnsi="Times New Roman" w:cs="Times New Roman"/>
                <w:color w:val="auto"/>
                <w:sz w:val="20"/>
                <w:szCs w:val="20"/>
                <w:shd w:val="clear" w:color="auto" w:fill="auto"/>
              </w:rPr>
              <w:t>28</w:t>
            </w:r>
            <w:bookmarkEnd w:id="217"/>
          </w:p>
        </w:tc>
      </w:tr>
      <w:tr>
        <w:trPr>
          <w:trHeight w:val="397"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70" w:type="dxa"/>
            <w:gridSpan w:val="2"/>
            <w:vAlign w:val="center"/>
          </w:tcPr>
          <w:p>
            <w:pPr>
              <w:shd w:val="clear" w:color="auto" w:fill="auto"/>
              <w:snapToGrid w:val="0"/>
              <w:spacing w:before="0" w:beforeAutospacing="0" w:after="0" w:afterAutospacing="0" w:line="320" w:lineRule="exact"/>
              <w:ind w:left="0" w:right="0" w:firstLine="420" w:firstLineChars="200"/>
              <w:jc w:val="left"/>
              <w:outlineLvl w:val="9"/>
              <w:rPr>
                <w:rFonts w:hint="default" w:ascii="Times New Roman" w:hAnsi="Times New Roman" w:cs="Times New Roman"/>
                <w:color w:val="auto"/>
                <w:sz w:val="20"/>
                <w:szCs w:val="20"/>
                <w:shd w:val="clear" w:color="auto" w:fill="auto"/>
              </w:rPr>
            </w:pPr>
            <w:bookmarkStart w:id="218" w:name="_Toc20791"/>
            <w:r>
              <w:rPr>
                <w:rFonts w:hint="default" w:ascii="Times New Roman" w:hAnsi="Times New Roman" w:cs="Times New Roman"/>
                <w:color w:val="auto"/>
                <w:sz w:val="20"/>
                <w:szCs w:val="20"/>
                <w:shd w:val="clear" w:color="auto" w:fill="auto"/>
              </w:rPr>
              <w:t>危险废物产生者不处置其产生的危险废物被责令改正后拒不改正的；拒不承担代为处置费用的</w:t>
            </w:r>
            <w:bookmarkEnd w:id="218"/>
          </w:p>
        </w:tc>
      </w:tr>
      <w:tr>
        <w:trPr>
          <w:trHeight w:val="397"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70" w:type="dxa"/>
            <w:gridSpan w:val="2"/>
            <w:vAlign w:val="center"/>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《中华人民共和国固体废物污染环境防治法》第七十九条</w:t>
            </w:r>
            <w:r>
              <w:rPr>
                <w:rFonts w:hint="default" w:ascii="Times New Roman" w:hAnsi="Times New Roman" w:cs="Times New Roman"/>
                <w:color w:val="auto"/>
                <w:kern w:val="2"/>
                <w:sz w:val="21"/>
                <w:szCs w:val="21"/>
                <w:shd w:val="clear" w:color="auto" w:fill="auto"/>
              </w:rPr>
              <w:t xml:space="preserve"> 产生危险废物的单位，应当按照国家有关规定和环境保护标准要求贮存、利用、处置危险废物，不得擅自倾倒、堆放。</w:t>
            </w:r>
          </w:p>
        </w:tc>
      </w:tr>
      <w:tr>
        <w:trPr>
          <w:trHeight w:val="397"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70"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《中华人民共和国固体废物污染环境防治法》第一百一十三条　</w:t>
            </w:r>
            <w:r>
              <w:rPr>
                <w:rFonts w:hint="default" w:ascii="Times New Roman" w:hAnsi="Times New Roman" w:cs="Times New Roman"/>
                <w:color w:val="auto"/>
                <w:sz w:val="20"/>
                <w:szCs w:val="20"/>
                <w:shd w:val="clear" w:color="auto" w:fill="auto"/>
              </w:rPr>
              <w:t>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tc>
      </w:tr>
      <w:tr>
        <w:trPr>
          <w:trHeight w:val="425"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★代为处置</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费用</w:t>
            </w:r>
          </w:p>
        </w:tc>
        <w:tc>
          <w:tcPr>
            <w:tcW w:w="5021"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代处置费用50万元</w:t>
            </w:r>
            <w:r>
              <w:rPr>
                <w:rFonts w:hint="default" w:ascii="Times New Roman" w:hAnsi="Times New Roman" w:cs="Times New Roman"/>
                <w:color w:val="auto"/>
                <w:sz w:val="21"/>
                <w:szCs w:val="21"/>
                <w:shd w:val="clear" w:color="auto" w:fill="auto"/>
                <w:lang w:val="en-US"/>
              </w:rPr>
              <w:t>以下</w:t>
            </w:r>
            <w:r>
              <w:rPr>
                <w:rFonts w:hint="default" w:ascii="Times New Roman" w:hAnsi="Times New Roman" w:cs="Times New Roman"/>
                <w:color w:val="auto"/>
                <w:sz w:val="21"/>
                <w:szCs w:val="21"/>
                <w:shd w:val="clear" w:color="auto" w:fill="auto"/>
              </w:rPr>
              <w:t>的</w:t>
            </w:r>
          </w:p>
        </w:tc>
        <w:tc>
          <w:tcPr>
            <w:tcW w:w="2649" w:type="dxa"/>
            <w:vAlign w:val="center"/>
          </w:tcPr>
          <w:p>
            <w:pPr>
              <w:pStyle w:val="19"/>
              <w:shd w:val="clear" w:color="auto" w:fill="auto"/>
              <w:snapToGrid w:val="0"/>
              <w:spacing w:before="0" w:beforeAutospacing="0" w:after="0" w:afterAutospacing="0" w:line="320" w:lineRule="exact"/>
              <w:ind w:left="6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9"/>
              <w:shd w:val="clear" w:color="auto" w:fill="auto"/>
              <w:snapToGrid w:val="0"/>
              <w:spacing w:before="0" w:beforeAutospacing="0" w:after="0" w:afterAutospacing="0" w:line="320" w:lineRule="exact"/>
              <w:ind w:left="0" w:right="0" w:firstLine="48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1"/>
                <w:shd w:val="clear" w:color="auto" w:fill="auto"/>
              </w:rPr>
              <w:t>代处置费用50万元以上100万元以下的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9"/>
              <w:shd w:val="clear" w:color="auto" w:fill="auto"/>
              <w:snapToGrid w:val="0"/>
              <w:spacing w:before="0" w:beforeAutospacing="0" w:after="0" w:afterAutospacing="0" w:line="320" w:lineRule="exact"/>
              <w:ind w:left="0" w:right="0" w:firstLine="48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代处置费用为100万元以上300</w:t>
            </w:r>
            <w:r>
              <w:rPr>
                <w:rFonts w:hint="default" w:ascii="Times New Roman" w:hAnsi="Times New Roman" w:cs="Times New Roman"/>
                <w:color w:val="auto"/>
                <w:sz w:val="21"/>
                <w:szCs w:val="21"/>
                <w:shd w:val="clear" w:color="auto" w:fill="auto"/>
                <w:lang w:val="en-US"/>
              </w:rPr>
              <w:t>万元以下</w:t>
            </w:r>
            <w:r>
              <w:rPr>
                <w:rFonts w:hint="default" w:ascii="Times New Roman" w:hAnsi="Times New Roman" w:cs="Times New Roman"/>
                <w:color w:val="auto"/>
                <w:sz w:val="21"/>
                <w:szCs w:val="21"/>
                <w:shd w:val="clear" w:color="auto" w:fill="auto"/>
              </w:rPr>
              <w:t>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9"/>
              <w:shd w:val="clear" w:color="auto" w:fill="auto"/>
              <w:snapToGrid w:val="0"/>
              <w:spacing w:before="0" w:beforeAutospacing="0" w:after="0" w:afterAutospacing="0" w:line="320" w:lineRule="exact"/>
              <w:ind w:left="0" w:right="0" w:firstLine="48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代处置费用为300万元以上500</w:t>
            </w:r>
            <w:r>
              <w:rPr>
                <w:rFonts w:hint="default" w:ascii="Times New Roman" w:hAnsi="Times New Roman" w:cs="Times New Roman"/>
                <w:color w:val="auto"/>
                <w:sz w:val="21"/>
                <w:szCs w:val="21"/>
                <w:shd w:val="clear" w:color="auto" w:fill="auto"/>
                <w:lang w:val="en-US"/>
              </w:rPr>
              <w:t>万元以下</w:t>
            </w:r>
            <w:r>
              <w:rPr>
                <w:rFonts w:hint="default" w:ascii="Times New Roman" w:hAnsi="Times New Roman" w:cs="Times New Roman"/>
                <w:color w:val="auto"/>
                <w:sz w:val="21"/>
                <w:szCs w:val="21"/>
                <w:shd w:val="clear" w:color="auto" w:fill="auto"/>
              </w:rPr>
              <w:t>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9"/>
              <w:shd w:val="clear" w:color="auto" w:fill="auto"/>
              <w:snapToGrid w:val="0"/>
              <w:spacing w:before="0" w:beforeAutospacing="0" w:after="0" w:afterAutospacing="0" w:line="320" w:lineRule="exact"/>
              <w:ind w:left="0" w:right="0" w:firstLine="48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1"/>
                <w:shd w:val="clear" w:color="auto" w:fill="auto"/>
              </w:rPr>
              <w:t>代处置费用为500万元以上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★危险废物</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数量</w:t>
            </w:r>
          </w:p>
        </w:tc>
        <w:tc>
          <w:tcPr>
            <w:tcW w:w="5021" w:type="dxa"/>
            <w:vAlign w:val="center"/>
          </w:tcPr>
          <w:p>
            <w:pPr>
              <w:pStyle w:val="19"/>
              <w:shd w:val="clear" w:color="auto" w:fill="auto"/>
              <w:snapToGrid w:val="0"/>
              <w:spacing w:before="0" w:beforeAutospacing="0" w:after="0" w:afterAutospacing="0" w:line="320" w:lineRule="exact"/>
              <w:ind w:left="0" w:right="0" w:firstLine="48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10吨以下的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9"/>
              <w:shd w:val="clear" w:color="auto" w:fill="auto"/>
              <w:snapToGrid w:val="0"/>
              <w:spacing w:before="0" w:beforeAutospacing="0" w:after="0" w:afterAutospacing="0" w:line="320" w:lineRule="exact"/>
              <w:ind w:left="0" w:right="0" w:firstLine="48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10吨以上20吨</w:t>
            </w:r>
            <w:r>
              <w:rPr>
                <w:rFonts w:hint="default" w:ascii="Times New Roman" w:hAnsi="Times New Roman" w:cs="Times New Roman"/>
                <w:color w:val="auto"/>
                <w:kern w:val="2"/>
                <w:sz w:val="21"/>
                <w:szCs w:val="21"/>
                <w:shd w:val="clear" w:color="auto" w:fill="auto"/>
                <w:lang w:val="en-US"/>
              </w:rPr>
              <w:t>以下</w:t>
            </w:r>
            <w:r>
              <w:rPr>
                <w:rFonts w:hint="default" w:ascii="Times New Roman" w:hAnsi="Times New Roman" w:cs="Times New Roman"/>
                <w:color w:val="auto"/>
                <w:kern w:val="2"/>
                <w:sz w:val="21"/>
                <w:szCs w:val="21"/>
                <w:shd w:val="clear" w:color="auto" w:fill="auto"/>
              </w:rPr>
              <w:t>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9"/>
              <w:shd w:val="clear" w:color="auto" w:fill="auto"/>
              <w:snapToGrid w:val="0"/>
              <w:spacing w:before="0" w:beforeAutospacing="0" w:after="0" w:afterAutospacing="0" w:line="320" w:lineRule="exact"/>
              <w:ind w:left="0" w:right="0" w:firstLine="48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20吨以上30吨</w:t>
            </w:r>
            <w:r>
              <w:rPr>
                <w:rFonts w:hint="default" w:ascii="Times New Roman" w:hAnsi="Times New Roman" w:cs="Times New Roman"/>
                <w:color w:val="auto"/>
                <w:kern w:val="2"/>
                <w:sz w:val="21"/>
                <w:szCs w:val="21"/>
                <w:shd w:val="clear" w:color="auto" w:fill="auto"/>
                <w:lang w:val="en-US"/>
              </w:rPr>
              <w:t>以下</w:t>
            </w:r>
            <w:r>
              <w:rPr>
                <w:rFonts w:hint="default" w:ascii="Times New Roman" w:hAnsi="Times New Roman" w:cs="Times New Roman"/>
                <w:color w:val="auto"/>
                <w:kern w:val="2"/>
                <w:sz w:val="21"/>
                <w:szCs w:val="21"/>
                <w:shd w:val="clear" w:color="auto" w:fill="auto"/>
              </w:rPr>
              <w:t>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9"/>
              <w:shd w:val="clear" w:color="auto" w:fill="auto"/>
              <w:snapToGrid w:val="0"/>
              <w:spacing w:before="0" w:beforeAutospacing="0" w:after="0" w:afterAutospacing="0" w:line="320" w:lineRule="exact"/>
              <w:ind w:left="0" w:right="0" w:firstLine="48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30吨以上50吨</w:t>
            </w:r>
            <w:r>
              <w:rPr>
                <w:rFonts w:hint="default" w:ascii="Times New Roman" w:hAnsi="Times New Roman" w:cs="Times New Roman"/>
                <w:color w:val="auto"/>
                <w:kern w:val="2"/>
                <w:sz w:val="21"/>
                <w:szCs w:val="21"/>
                <w:shd w:val="clear" w:color="auto" w:fill="auto"/>
                <w:lang w:val="en-US"/>
              </w:rPr>
              <w:t>以下</w:t>
            </w:r>
            <w:r>
              <w:rPr>
                <w:rFonts w:hint="default" w:ascii="Times New Roman" w:hAnsi="Times New Roman" w:cs="Times New Roman"/>
                <w:color w:val="auto"/>
                <w:kern w:val="2"/>
                <w:sz w:val="21"/>
                <w:szCs w:val="21"/>
                <w:shd w:val="clear" w:color="auto" w:fill="auto"/>
              </w:rPr>
              <w:t>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9"/>
              <w:shd w:val="clear" w:color="auto" w:fill="auto"/>
              <w:snapToGrid w:val="0"/>
              <w:spacing w:before="0" w:beforeAutospacing="0" w:after="0" w:afterAutospacing="0" w:line="320" w:lineRule="exact"/>
              <w:ind w:left="0" w:right="0" w:firstLine="48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50吨以上的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rPr>
              <w:t>违法</w:t>
            </w:r>
            <w:r>
              <w:rPr>
                <w:rFonts w:hint="default" w:ascii="Times New Roman" w:hAnsi="Times New Roman" w:cs="Times New Roman"/>
                <w:b/>
                <w:bCs/>
                <w:color w:val="auto"/>
                <w:sz w:val="20"/>
                <w:szCs w:val="20"/>
                <w:shd w:val="clear" w:color="auto" w:fill="auto"/>
                <w:lang w:val="en-US"/>
              </w:rPr>
              <w:t>行为</w:t>
            </w: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未规范处置危险废物且不承担相应处置费用的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未处置危险废物且不承担相应处置费用的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w:t>
            </w:r>
            <w:r>
              <w:rPr>
                <w:rFonts w:hint="default" w:ascii="Times New Roman" w:hAnsi="Times New Roman" w:cs="Times New Roman"/>
                <w:b/>
                <w:bCs/>
                <w:color w:val="auto"/>
                <w:sz w:val="20"/>
                <w:szCs w:val="20"/>
                <w:shd w:val="clear" w:color="auto" w:fill="auto"/>
                <w:lang w:val="en-US"/>
              </w:rPr>
              <w:t>规模</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受处罚次数</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tabs>
                <w:tab w:val="left" w:pos="1035"/>
                <w:tab w:val="clear" w:pos="916"/>
                <w:tab w:val="clear" w:pos="1832"/>
              </w:tabs>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tabs>
                <w:tab w:val="left" w:pos="1035"/>
                <w:tab w:val="clear" w:pos="916"/>
                <w:tab w:val="clear" w:pos="1832"/>
              </w:tabs>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70"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p>
      <w:pPr>
        <w:shd w:val="clear" w:color="auto" w:fill="auto"/>
        <w:snapToGrid w:val="0"/>
        <w:spacing w:line="20" w:lineRule="exact"/>
        <w:rPr>
          <w:rFonts w:ascii="Times New Roman" w:hAnsi="Times New Roman" w:cs="Times New Roman"/>
          <w:color w:val="auto"/>
          <w:shd w:val="clear" w:color="auto" w:fill="auto"/>
        </w:rPr>
      </w:pP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4863"/>
        <w:gridCol w:w="2649"/>
      </w:tblGrid>
      <w:tr>
        <w:trPr>
          <w:trHeight w:val="397" w:hRule="atLeast"/>
        </w:trPr>
        <w:tc>
          <w:tcPr>
            <w:tcW w:w="9060" w:type="dxa"/>
            <w:gridSpan w:val="3"/>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97" w:hRule="atLeast"/>
        </w:trPr>
        <w:tc>
          <w:tcPr>
            <w:tcW w:w="1548" w:type="dxa"/>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512" w:type="dxa"/>
            <w:gridSpan w:val="2"/>
            <w:vAlign w:val="center"/>
          </w:tcPr>
          <w:p>
            <w:pPr>
              <w:shd w:val="clear" w:color="auto" w:fill="auto"/>
              <w:wordWrap/>
              <w:adjustRightInd/>
              <w:snapToGrid/>
              <w:spacing w:before="0" w:beforeAutospacing="0" w:after="0" w:afterAutospacing="0" w:line="28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219" w:name="_Toc4051"/>
            <w:r>
              <w:rPr>
                <w:rFonts w:hint="default" w:ascii="Times New Roman" w:hAnsi="Times New Roman" w:cs="Times New Roman"/>
                <w:color w:val="auto"/>
                <w:sz w:val="20"/>
                <w:szCs w:val="20"/>
                <w:shd w:val="clear" w:color="auto" w:fill="auto"/>
              </w:rPr>
              <w:t>29</w:t>
            </w:r>
            <w:bookmarkEnd w:id="219"/>
          </w:p>
        </w:tc>
      </w:tr>
      <w:tr>
        <w:trPr>
          <w:trHeight w:val="397" w:hRule="atLeast"/>
        </w:trPr>
        <w:tc>
          <w:tcPr>
            <w:tcW w:w="1548" w:type="dxa"/>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512" w:type="dxa"/>
            <w:gridSpan w:val="2"/>
            <w:vAlign w:val="top"/>
          </w:tcPr>
          <w:p>
            <w:pPr>
              <w:shd w:val="clear" w:color="auto" w:fill="auto"/>
              <w:wordWrap/>
              <w:adjustRightInd/>
              <w:snapToGrid/>
              <w:spacing w:before="0" w:beforeAutospacing="0" w:after="0" w:afterAutospacing="0" w:line="28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220" w:name="_Toc28295"/>
            <w:r>
              <w:rPr>
                <w:rFonts w:hint="default" w:ascii="Times New Roman" w:hAnsi="Times New Roman" w:cs="Times New Roman"/>
                <w:color w:val="auto"/>
                <w:sz w:val="20"/>
                <w:szCs w:val="20"/>
                <w:shd w:val="clear" w:color="auto" w:fill="auto"/>
              </w:rPr>
              <w:t>无许可证从事收集、贮存、利用、处置危险废物经营活动的</w:t>
            </w:r>
            <w:bookmarkEnd w:id="220"/>
          </w:p>
        </w:tc>
      </w:tr>
      <w:tr>
        <w:trPr>
          <w:trHeight w:val="397" w:hRule="atLeast"/>
        </w:trPr>
        <w:tc>
          <w:tcPr>
            <w:tcW w:w="1548" w:type="dxa"/>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512" w:type="dxa"/>
            <w:gridSpan w:val="2"/>
            <w:vAlign w:val="top"/>
          </w:tcPr>
          <w:p>
            <w:pPr>
              <w:pStyle w:val="19"/>
              <w:shd w:val="clear" w:color="auto" w:fill="auto"/>
              <w:wordWrap/>
              <w:adjustRightInd/>
              <w:snapToGrid/>
              <w:spacing w:before="0" w:beforeAutospacing="0" w:after="0" w:afterAutospacing="0" w:line="280" w:lineRule="exact"/>
              <w:ind w:left="0" w:right="0" w:firstLine="422" w:firstLineChars="20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《中华人民共和国固体废物污染环境防治法》第八十条第二款</w:t>
            </w:r>
            <w:r>
              <w:rPr>
                <w:rFonts w:hint="default" w:ascii="Times New Roman" w:hAnsi="Times New Roman" w:cs="Times New Roman"/>
                <w:color w:val="auto"/>
                <w:sz w:val="21"/>
                <w:szCs w:val="21"/>
                <w:shd w:val="clear" w:color="auto" w:fill="auto"/>
              </w:rPr>
              <w:t xml:space="preserve"> </w:t>
            </w:r>
            <w:r>
              <w:rPr>
                <w:rFonts w:hint="default" w:ascii="Times New Roman" w:hAnsi="Times New Roman" w:cs="Times New Roman"/>
                <w:color w:val="auto"/>
                <w:kern w:val="2"/>
                <w:sz w:val="21"/>
                <w:szCs w:val="21"/>
                <w:shd w:val="clear" w:color="auto" w:fill="auto"/>
              </w:rPr>
              <w:t>禁止无许可证或者未按照许可证规定从事危险废物收集、贮存、利用、处置的经营活动。</w:t>
            </w:r>
          </w:p>
        </w:tc>
      </w:tr>
      <w:tr>
        <w:trPr>
          <w:trHeight w:val="397" w:hRule="atLeast"/>
        </w:trPr>
        <w:tc>
          <w:tcPr>
            <w:tcW w:w="1548" w:type="dxa"/>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512" w:type="dxa"/>
            <w:gridSpan w:val="2"/>
            <w:vAlign w:val="top"/>
          </w:tcPr>
          <w:p>
            <w:pPr>
              <w:pStyle w:val="19"/>
              <w:shd w:val="clear" w:color="auto" w:fill="auto"/>
              <w:wordWrap/>
              <w:adjustRightInd/>
              <w:snapToGrid/>
              <w:spacing w:before="0" w:beforeAutospacing="0" w:after="0" w:afterAutospacing="0" w:line="280" w:lineRule="exact"/>
              <w:ind w:left="0" w:right="0" w:firstLine="422" w:firstLineChars="20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《中华人民共和国固体废物污染环境防治法》第一百一十四条第一款</w:t>
            </w:r>
            <w:r>
              <w:rPr>
                <w:rFonts w:hint="default" w:ascii="Times New Roman" w:hAnsi="Times New Roman" w:cs="Times New Roman"/>
                <w:color w:val="auto"/>
                <w:sz w:val="21"/>
                <w:szCs w:val="21"/>
                <w:shd w:val="clear" w:color="auto" w:fill="auto"/>
              </w:rPr>
              <w:t xml:space="preserve"> </w:t>
            </w:r>
            <w:r>
              <w:rPr>
                <w:rFonts w:hint="default" w:ascii="Times New Roman" w:hAnsi="Times New Roman" w:cs="Times New Roman"/>
                <w:color w:val="auto"/>
                <w:kern w:val="2"/>
                <w:sz w:val="21"/>
                <w:szCs w:val="21"/>
                <w:shd w:val="clear" w:color="auto" w:fill="auto"/>
              </w:rPr>
              <w:t>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tc>
      </w:tr>
      <w:tr>
        <w:trPr>
          <w:trHeight w:val="414" w:hRule="atLeast"/>
        </w:trPr>
        <w:tc>
          <w:tcPr>
            <w:tcW w:w="1548" w:type="dxa"/>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4863" w:type="dxa"/>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14" w:hRule="atLeast"/>
        </w:trPr>
        <w:tc>
          <w:tcPr>
            <w:tcW w:w="1548" w:type="dxa"/>
            <w:vMerge w:val="restart"/>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★许可证</w:t>
            </w:r>
          </w:p>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种类</w:t>
            </w:r>
          </w:p>
        </w:tc>
        <w:tc>
          <w:tcPr>
            <w:tcW w:w="4863" w:type="dxa"/>
            <w:vAlign w:val="center"/>
          </w:tcPr>
          <w:p>
            <w:pPr>
              <w:pStyle w:val="18"/>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危险废物收集许可证</w:t>
            </w:r>
          </w:p>
        </w:tc>
        <w:tc>
          <w:tcPr>
            <w:tcW w:w="2649" w:type="dxa"/>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14" w:hRule="atLeast"/>
        </w:trPr>
        <w:tc>
          <w:tcPr>
            <w:tcW w:w="1548" w:type="dxa"/>
            <w:vMerge w:val="continue"/>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p>
        </w:tc>
        <w:tc>
          <w:tcPr>
            <w:tcW w:w="4863" w:type="dxa"/>
            <w:vAlign w:val="center"/>
          </w:tcPr>
          <w:p>
            <w:pPr>
              <w:pStyle w:val="18"/>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危险废物综合许可证</w:t>
            </w:r>
          </w:p>
        </w:tc>
        <w:tc>
          <w:tcPr>
            <w:tcW w:w="2649" w:type="dxa"/>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14" w:hRule="atLeast"/>
        </w:trPr>
        <w:tc>
          <w:tcPr>
            <w:tcW w:w="1548" w:type="dxa"/>
            <w:vMerge w:val="restart"/>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涉及危险</w:t>
            </w:r>
          </w:p>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废物数量</w:t>
            </w:r>
          </w:p>
        </w:tc>
        <w:tc>
          <w:tcPr>
            <w:tcW w:w="4863" w:type="dxa"/>
            <w:vAlign w:val="center"/>
          </w:tcPr>
          <w:p>
            <w:pPr>
              <w:pStyle w:val="18"/>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3吨以下</w:t>
            </w:r>
          </w:p>
        </w:tc>
        <w:tc>
          <w:tcPr>
            <w:tcW w:w="2649" w:type="dxa"/>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14" w:hRule="atLeast"/>
        </w:trPr>
        <w:tc>
          <w:tcPr>
            <w:tcW w:w="1548" w:type="dxa"/>
            <w:vMerge w:val="continue"/>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p>
        </w:tc>
        <w:tc>
          <w:tcPr>
            <w:tcW w:w="4863" w:type="dxa"/>
            <w:vAlign w:val="center"/>
          </w:tcPr>
          <w:p>
            <w:pPr>
              <w:pStyle w:val="18"/>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3吨以上5吨以下</w:t>
            </w:r>
          </w:p>
        </w:tc>
        <w:tc>
          <w:tcPr>
            <w:tcW w:w="2649" w:type="dxa"/>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14" w:hRule="atLeast"/>
        </w:trPr>
        <w:tc>
          <w:tcPr>
            <w:tcW w:w="1548" w:type="dxa"/>
            <w:vMerge w:val="continue"/>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p>
        </w:tc>
        <w:tc>
          <w:tcPr>
            <w:tcW w:w="4863" w:type="dxa"/>
            <w:vAlign w:val="center"/>
          </w:tcPr>
          <w:p>
            <w:pPr>
              <w:pStyle w:val="18"/>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5吨以上10吨以下</w:t>
            </w:r>
          </w:p>
        </w:tc>
        <w:tc>
          <w:tcPr>
            <w:tcW w:w="2649" w:type="dxa"/>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14" w:hRule="atLeast"/>
        </w:trPr>
        <w:tc>
          <w:tcPr>
            <w:tcW w:w="1548" w:type="dxa"/>
            <w:vMerge w:val="continue"/>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p>
        </w:tc>
        <w:tc>
          <w:tcPr>
            <w:tcW w:w="4863" w:type="dxa"/>
            <w:vAlign w:val="center"/>
          </w:tcPr>
          <w:p>
            <w:pPr>
              <w:pStyle w:val="18"/>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10吨以上20吨以下</w:t>
            </w:r>
          </w:p>
        </w:tc>
        <w:tc>
          <w:tcPr>
            <w:tcW w:w="2649" w:type="dxa"/>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14" w:hRule="atLeast"/>
        </w:trPr>
        <w:tc>
          <w:tcPr>
            <w:tcW w:w="1548" w:type="dxa"/>
            <w:vMerge w:val="continue"/>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p>
        </w:tc>
        <w:tc>
          <w:tcPr>
            <w:tcW w:w="4863" w:type="dxa"/>
            <w:vAlign w:val="center"/>
          </w:tcPr>
          <w:p>
            <w:pPr>
              <w:pStyle w:val="18"/>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20吨以上</w:t>
            </w:r>
          </w:p>
        </w:tc>
        <w:tc>
          <w:tcPr>
            <w:tcW w:w="2649" w:type="dxa"/>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14" w:hRule="atLeast"/>
        </w:trPr>
        <w:tc>
          <w:tcPr>
            <w:tcW w:w="1548" w:type="dxa"/>
            <w:vMerge w:val="restart"/>
            <w:vAlign w:val="center"/>
          </w:tcPr>
          <w:p>
            <w:pPr>
              <w:widowControl w:val="0"/>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wordWrap/>
              <w:adjustRightInd/>
              <w:snapToGrid/>
              <w:spacing w:before="0" w:beforeAutospacing="0" w:after="0" w:afterAutospacing="0" w:line="28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4863" w:type="dxa"/>
            <w:vAlign w:val="center"/>
          </w:tcPr>
          <w:p>
            <w:pPr>
              <w:widowControl w:val="0"/>
              <w:shd w:val="clear" w:color="auto" w:fill="auto"/>
              <w:wordWrap/>
              <w:adjustRightInd/>
              <w:snapToGrid/>
              <w:spacing w:before="0" w:beforeAutospacing="0" w:after="0" w:afterAutospacing="0" w:line="28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wordWrap/>
              <w:adjustRightInd/>
              <w:snapToGrid/>
              <w:spacing w:before="0" w:beforeAutospacing="0" w:after="0" w:afterAutospacing="0" w:line="28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14" w:hRule="atLeast"/>
        </w:trPr>
        <w:tc>
          <w:tcPr>
            <w:tcW w:w="1548" w:type="dxa"/>
            <w:vMerge w:val="continue"/>
            <w:vAlign w:val="center"/>
          </w:tcPr>
          <w:p>
            <w:pPr>
              <w:widowControl w:val="0"/>
              <w:shd w:val="clear" w:color="auto" w:fill="auto"/>
              <w:wordWrap/>
              <w:adjustRightInd/>
              <w:snapToGrid/>
              <w:spacing w:before="0" w:beforeAutospacing="0" w:after="0" w:afterAutospacing="0" w:line="280" w:lineRule="exact"/>
              <w:ind w:left="0" w:leftChars="0" w:right="0"/>
              <w:jc w:val="center"/>
              <w:textAlignment w:val="auto"/>
              <w:rPr>
                <w:rFonts w:hint="default" w:ascii="Times New Roman" w:hAnsi="Times New Roman" w:cs="Times New Roman"/>
                <w:color w:val="auto"/>
                <w:sz w:val="20"/>
                <w:szCs w:val="20"/>
                <w:shd w:val="clear" w:color="auto" w:fill="auto"/>
              </w:rPr>
            </w:pPr>
          </w:p>
        </w:tc>
        <w:tc>
          <w:tcPr>
            <w:tcW w:w="4863" w:type="dxa"/>
            <w:vAlign w:val="center"/>
          </w:tcPr>
          <w:p>
            <w:pPr>
              <w:widowControl w:val="0"/>
              <w:shd w:val="clear" w:color="auto" w:fill="auto"/>
              <w:wordWrap/>
              <w:adjustRightInd/>
              <w:snapToGrid/>
              <w:spacing w:before="0" w:beforeAutospacing="0" w:after="0" w:afterAutospacing="0" w:line="28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wordWrap/>
              <w:adjustRightInd/>
              <w:snapToGrid/>
              <w:spacing w:before="0" w:beforeAutospacing="0" w:after="0" w:afterAutospacing="0" w:line="28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14" w:hRule="atLeast"/>
        </w:trPr>
        <w:tc>
          <w:tcPr>
            <w:tcW w:w="1548" w:type="dxa"/>
            <w:vMerge w:val="continue"/>
            <w:vAlign w:val="center"/>
          </w:tcPr>
          <w:p>
            <w:pPr>
              <w:widowControl w:val="0"/>
              <w:shd w:val="clear" w:color="auto" w:fill="auto"/>
              <w:wordWrap/>
              <w:adjustRightInd/>
              <w:snapToGrid/>
              <w:spacing w:before="0" w:beforeAutospacing="0" w:after="0" w:afterAutospacing="0" w:line="280" w:lineRule="exact"/>
              <w:ind w:left="0" w:leftChars="0" w:right="0"/>
              <w:jc w:val="center"/>
              <w:textAlignment w:val="auto"/>
              <w:rPr>
                <w:rFonts w:hint="default" w:ascii="Times New Roman" w:hAnsi="Times New Roman" w:cs="Times New Roman"/>
                <w:color w:val="auto"/>
                <w:sz w:val="20"/>
                <w:szCs w:val="20"/>
                <w:shd w:val="clear" w:color="auto" w:fill="auto"/>
              </w:rPr>
            </w:pPr>
          </w:p>
        </w:tc>
        <w:tc>
          <w:tcPr>
            <w:tcW w:w="4863" w:type="dxa"/>
            <w:vAlign w:val="center"/>
          </w:tcPr>
          <w:p>
            <w:pPr>
              <w:widowControl w:val="0"/>
              <w:shd w:val="clear" w:color="auto" w:fill="auto"/>
              <w:wordWrap/>
              <w:adjustRightInd/>
              <w:snapToGrid/>
              <w:spacing w:before="0" w:beforeAutospacing="0" w:after="0" w:afterAutospacing="0" w:line="28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wordWrap/>
              <w:adjustRightInd/>
              <w:snapToGrid/>
              <w:spacing w:before="0" w:beforeAutospacing="0" w:after="0" w:afterAutospacing="0" w:line="28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14" w:hRule="atLeast"/>
        </w:trPr>
        <w:tc>
          <w:tcPr>
            <w:tcW w:w="1548" w:type="dxa"/>
            <w:vMerge w:val="continue"/>
            <w:vAlign w:val="center"/>
          </w:tcPr>
          <w:p>
            <w:pPr>
              <w:widowControl w:val="0"/>
              <w:shd w:val="clear" w:color="auto" w:fill="auto"/>
              <w:wordWrap/>
              <w:adjustRightInd/>
              <w:snapToGrid/>
              <w:spacing w:before="0" w:beforeAutospacing="0" w:after="0" w:afterAutospacing="0" w:line="280" w:lineRule="exact"/>
              <w:ind w:left="0" w:leftChars="0" w:right="0"/>
              <w:jc w:val="center"/>
              <w:textAlignment w:val="auto"/>
              <w:rPr>
                <w:rFonts w:hint="default" w:ascii="Times New Roman" w:hAnsi="Times New Roman" w:cs="Times New Roman"/>
                <w:color w:val="auto"/>
                <w:sz w:val="20"/>
                <w:szCs w:val="20"/>
                <w:shd w:val="clear" w:color="auto" w:fill="auto"/>
              </w:rPr>
            </w:pPr>
          </w:p>
        </w:tc>
        <w:tc>
          <w:tcPr>
            <w:tcW w:w="4863" w:type="dxa"/>
            <w:vAlign w:val="center"/>
          </w:tcPr>
          <w:p>
            <w:pPr>
              <w:widowControl w:val="0"/>
              <w:shd w:val="clear" w:color="auto" w:fill="auto"/>
              <w:wordWrap/>
              <w:adjustRightInd/>
              <w:snapToGrid/>
              <w:spacing w:before="0" w:beforeAutospacing="0" w:after="0" w:afterAutospacing="0" w:line="28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wordWrap/>
              <w:adjustRightInd/>
              <w:snapToGrid/>
              <w:spacing w:before="0" w:beforeAutospacing="0" w:after="0" w:afterAutospacing="0" w:line="28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14" w:hRule="atLeast"/>
        </w:trPr>
        <w:tc>
          <w:tcPr>
            <w:tcW w:w="1548" w:type="dxa"/>
            <w:vMerge w:val="continue"/>
            <w:vAlign w:val="center"/>
          </w:tcPr>
          <w:p>
            <w:pPr>
              <w:widowControl w:val="0"/>
              <w:shd w:val="clear" w:color="auto" w:fill="auto"/>
              <w:wordWrap/>
              <w:adjustRightInd/>
              <w:snapToGrid/>
              <w:spacing w:before="0" w:beforeAutospacing="0" w:after="0" w:afterAutospacing="0" w:line="280" w:lineRule="exact"/>
              <w:ind w:left="0" w:leftChars="0" w:right="0"/>
              <w:jc w:val="center"/>
              <w:textAlignment w:val="auto"/>
              <w:rPr>
                <w:rFonts w:hint="default" w:ascii="Times New Roman" w:hAnsi="Times New Roman" w:cs="Times New Roman"/>
                <w:color w:val="auto"/>
                <w:sz w:val="20"/>
                <w:szCs w:val="20"/>
                <w:shd w:val="clear" w:color="auto" w:fill="auto"/>
              </w:rPr>
            </w:pPr>
          </w:p>
        </w:tc>
        <w:tc>
          <w:tcPr>
            <w:tcW w:w="4863" w:type="dxa"/>
            <w:vAlign w:val="center"/>
          </w:tcPr>
          <w:p>
            <w:pPr>
              <w:widowControl w:val="0"/>
              <w:shd w:val="clear" w:color="auto" w:fill="auto"/>
              <w:wordWrap/>
              <w:adjustRightInd/>
              <w:snapToGrid/>
              <w:spacing w:before="0" w:beforeAutospacing="0" w:after="0" w:afterAutospacing="0" w:line="28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widowControl w:val="0"/>
              <w:shd w:val="clear" w:color="auto" w:fill="auto"/>
              <w:wordWrap/>
              <w:adjustRightInd/>
              <w:snapToGrid/>
              <w:spacing w:before="0" w:beforeAutospacing="0" w:after="0" w:afterAutospacing="0" w:line="28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14" w:hRule="atLeast"/>
        </w:trPr>
        <w:tc>
          <w:tcPr>
            <w:tcW w:w="1548" w:type="dxa"/>
            <w:vMerge w:val="restart"/>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经营活动地点</w:t>
            </w:r>
          </w:p>
        </w:tc>
        <w:tc>
          <w:tcPr>
            <w:tcW w:w="4863" w:type="dxa"/>
            <w:vAlign w:val="center"/>
          </w:tcPr>
          <w:p>
            <w:pPr>
              <w:widowControl w:val="0"/>
              <w:shd w:val="clear" w:color="auto" w:fill="auto"/>
              <w:tabs>
                <w:tab w:val="center" w:pos="4153"/>
                <w:tab w:val="right" w:pos="8306"/>
              </w:tabs>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符合环境功能区划</w:t>
            </w:r>
          </w:p>
        </w:tc>
        <w:tc>
          <w:tcPr>
            <w:tcW w:w="2649" w:type="dxa"/>
            <w:vAlign w:val="center"/>
          </w:tcPr>
          <w:p>
            <w:pPr>
              <w:widowControl w:val="0"/>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414" w:hRule="atLeast"/>
        </w:trPr>
        <w:tc>
          <w:tcPr>
            <w:tcW w:w="1548" w:type="dxa"/>
            <w:vMerge w:val="continue"/>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863" w:type="dxa"/>
            <w:vAlign w:val="center"/>
          </w:tcPr>
          <w:p>
            <w:pPr>
              <w:widowControl w:val="0"/>
              <w:shd w:val="clear" w:color="auto" w:fill="auto"/>
              <w:tabs>
                <w:tab w:val="center" w:pos="4153"/>
                <w:tab w:val="right" w:pos="8306"/>
              </w:tabs>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不符合环境功能区划，但位于居住区、商业交通居民混合区、文化区、工业区和农村地区</w:t>
            </w:r>
          </w:p>
        </w:tc>
        <w:tc>
          <w:tcPr>
            <w:tcW w:w="2649" w:type="dxa"/>
            <w:vAlign w:val="center"/>
          </w:tcPr>
          <w:p>
            <w:pPr>
              <w:widowControl w:val="0"/>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14" w:hRule="atLeast"/>
        </w:trPr>
        <w:tc>
          <w:tcPr>
            <w:tcW w:w="1548" w:type="dxa"/>
            <w:vMerge w:val="continue"/>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p>
        </w:tc>
        <w:tc>
          <w:tcPr>
            <w:tcW w:w="4863" w:type="dxa"/>
            <w:vAlign w:val="center"/>
          </w:tcPr>
          <w:p>
            <w:pPr>
              <w:widowControl w:val="0"/>
              <w:shd w:val="clear" w:color="auto" w:fill="auto"/>
              <w:tabs>
                <w:tab w:val="center" w:pos="4153"/>
                <w:tab w:val="right" w:pos="8306"/>
              </w:tabs>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不符合环境功能区划，但位于自然保护区、风景名胜区和其他需要特殊保护的区域</w:t>
            </w:r>
          </w:p>
        </w:tc>
        <w:tc>
          <w:tcPr>
            <w:tcW w:w="2649" w:type="dxa"/>
            <w:vAlign w:val="center"/>
          </w:tcPr>
          <w:p>
            <w:pPr>
              <w:widowControl w:val="0"/>
              <w:shd w:val="clear" w:color="auto" w:fill="auto"/>
              <w:tabs>
                <w:tab w:val="center" w:pos="4153"/>
                <w:tab w:val="right" w:pos="8306"/>
              </w:tabs>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414" w:hRule="atLeast"/>
        </w:trPr>
        <w:tc>
          <w:tcPr>
            <w:tcW w:w="1548" w:type="dxa"/>
            <w:vMerge w:val="restart"/>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4863" w:type="dxa"/>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14" w:hRule="atLeast"/>
        </w:trPr>
        <w:tc>
          <w:tcPr>
            <w:tcW w:w="1548" w:type="dxa"/>
            <w:vMerge w:val="continue"/>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863" w:type="dxa"/>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14" w:hRule="atLeast"/>
        </w:trPr>
        <w:tc>
          <w:tcPr>
            <w:tcW w:w="1548" w:type="dxa"/>
            <w:vMerge w:val="continue"/>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863" w:type="dxa"/>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14" w:hRule="atLeast"/>
        </w:trPr>
        <w:tc>
          <w:tcPr>
            <w:tcW w:w="1548" w:type="dxa"/>
            <w:vMerge w:val="continue"/>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863" w:type="dxa"/>
            <w:vAlign w:val="center"/>
          </w:tcPr>
          <w:p>
            <w:pPr>
              <w:shd w:val="clear" w:color="auto" w:fill="auto"/>
              <w:wordWrap/>
              <w:adjustRightInd/>
              <w:snapToGrid/>
              <w:spacing w:before="0" w:beforeAutospacing="0" w:after="0" w:afterAutospacing="0" w:line="280" w:lineRule="exact"/>
              <w:ind w:left="0" w:right="0" w:firstLine="0" w:firstLineChars="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2649" w:type="dxa"/>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414" w:hRule="atLeast"/>
        </w:trPr>
        <w:tc>
          <w:tcPr>
            <w:tcW w:w="1548" w:type="dxa"/>
            <w:vMerge w:val="restart"/>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4863" w:type="dxa"/>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9" w:type="dxa"/>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14" w:hRule="atLeast"/>
        </w:trPr>
        <w:tc>
          <w:tcPr>
            <w:tcW w:w="1548" w:type="dxa"/>
            <w:vMerge w:val="continue"/>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863" w:type="dxa"/>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9" w:type="dxa"/>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414" w:hRule="atLeast"/>
        </w:trPr>
        <w:tc>
          <w:tcPr>
            <w:tcW w:w="1548" w:type="dxa"/>
            <w:vMerge w:val="continue"/>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863" w:type="dxa"/>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9" w:type="dxa"/>
            <w:vAlign w:val="center"/>
          </w:tcPr>
          <w:p>
            <w:pPr>
              <w:shd w:val="clear" w:color="auto" w:fill="auto"/>
              <w:wordWrap/>
              <w:adjustRightInd/>
              <w:snapToGri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548" w:type="dxa"/>
            <w:vMerge w:val="restart"/>
            <w:vAlign w:val="center"/>
          </w:tcPr>
          <w:p>
            <w:pPr>
              <w:shd w:val="clear" w:color="auto" w:fill="auto"/>
              <w:snapToGrid/>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受处罚次数</w:t>
            </w:r>
          </w:p>
        </w:tc>
        <w:tc>
          <w:tcPr>
            <w:tcW w:w="4863"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548" w:type="dxa"/>
            <w:vMerge w:val="continue"/>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pStyle w:val="18"/>
              <w:shd w:val="clear" w:color="auto" w:fill="auto"/>
              <w:snapToGrid/>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两年内受到同类处罚1次</w:t>
            </w:r>
          </w:p>
        </w:tc>
        <w:tc>
          <w:tcPr>
            <w:tcW w:w="2649"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97" w:hRule="atLeast"/>
        </w:trPr>
        <w:tc>
          <w:tcPr>
            <w:tcW w:w="1548" w:type="dxa"/>
            <w:vMerge w:val="continue"/>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pStyle w:val="18"/>
              <w:shd w:val="clear" w:color="auto" w:fill="auto"/>
              <w:snapToGrid/>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两年内受到同类处罚2次以上</w:t>
            </w:r>
          </w:p>
        </w:tc>
        <w:tc>
          <w:tcPr>
            <w:tcW w:w="2649"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trPr>
        <w:tc>
          <w:tcPr>
            <w:tcW w:w="1548" w:type="dxa"/>
            <w:vMerge w:val="restart"/>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48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548" w:type="dxa"/>
            <w:vMerge w:val="continue"/>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48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548" w:type="dxa"/>
            <w:vMerge w:val="continue"/>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48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548" w:type="dxa"/>
            <w:vMerge w:val="continue"/>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48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548"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512" w:type="dxa"/>
            <w:gridSpan w:val="2"/>
            <w:vAlign w:val="center"/>
          </w:tcPr>
          <w:p>
            <w:pPr>
              <w:shd w:val="clear" w:color="auto" w:fill="auto"/>
              <w:snapToGrid/>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4863"/>
        <w:gridCol w:w="2649"/>
      </w:tblGrid>
      <w:tr>
        <w:trPr>
          <w:trHeight w:val="397" w:hRule="atLeast"/>
        </w:trPr>
        <w:tc>
          <w:tcPr>
            <w:tcW w:w="9060" w:type="dxa"/>
            <w:gridSpan w:val="3"/>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97" w:hRule="atLeast"/>
        </w:trPr>
        <w:tc>
          <w:tcPr>
            <w:tcW w:w="1548"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512" w:type="dxa"/>
            <w:gridSpan w:val="2"/>
            <w:vAlign w:val="center"/>
          </w:tcPr>
          <w:p>
            <w:pPr>
              <w:shd w:val="clear" w:color="auto" w:fill="auto"/>
              <w:wordWrap/>
              <w:adjustRightInd/>
              <w:snapToGrid w:val="0"/>
              <w:spacing w:before="0" w:beforeAutospacing="0" w:after="0" w:afterAutospacing="0" w:line="28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221" w:name="_Toc18302"/>
            <w:r>
              <w:rPr>
                <w:rFonts w:hint="default" w:ascii="Times New Roman" w:hAnsi="Times New Roman" w:cs="Times New Roman"/>
                <w:color w:val="auto"/>
                <w:sz w:val="20"/>
                <w:szCs w:val="20"/>
                <w:shd w:val="clear" w:color="auto" w:fill="auto"/>
              </w:rPr>
              <w:t>30</w:t>
            </w:r>
            <w:bookmarkEnd w:id="221"/>
          </w:p>
        </w:tc>
      </w:tr>
      <w:tr>
        <w:trPr>
          <w:trHeight w:val="397" w:hRule="atLeast"/>
        </w:trPr>
        <w:tc>
          <w:tcPr>
            <w:tcW w:w="1548"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512" w:type="dxa"/>
            <w:gridSpan w:val="2"/>
            <w:vAlign w:val="top"/>
          </w:tcPr>
          <w:p>
            <w:pPr>
              <w:shd w:val="clear" w:color="auto" w:fill="auto"/>
              <w:wordWrap/>
              <w:adjustRightInd/>
              <w:snapToGrid w:val="0"/>
              <w:spacing w:before="0" w:beforeAutospacing="0" w:after="0" w:afterAutospacing="0" w:line="28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222" w:name="_Toc20303"/>
            <w:r>
              <w:rPr>
                <w:rFonts w:hint="default" w:ascii="Times New Roman" w:hAnsi="Times New Roman" w:cs="Times New Roman"/>
                <w:color w:val="auto"/>
                <w:sz w:val="20"/>
                <w:szCs w:val="20"/>
                <w:shd w:val="clear" w:color="auto" w:fill="auto"/>
              </w:rPr>
              <w:t>未按照许可证规定从事收集、贮存、利用、处置危险废物经营活动的</w:t>
            </w:r>
            <w:bookmarkEnd w:id="222"/>
          </w:p>
        </w:tc>
      </w:tr>
      <w:tr>
        <w:trPr>
          <w:trHeight w:val="397" w:hRule="atLeast"/>
        </w:trPr>
        <w:tc>
          <w:tcPr>
            <w:tcW w:w="1548"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512" w:type="dxa"/>
            <w:gridSpan w:val="2"/>
            <w:vAlign w:val="top"/>
          </w:tcPr>
          <w:p>
            <w:pPr>
              <w:pStyle w:val="19"/>
              <w:shd w:val="clear" w:color="auto" w:fill="auto"/>
              <w:wordWrap/>
              <w:adjustRightInd/>
              <w:snapToGrid w:val="0"/>
              <w:spacing w:before="0" w:beforeAutospacing="0" w:after="0" w:afterAutospacing="0" w:line="280" w:lineRule="exact"/>
              <w:ind w:left="0" w:right="0" w:firstLine="422" w:firstLineChars="20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《中华人民共和国固体废物污染环境防治法》第八十条第二款</w:t>
            </w:r>
            <w:r>
              <w:rPr>
                <w:rFonts w:hint="default" w:ascii="Times New Roman" w:hAnsi="Times New Roman" w:cs="Times New Roman"/>
                <w:color w:val="auto"/>
                <w:sz w:val="21"/>
                <w:szCs w:val="21"/>
                <w:shd w:val="clear" w:color="auto" w:fill="auto"/>
              </w:rPr>
              <w:t xml:space="preserve"> </w:t>
            </w:r>
            <w:r>
              <w:rPr>
                <w:rFonts w:hint="default" w:ascii="Times New Roman" w:hAnsi="Times New Roman" w:cs="Times New Roman"/>
                <w:color w:val="auto"/>
                <w:kern w:val="2"/>
                <w:sz w:val="21"/>
                <w:szCs w:val="21"/>
                <w:shd w:val="clear" w:color="auto" w:fill="auto"/>
              </w:rPr>
              <w:t>禁止无许可证或者未按照许可证规定从事危险废物收集、贮存、利用、处置的经营活动。</w:t>
            </w:r>
          </w:p>
        </w:tc>
      </w:tr>
      <w:tr>
        <w:trPr>
          <w:trHeight w:val="397" w:hRule="atLeast"/>
        </w:trPr>
        <w:tc>
          <w:tcPr>
            <w:tcW w:w="1548"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512" w:type="dxa"/>
            <w:gridSpan w:val="2"/>
            <w:vAlign w:val="top"/>
          </w:tcPr>
          <w:p>
            <w:pPr>
              <w:pStyle w:val="19"/>
              <w:shd w:val="clear" w:color="auto" w:fill="auto"/>
              <w:wordWrap/>
              <w:adjustRightInd/>
              <w:snapToGrid w:val="0"/>
              <w:spacing w:before="0" w:beforeAutospacing="0" w:after="0" w:afterAutospacing="0" w:line="280" w:lineRule="exact"/>
              <w:ind w:left="0" w:right="0" w:firstLine="422" w:firstLineChars="20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《中华人民共和国固体废物污染环境防治法》第一百一十四条第二款</w:t>
            </w:r>
            <w:r>
              <w:rPr>
                <w:rFonts w:hint="default" w:ascii="Times New Roman" w:hAnsi="Times New Roman" w:cs="Times New Roman"/>
                <w:color w:val="auto"/>
                <w:sz w:val="21"/>
                <w:szCs w:val="21"/>
                <w:shd w:val="clear" w:color="auto" w:fill="auto"/>
              </w:rPr>
              <w:t xml:space="preserve">   </w:t>
            </w:r>
            <w:r>
              <w:rPr>
                <w:rFonts w:hint="default" w:ascii="Times New Roman" w:hAnsi="Times New Roman" w:cs="Times New Roman"/>
                <w:color w:val="auto"/>
                <w:kern w:val="2"/>
                <w:sz w:val="21"/>
                <w:szCs w:val="21"/>
                <w:shd w:val="clear" w:color="auto" w:fill="auto"/>
              </w:rPr>
              <w:t>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tc>
      </w:tr>
      <w:tr>
        <w:trPr>
          <w:trHeight w:val="397" w:hRule="atLeast"/>
        </w:trPr>
        <w:tc>
          <w:tcPr>
            <w:tcW w:w="1548"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4863"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548"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★许可证</w:t>
            </w:r>
          </w:p>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种类</w:t>
            </w:r>
          </w:p>
        </w:tc>
        <w:tc>
          <w:tcPr>
            <w:tcW w:w="4863" w:type="dxa"/>
            <w:vAlign w:val="center"/>
          </w:tcPr>
          <w:p>
            <w:pPr>
              <w:pStyle w:val="18"/>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危险废物收集许可证</w:t>
            </w:r>
          </w:p>
        </w:tc>
        <w:tc>
          <w:tcPr>
            <w:tcW w:w="2649"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548"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p>
        </w:tc>
        <w:tc>
          <w:tcPr>
            <w:tcW w:w="4863" w:type="dxa"/>
            <w:vAlign w:val="center"/>
          </w:tcPr>
          <w:p>
            <w:pPr>
              <w:pStyle w:val="18"/>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危险废物综合许可证</w:t>
            </w:r>
          </w:p>
        </w:tc>
        <w:tc>
          <w:tcPr>
            <w:tcW w:w="2649"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548"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涉及危险</w:t>
            </w:r>
          </w:p>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废物数量</w:t>
            </w:r>
          </w:p>
        </w:tc>
        <w:tc>
          <w:tcPr>
            <w:tcW w:w="4863" w:type="dxa"/>
            <w:vAlign w:val="center"/>
          </w:tcPr>
          <w:p>
            <w:pPr>
              <w:pStyle w:val="18"/>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3吨以下</w:t>
            </w:r>
          </w:p>
        </w:tc>
        <w:tc>
          <w:tcPr>
            <w:tcW w:w="2649"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548"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p>
        </w:tc>
        <w:tc>
          <w:tcPr>
            <w:tcW w:w="4863" w:type="dxa"/>
            <w:vAlign w:val="center"/>
          </w:tcPr>
          <w:p>
            <w:pPr>
              <w:pStyle w:val="18"/>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3吨以上5吨以下</w:t>
            </w:r>
          </w:p>
        </w:tc>
        <w:tc>
          <w:tcPr>
            <w:tcW w:w="2649"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548"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p>
        </w:tc>
        <w:tc>
          <w:tcPr>
            <w:tcW w:w="4863" w:type="dxa"/>
            <w:vAlign w:val="center"/>
          </w:tcPr>
          <w:p>
            <w:pPr>
              <w:pStyle w:val="18"/>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5吨以上10吨以下</w:t>
            </w:r>
          </w:p>
        </w:tc>
        <w:tc>
          <w:tcPr>
            <w:tcW w:w="2649"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548"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p>
        </w:tc>
        <w:tc>
          <w:tcPr>
            <w:tcW w:w="4863" w:type="dxa"/>
            <w:vAlign w:val="center"/>
          </w:tcPr>
          <w:p>
            <w:pPr>
              <w:pStyle w:val="18"/>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10吨以上20吨以下</w:t>
            </w:r>
          </w:p>
        </w:tc>
        <w:tc>
          <w:tcPr>
            <w:tcW w:w="2649"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548"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p>
        </w:tc>
        <w:tc>
          <w:tcPr>
            <w:tcW w:w="4863" w:type="dxa"/>
            <w:vAlign w:val="center"/>
          </w:tcPr>
          <w:p>
            <w:pPr>
              <w:pStyle w:val="18"/>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20吨以上</w:t>
            </w:r>
          </w:p>
        </w:tc>
        <w:tc>
          <w:tcPr>
            <w:tcW w:w="2649"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548" w:type="dxa"/>
            <w:vMerge w:val="restart"/>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4863"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548" w:type="dxa"/>
            <w:vMerge w:val="continue"/>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color w:val="auto"/>
                <w:sz w:val="20"/>
                <w:szCs w:val="20"/>
                <w:shd w:val="clear" w:color="auto" w:fill="auto"/>
              </w:rPr>
            </w:pPr>
          </w:p>
        </w:tc>
        <w:tc>
          <w:tcPr>
            <w:tcW w:w="4863"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548" w:type="dxa"/>
            <w:vMerge w:val="continue"/>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color w:val="auto"/>
                <w:sz w:val="20"/>
                <w:szCs w:val="20"/>
                <w:shd w:val="clear" w:color="auto" w:fill="auto"/>
              </w:rPr>
            </w:pPr>
          </w:p>
        </w:tc>
        <w:tc>
          <w:tcPr>
            <w:tcW w:w="4863"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548" w:type="dxa"/>
            <w:vMerge w:val="continue"/>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color w:val="auto"/>
                <w:sz w:val="20"/>
                <w:szCs w:val="20"/>
                <w:shd w:val="clear" w:color="auto" w:fill="auto"/>
              </w:rPr>
            </w:pPr>
          </w:p>
        </w:tc>
        <w:tc>
          <w:tcPr>
            <w:tcW w:w="4863"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548" w:type="dxa"/>
            <w:vMerge w:val="continue"/>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color w:val="auto"/>
                <w:sz w:val="20"/>
                <w:szCs w:val="20"/>
                <w:shd w:val="clear" w:color="auto" w:fill="auto"/>
              </w:rPr>
            </w:pPr>
          </w:p>
        </w:tc>
        <w:tc>
          <w:tcPr>
            <w:tcW w:w="4863"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548"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经营活动地点</w:t>
            </w:r>
          </w:p>
        </w:tc>
        <w:tc>
          <w:tcPr>
            <w:tcW w:w="4863" w:type="dxa"/>
            <w:vAlign w:val="center"/>
          </w:tcPr>
          <w:p>
            <w:pPr>
              <w:widowControl w:val="0"/>
              <w:shd w:val="clear" w:color="auto" w:fill="auto"/>
              <w:tabs>
                <w:tab w:val="center" w:pos="4153"/>
                <w:tab w:val="right" w:pos="8306"/>
              </w:tabs>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符合环境功能区划</w:t>
            </w:r>
          </w:p>
        </w:tc>
        <w:tc>
          <w:tcPr>
            <w:tcW w:w="2649"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trPr>
        <w:tc>
          <w:tcPr>
            <w:tcW w:w="1548"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863" w:type="dxa"/>
            <w:vAlign w:val="center"/>
          </w:tcPr>
          <w:p>
            <w:pPr>
              <w:widowControl w:val="0"/>
              <w:shd w:val="clear" w:color="auto" w:fill="auto"/>
              <w:tabs>
                <w:tab w:val="center" w:pos="4153"/>
                <w:tab w:val="right" w:pos="8306"/>
              </w:tabs>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不符合环境功能区划，但位于居住区、商业交通居民混合区、文化区、工业区和农村地区</w:t>
            </w:r>
          </w:p>
        </w:tc>
        <w:tc>
          <w:tcPr>
            <w:tcW w:w="2649"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548"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p>
        </w:tc>
        <w:tc>
          <w:tcPr>
            <w:tcW w:w="4863" w:type="dxa"/>
            <w:vAlign w:val="center"/>
          </w:tcPr>
          <w:p>
            <w:pPr>
              <w:widowControl w:val="0"/>
              <w:shd w:val="clear" w:color="auto" w:fill="auto"/>
              <w:tabs>
                <w:tab w:val="center" w:pos="4153"/>
                <w:tab w:val="right" w:pos="8306"/>
              </w:tabs>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不符合环境功能区划，但位于自然保护区、风景名胜区和其他需要特殊保护的区域</w:t>
            </w:r>
          </w:p>
        </w:tc>
        <w:tc>
          <w:tcPr>
            <w:tcW w:w="2649" w:type="dxa"/>
            <w:vAlign w:val="center"/>
          </w:tcPr>
          <w:p>
            <w:pPr>
              <w:widowControl w:val="0"/>
              <w:shd w:val="clear" w:color="auto" w:fill="auto"/>
              <w:tabs>
                <w:tab w:val="center" w:pos="4153"/>
                <w:tab w:val="right" w:pos="8306"/>
              </w:tabs>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trPr>
        <w:tc>
          <w:tcPr>
            <w:tcW w:w="1548"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w:t>
            </w:r>
            <w:r>
              <w:rPr>
                <w:rFonts w:hint="default" w:ascii="Times New Roman" w:hAnsi="Times New Roman" w:cs="Times New Roman"/>
                <w:b/>
                <w:bCs/>
                <w:color w:val="auto"/>
                <w:sz w:val="20"/>
                <w:szCs w:val="20"/>
                <w:shd w:val="clear" w:color="auto" w:fill="auto"/>
                <w:lang w:val="en-US"/>
              </w:rPr>
              <w:t>规模</w:t>
            </w:r>
          </w:p>
        </w:tc>
        <w:tc>
          <w:tcPr>
            <w:tcW w:w="4863"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548"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863"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548"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863"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548"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863" w:type="dxa"/>
            <w:vAlign w:val="center"/>
          </w:tcPr>
          <w:p>
            <w:pPr>
              <w:shd w:val="clear" w:color="auto" w:fill="auto"/>
              <w:wordWrap/>
              <w:adjustRightInd/>
              <w:snapToGrid w:val="0"/>
              <w:spacing w:before="0" w:beforeAutospacing="0" w:after="0" w:afterAutospacing="0" w:line="280" w:lineRule="exact"/>
              <w:ind w:left="0" w:right="0" w:firstLine="0" w:firstLineChars="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9"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trPr>
        <w:tc>
          <w:tcPr>
            <w:tcW w:w="1548"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4863"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9"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548"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863"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9"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trPr>
        <w:tc>
          <w:tcPr>
            <w:tcW w:w="1548"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863"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9"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受处罚次数</w:t>
            </w:r>
          </w:p>
        </w:tc>
        <w:tc>
          <w:tcPr>
            <w:tcW w:w="48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48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48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48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48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51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649"/>
      </w:tblGrid>
      <w:tr>
        <w:trPr>
          <w:trHeight w:val="369"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23" w:name="_Toc27118"/>
            <w:r>
              <w:rPr>
                <w:rFonts w:hint="default" w:ascii="Times New Roman" w:hAnsi="Times New Roman" w:cs="Times New Roman"/>
                <w:color w:val="auto"/>
                <w:sz w:val="20"/>
                <w:szCs w:val="20"/>
                <w:shd w:val="clear" w:color="auto" w:fill="auto"/>
              </w:rPr>
              <w:t>31</w:t>
            </w:r>
            <w:bookmarkEnd w:id="223"/>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24" w:name="_Toc1355"/>
            <w:r>
              <w:rPr>
                <w:rFonts w:hint="default" w:ascii="Times New Roman" w:hAnsi="Times New Roman" w:cs="Times New Roman"/>
                <w:color w:val="auto"/>
                <w:sz w:val="20"/>
                <w:szCs w:val="20"/>
                <w:shd w:val="clear" w:color="auto" w:fill="auto"/>
              </w:rPr>
              <w:t>造成固体废物污染环境事故的</w:t>
            </w:r>
            <w:bookmarkEnd w:id="224"/>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《中华人民共和国固体废物污染环境防治法》第八十六条</w:t>
            </w:r>
            <w:r>
              <w:rPr>
                <w:rFonts w:hint="default" w:ascii="Times New Roman" w:hAnsi="Times New Roman" w:cs="Times New Roman"/>
                <w:color w:val="auto"/>
                <w:sz w:val="21"/>
                <w:szCs w:val="21"/>
                <w:shd w:val="clear" w:color="auto" w:fill="auto"/>
              </w:rPr>
              <w:t xml:space="preserve"> </w:t>
            </w:r>
            <w:r>
              <w:rPr>
                <w:rFonts w:hint="default" w:ascii="Times New Roman" w:hAnsi="Times New Roman" w:cs="Times New Roman"/>
                <w:color w:val="auto"/>
                <w:kern w:val="2"/>
                <w:sz w:val="21"/>
                <w:szCs w:val="21"/>
                <w:shd w:val="clear" w:color="auto" w:fill="auto"/>
              </w:rPr>
              <w:t>因发生事故或者其他突发性事件，造成危险废物严重污染环境的单位，应当立即采取有效措施消除或者减轻对环境的污染危害，及时通报可能受到污染危害的单位和居民，并向所在地生态环境主管部门和有关部门报告，接受调查处理。</w:t>
            </w:r>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pStyle w:val="19"/>
              <w:shd w:val="clear" w:color="auto" w:fill="auto"/>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《中华人民共和国固体废物污染环境防治法》第一百一十八条</w:t>
            </w:r>
            <w:r>
              <w:rPr>
                <w:rFonts w:hint="default" w:ascii="Times New Roman" w:hAnsi="Times New Roman" w:cs="Times New Roman"/>
                <w:color w:val="auto"/>
                <w:sz w:val="21"/>
                <w:szCs w:val="21"/>
                <w:shd w:val="clear" w:color="auto" w:fill="auto"/>
              </w:rPr>
              <w:t>　</w:t>
            </w:r>
            <w:r>
              <w:rPr>
                <w:rFonts w:hint="default" w:ascii="Times New Roman" w:hAnsi="Times New Roman" w:cs="Times New Roman"/>
                <w:color w:val="auto"/>
                <w:kern w:val="2"/>
                <w:sz w:val="21"/>
                <w:szCs w:val="21"/>
                <w:shd w:val="clear" w:color="auto" w:fill="auto"/>
              </w:rPr>
              <w:t>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pPr>
              <w:pStyle w:val="19"/>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bookmarkStart w:id="225" w:name="_Hlk24322098"/>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★污染事故</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等级</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一般固体废物污染环境事故</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较大固体废物污染环境事故</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重大固体废物污染环境事故</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特别重大固体废物污染环境事故</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对环境的</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影响程度</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已造成环境污染，尚未扩散</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已造成环境污染，并部分扩散</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已造成环境污染，并大面积扩散</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污染事故</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发生地点</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不在保护区（</w:t>
            </w:r>
            <w:r>
              <w:rPr>
                <w:rFonts w:hint="default" w:ascii="Times New Roman" w:hAnsi="Times New Roman" w:cs="Times New Roman"/>
                <w:color w:val="auto"/>
                <w:sz w:val="20"/>
                <w:szCs w:val="20"/>
                <w:shd w:val="clear" w:color="auto" w:fill="auto"/>
                <w:lang w:val="en-US"/>
              </w:rPr>
              <w:t>不包含</w:t>
            </w:r>
            <w:r>
              <w:rPr>
                <w:rFonts w:hint="eastAsia" w:ascii="Times New Roman" w:hAnsi="Times New Roman" w:cs="Times New Roman"/>
                <w:color w:val="auto"/>
                <w:sz w:val="20"/>
                <w:szCs w:val="20"/>
                <w:shd w:val="clear" w:color="auto" w:fill="auto"/>
                <w:lang w:val="en-US" w:eastAsia="zh-CN"/>
              </w:rPr>
              <w:t>第</w:t>
            </w:r>
            <w:r>
              <w:rPr>
                <w:rFonts w:hint="default" w:ascii="Times New Roman" w:hAnsi="Times New Roman" w:cs="Times New Roman"/>
                <w:color w:val="auto"/>
                <w:sz w:val="20"/>
                <w:szCs w:val="20"/>
                <w:shd w:val="clear" w:color="auto" w:fill="auto"/>
                <w:lang/>
              </w:rPr>
              <w:t>2、3</w:t>
            </w:r>
            <w:r>
              <w:rPr>
                <w:rFonts w:hint="eastAsia" w:ascii="Times New Roman" w:hAnsi="Times New Roman" w:cs="Times New Roman"/>
                <w:color w:val="auto"/>
                <w:sz w:val="20"/>
                <w:szCs w:val="20"/>
                <w:shd w:val="clear" w:color="auto" w:fill="auto"/>
                <w:lang w:eastAsia="zh-CN"/>
              </w:rPr>
              <w:t>项</w:t>
            </w:r>
            <w:r>
              <w:rPr>
                <w:rFonts w:hint="default" w:ascii="Times New Roman" w:hAnsi="Times New Roman" w:cs="Times New Roman"/>
                <w:color w:val="auto"/>
                <w:sz w:val="20"/>
                <w:szCs w:val="20"/>
                <w:shd w:val="clear" w:color="auto" w:fill="auto"/>
                <w:lang/>
              </w:rPr>
              <w:t>）</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居住区、商业交通居民混合区、文化区、工业区和农村地区</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自然保护区</w:t>
            </w:r>
            <w:r>
              <w:rPr>
                <w:rFonts w:hint="default" w:ascii="Times New Roman" w:hAnsi="Times New Roman" w:cs="Times New Roman"/>
                <w:color w:val="auto"/>
                <w:sz w:val="20"/>
                <w:szCs w:val="20"/>
                <w:shd w:val="clear" w:color="auto" w:fill="auto"/>
                <w:lang w:val="en-US"/>
              </w:rPr>
              <w:t>试验区</w:t>
            </w:r>
            <w:r>
              <w:rPr>
                <w:rFonts w:hint="default" w:ascii="Times New Roman" w:hAnsi="Times New Roman" w:cs="Times New Roman"/>
                <w:color w:val="auto"/>
                <w:sz w:val="20"/>
                <w:szCs w:val="20"/>
                <w:shd w:val="clear" w:color="auto" w:fill="auto"/>
                <w:lang/>
              </w:rPr>
              <w:t>、</w:t>
            </w:r>
            <w:r>
              <w:rPr>
                <w:rFonts w:hint="default" w:ascii="Times New Roman" w:hAnsi="Times New Roman" w:cs="Times New Roman"/>
                <w:color w:val="auto"/>
                <w:sz w:val="20"/>
                <w:szCs w:val="20"/>
                <w:shd w:val="clear" w:color="auto" w:fill="auto"/>
                <w:lang w:val="en-US"/>
              </w:rPr>
              <w:t>缓冲区</w:t>
            </w:r>
            <w:r>
              <w:rPr>
                <w:rFonts w:hint="default" w:ascii="Times New Roman" w:hAnsi="Times New Roman" w:cs="Times New Roman"/>
                <w:color w:val="auto"/>
                <w:sz w:val="20"/>
                <w:szCs w:val="20"/>
                <w:shd w:val="clear" w:color="auto" w:fill="auto"/>
              </w:rPr>
              <w:t>、风景名胜区和其他需要特殊保护的区域</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位于自然保护区核心区</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补救措施</w:t>
            </w: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积极采取补救措施；恢复原状，消除环境影响</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采取补救措施，环境影响无法完全消除</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未采取补救措施，环境影响持续恶化</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2090" w:firstLineChars="1100"/>
              <w:jc w:val="both"/>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管理类别</w:t>
            </w:r>
          </w:p>
        </w:tc>
        <w:tc>
          <w:tcPr>
            <w:tcW w:w="5043" w:type="dxa"/>
            <w:vAlign w:val="center"/>
          </w:tcPr>
          <w:p>
            <w:pPr>
              <w:shd w:val="clear" w:color="auto" w:fill="auto"/>
              <w:snapToGrid w:val="0"/>
              <w:spacing w:before="0" w:beforeAutospacing="0" w:after="0" w:afterAutospacing="0" w:line="320" w:lineRule="exact"/>
              <w:ind w:left="0" w:right="0" w:firstLine="0" w:firstLineChars="0"/>
              <w:jc w:val="center"/>
              <w:rPr>
                <w:rStyle w:val="14"/>
                <w:rFonts w:hint="default" w:ascii="Times New Roman" w:hAnsi="Times New Roman" w:eastAsia="宋体" w:cs="Times New Roman"/>
                <w:i w:val="0"/>
                <w:iCs w:val="0"/>
                <w:caps w:val="0"/>
                <w:color w:val="auto"/>
                <w:spacing w:val="0"/>
                <w:sz w:val="21"/>
                <w:szCs w:val="21"/>
                <w:shd w:val="clear" w:color="auto" w:fill="auto"/>
                <w:lang w:eastAsia="zh-CN"/>
              </w:rPr>
            </w:pPr>
            <w:r>
              <w:rPr>
                <w:rFonts w:hint="eastAsia" w:ascii="Times New Roman" w:hAnsi="Times New Roman" w:cs="Times New Roman"/>
                <w:color w:val="auto"/>
                <w:sz w:val="20"/>
                <w:szCs w:val="20"/>
                <w:shd w:val="clear" w:color="auto" w:fill="auto"/>
                <w:lang w:val="en-US" w:eastAsia="zh-CN"/>
              </w:rPr>
              <w:t>登记管理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Style w:val="14"/>
                <w:rFonts w:hint="default" w:ascii="Times New Roman" w:hAnsi="Times New Roman" w:cs="Times New Roman"/>
                <w:i w:val="0"/>
                <w:iCs w:val="0"/>
                <w:caps w:val="0"/>
                <w:color w:val="auto"/>
                <w:spacing w:val="0"/>
                <w:sz w:val="21"/>
                <w:szCs w:val="21"/>
                <w:shd w:val="clear" w:color="auto" w:fill="auto"/>
                <w:lang w:eastAsia="zh-CN"/>
              </w:rPr>
            </w:pPr>
            <w:r>
              <w:rPr>
                <w:rFonts w:hint="default" w:ascii="Times New Roman" w:hAnsi="Times New Roman" w:cs="Times New Roman"/>
                <w:color w:val="auto"/>
                <w:sz w:val="20"/>
                <w:szCs w:val="20"/>
                <w:shd w:val="clear" w:color="auto" w:fill="auto"/>
                <w:lang w:val="en-US"/>
              </w:rPr>
              <w:t>简化管理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2</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0" w:firstLineChars="0"/>
              <w:jc w:val="center"/>
              <w:rPr>
                <w:rStyle w:val="14"/>
                <w:rFonts w:hint="default" w:ascii="Times New Roman" w:hAnsi="Times New Roman" w:eastAsia="宋体" w:cs="Times New Roman"/>
                <w:i w:val="0"/>
                <w:iCs w:val="0"/>
                <w:caps w:val="0"/>
                <w:color w:val="auto"/>
                <w:spacing w:val="0"/>
                <w:sz w:val="21"/>
                <w:szCs w:val="21"/>
                <w:shd w:val="clear" w:color="auto" w:fill="auto"/>
                <w:lang w:eastAsia="zh-CN"/>
              </w:rPr>
            </w:pPr>
            <w:r>
              <w:rPr>
                <w:rFonts w:hint="default" w:ascii="Times New Roman" w:hAnsi="Times New Roman" w:cs="Times New Roman"/>
                <w:color w:val="auto"/>
                <w:sz w:val="20"/>
                <w:szCs w:val="20"/>
                <w:shd w:val="clear" w:color="auto" w:fill="auto"/>
                <w:lang w:val="en-US"/>
              </w:rPr>
              <w:t>重点管理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区域影响</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县级行政区域内</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跨县级行政区域</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跨市级行政区域</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跨省级行政区域</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受处罚次数</w:t>
            </w:r>
          </w:p>
        </w:tc>
        <w:tc>
          <w:tcPr>
            <w:tcW w:w="5043"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eastAsia="zh-CN" w:bidi="ar-SA"/>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eastAsia="zh-CN" w:bidi="ar-SA"/>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eastAsia="zh-CN" w:bidi="ar-SA"/>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5</w:t>
            </w:r>
            <w:bookmarkEnd w:id="225"/>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649"/>
      </w:tblGrid>
      <w:tr>
        <w:trPr>
          <w:trHeight w:val="397" w:hRule="atLeast"/>
          <w:jc w:val="center"/>
        </w:trPr>
        <w:tc>
          <w:tcPr>
            <w:tcW w:w="9060" w:type="dxa"/>
            <w:gridSpan w:val="3"/>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97" w:hRule="atLeast"/>
          <w:jc w:val="center"/>
        </w:trPr>
        <w:tc>
          <w:tcPr>
            <w:tcW w:w="1368"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wordWrap/>
              <w:adjustRightInd/>
              <w:snapToGrid w:val="0"/>
              <w:spacing w:before="0" w:beforeAutospacing="0" w:after="0" w:afterAutospacing="0" w:line="32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226" w:name="_Toc11571"/>
            <w:r>
              <w:rPr>
                <w:rFonts w:hint="default" w:ascii="Times New Roman" w:hAnsi="Times New Roman" w:cs="Times New Roman"/>
                <w:color w:val="auto"/>
                <w:sz w:val="20"/>
                <w:szCs w:val="20"/>
                <w:shd w:val="clear" w:color="auto" w:fill="auto"/>
              </w:rPr>
              <w:t>32</w:t>
            </w:r>
            <w:bookmarkEnd w:id="226"/>
          </w:p>
        </w:tc>
      </w:tr>
      <w:tr>
        <w:trPr>
          <w:trHeight w:val="397" w:hRule="atLeast"/>
          <w:jc w:val="center"/>
        </w:trPr>
        <w:tc>
          <w:tcPr>
            <w:tcW w:w="1368"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wordWrap/>
              <w:adjustRightInd/>
              <w:snapToGrid w:val="0"/>
              <w:spacing w:before="0" w:beforeAutospacing="0" w:after="0" w:afterAutospacing="0" w:line="32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227" w:name="_Toc21617"/>
            <w:r>
              <w:rPr>
                <w:rFonts w:hint="default" w:ascii="Times New Roman" w:hAnsi="Times New Roman" w:cs="Times New Roman"/>
                <w:color w:val="auto"/>
                <w:sz w:val="20"/>
                <w:szCs w:val="20"/>
                <w:shd w:val="clear" w:color="auto" w:fill="auto"/>
              </w:rPr>
              <w:t>贮存设施或者设备不符合环境保护、卫生要求的</w:t>
            </w:r>
            <w:bookmarkEnd w:id="227"/>
          </w:p>
        </w:tc>
      </w:tr>
      <w:tr>
        <w:trPr>
          <w:trHeight w:val="397" w:hRule="atLeast"/>
          <w:jc w:val="center"/>
        </w:trPr>
        <w:tc>
          <w:tcPr>
            <w:tcW w:w="1368"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top"/>
          </w:tcPr>
          <w:p>
            <w:pPr>
              <w:pStyle w:val="19"/>
              <w:shd w:val="clear" w:color="auto" w:fill="auto"/>
              <w:wordWrap/>
              <w:adjustRightInd/>
              <w:snapToGrid w:val="0"/>
              <w:spacing w:before="0" w:beforeAutospacing="0" w:after="0" w:afterAutospacing="0" w:line="320" w:lineRule="exact"/>
              <w:ind w:left="0" w:right="0" w:firstLine="422" w:firstLineChars="20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《医疗废物管理条例》第二十四条 </w:t>
            </w:r>
            <w:r>
              <w:rPr>
                <w:rFonts w:hint="default" w:ascii="Times New Roman" w:hAnsi="Times New Roman" w:cs="Times New Roman"/>
                <w:color w:val="auto"/>
                <w:sz w:val="21"/>
                <w:szCs w:val="21"/>
                <w:shd w:val="clear" w:color="auto" w:fill="auto"/>
              </w:rPr>
              <w:t>医疗废物集中处置单位的贮存、处置设施，应当远离居（村）民居住区、水源保护区和交通干道，与工厂、企业等工作场所有适当的安全防护距离，并符合国务院环境保护行政主管部门的规定。</w:t>
            </w:r>
          </w:p>
        </w:tc>
      </w:tr>
      <w:tr>
        <w:trPr>
          <w:trHeight w:val="397" w:hRule="atLeast"/>
          <w:jc w:val="center"/>
        </w:trPr>
        <w:tc>
          <w:tcPr>
            <w:tcW w:w="1368"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top"/>
          </w:tcPr>
          <w:p>
            <w:pPr>
              <w:pStyle w:val="19"/>
              <w:shd w:val="clear" w:color="auto" w:fill="auto"/>
              <w:wordWrap/>
              <w:adjustRightInd/>
              <w:snapToGrid w:val="0"/>
              <w:spacing w:before="0" w:beforeAutospacing="0" w:after="0" w:afterAutospacing="0" w:line="320" w:lineRule="exact"/>
              <w:ind w:left="0" w:right="0" w:firstLine="482"/>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《医疗废物管理条例》第四十六条第（一）项 </w:t>
            </w:r>
            <w:r>
              <w:rPr>
                <w:rFonts w:hint="default" w:ascii="Times New Roman" w:hAnsi="Times New Roman" w:cs="Times New Roman"/>
                <w:color w:val="auto"/>
                <w:sz w:val="21"/>
                <w:szCs w:val="21"/>
                <w:shd w:val="clear" w:color="auto" w:fill="auto"/>
              </w:rPr>
              <w:t>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w:t>
            </w:r>
          </w:p>
          <w:p>
            <w:pPr>
              <w:pStyle w:val="19"/>
              <w:shd w:val="clear" w:color="auto" w:fill="auto"/>
              <w:wordWrap/>
              <w:adjustRightInd/>
              <w:snapToGrid w:val="0"/>
              <w:spacing w:before="0" w:beforeAutospacing="0" w:after="0" w:afterAutospacing="0" w:line="320" w:lineRule="exact"/>
              <w:ind w:left="0" w:right="0" w:firstLine="482"/>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（一）贮存设施或者设备不符合环境保护、卫生要求的。</w:t>
            </w:r>
          </w:p>
        </w:tc>
      </w:tr>
      <w:tr>
        <w:trPr>
          <w:trHeight w:val="397" w:hRule="atLeast"/>
          <w:jc w:val="center"/>
        </w:trPr>
        <w:tc>
          <w:tcPr>
            <w:tcW w:w="1368"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jc w:val="center"/>
        </w:trPr>
        <w:tc>
          <w:tcPr>
            <w:tcW w:w="1368"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★贮存设施或者设备贮存医疗废物数量</w:t>
            </w:r>
          </w:p>
        </w:tc>
        <w:tc>
          <w:tcPr>
            <w:tcW w:w="5043" w:type="dxa"/>
            <w:vAlign w:val="center"/>
          </w:tcPr>
          <w:p>
            <w:pPr>
              <w:pStyle w:val="18"/>
              <w:shd w:val="clear" w:color="auto" w:fill="auto"/>
              <w:wordWrap/>
              <w:adjustRightInd/>
              <w:snapToGrid w:val="0"/>
              <w:spacing w:before="0" w:beforeAutospacing="0" w:after="0" w:afterAutospacing="0" w:line="320" w:lineRule="exact"/>
              <w:ind w:left="0" w:right="0" w:firstLine="42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贮存医疗废物1吨以下</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p>
        </w:tc>
        <w:tc>
          <w:tcPr>
            <w:tcW w:w="5043" w:type="dxa"/>
            <w:vAlign w:val="center"/>
          </w:tcPr>
          <w:p>
            <w:pPr>
              <w:pStyle w:val="18"/>
              <w:shd w:val="clear" w:color="auto" w:fill="auto"/>
              <w:wordWrap/>
              <w:adjustRightInd/>
              <w:snapToGrid w:val="0"/>
              <w:spacing w:before="0" w:beforeAutospacing="0" w:after="0" w:afterAutospacing="0" w:line="320" w:lineRule="exact"/>
              <w:ind w:left="0" w:right="0" w:firstLine="42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贮存医疗废物1吨以上3吨</w:t>
            </w:r>
            <w:r>
              <w:rPr>
                <w:rFonts w:hint="default" w:ascii="Times New Roman" w:hAnsi="Times New Roman" w:cs="Times New Roman"/>
                <w:color w:val="auto"/>
                <w:sz w:val="21"/>
                <w:szCs w:val="21"/>
                <w:shd w:val="clear" w:color="auto" w:fill="auto"/>
                <w:lang w:val="en-US"/>
              </w:rPr>
              <w:t>以下</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p>
        </w:tc>
        <w:tc>
          <w:tcPr>
            <w:tcW w:w="5043" w:type="dxa"/>
            <w:vAlign w:val="center"/>
          </w:tcPr>
          <w:p>
            <w:pPr>
              <w:pStyle w:val="18"/>
              <w:shd w:val="clear" w:color="auto" w:fill="auto"/>
              <w:wordWrap/>
              <w:adjustRightInd/>
              <w:snapToGrid w:val="0"/>
              <w:spacing w:before="0" w:beforeAutospacing="0" w:after="0" w:afterAutospacing="0" w:line="320" w:lineRule="exact"/>
              <w:ind w:left="0" w:right="0" w:firstLine="42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贮存医疗废物3吨以上</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43"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jc w:val="center"/>
        </w:trPr>
        <w:tc>
          <w:tcPr>
            <w:tcW w:w="1368"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p>
        </w:tc>
        <w:tc>
          <w:tcPr>
            <w:tcW w:w="5043"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jc w:val="center"/>
        </w:trPr>
        <w:tc>
          <w:tcPr>
            <w:tcW w:w="1368"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p>
        </w:tc>
        <w:tc>
          <w:tcPr>
            <w:tcW w:w="5043"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jc w:val="center"/>
        </w:trPr>
        <w:tc>
          <w:tcPr>
            <w:tcW w:w="1368"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p>
        </w:tc>
        <w:tc>
          <w:tcPr>
            <w:tcW w:w="5043"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jc w:val="center"/>
        </w:trPr>
        <w:tc>
          <w:tcPr>
            <w:tcW w:w="1368"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p>
        </w:tc>
        <w:tc>
          <w:tcPr>
            <w:tcW w:w="5043"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368"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043"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kern w:val="2"/>
                <w:sz w:val="21"/>
                <w:szCs w:val="21"/>
                <w:shd w:val="clear" w:color="auto" w:fill="auto"/>
                <w:lang/>
              </w:rPr>
            </w:pPr>
            <w:r>
              <w:rPr>
                <w:rFonts w:hint="eastAsia" w:ascii="Times New Roman" w:hAnsi="Times New Roman" w:cs="Times New Roman"/>
                <w:color w:val="auto"/>
                <w:kern w:val="2"/>
                <w:sz w:val="21"/>
                <w:szCs w:val="21"/>
                <w:shd w:val="clear" w:color="auto" w:fill="auto"/>
                <w:lang w:eastAsia="zh-CN"/>
              </w:rPr>
              <w:t>限期改正</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36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043"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p>
        </w:tc>
        <w:tc>
          <w:tcPr>
            <w:tcW w:w="5043"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3天以上7天以下</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p>
        </w:tc>
        <w:tc>
          <w:tcPr>
            <w:tcW w:w="5043"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7天以上</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68"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043"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6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wordWrap/>
              <w:adjustRightInd/>
              <w:snapToGrid w:val="0"/>
              <w:spacing w:before="0" w:beforeAutospacing="0" w:after="0" w:afterAutospacing="0" w:line="320" w:lineRule="exact"/>
              <w:ind w:left="0" w:right="0" w:firstLine="2090" w:firstLineChars="1100"/>
              <w:jc w:val="both"/>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jc w:val="center"/>
        </w:trPr>
        <w:tc>
          <w:tcPr>
            <w:tcW w:w="1368"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管理类别</w:t>
            </w:r>
          </w:p>
        </w:tc>
        <w:tc>
          <w:tcPr>
            <w:tcW w:w="5043" w:type="dxa"/>
            <w:vAlign w:val="center"/>
          </w:tcPr>
          <w:p>
            <w:pPr>
              <w:shd w:val="clear" w:color="auto" w:fill="auto"/>
              <w:wordWrap/>
              <w:adjustRightInd/>
              <w:snapToGrid w:val="0"/>
              <w:spacing w:before="0" w:beforeAutospacing="0" w:after="0" w:afterAutospacing="0" w:line="320" w:lineRule="exact"/>
              <w:ind w:left="0" w:right="0" w:firstLine="0" w:firstLineChars="0"/>
              <w:jc w:val="center"/>
              <w:textAlignment w:val="auto"/>
              <w:rPr>
                <w:rStyle w:val="14"/>
                <w:rFonts w:hint="default" w:ascii="Times New Roman" w:hAnsi="Times New Roman" w:eastAsia="宋体" w:cs="Times New Roman"/>
                <w:i w:val="0"/>
                <w:iCs w:val="0"/>
                <w:caps w:val="0"/>
                <w:color w:val="auto"/>
                <w:spacing w:val="0"/>
                <w:sz w:val="21"/>
                <w:szCs w:val="21"/>
                <w:shd w:val="clear" w:color="auto" w:fill="auto"/>
                <w:lang w:eastAsia="zh-CN"/>
              </w:rPr>
            </w:pPr>
            <w:r>
              <w:rPr>
                <w:rFonts w:hint="eastAsia" w:ascii="Times New Roman" w:hAnsi="Times New Roman" w:cs="Times New Roman"/>
                <w:color w:val="auto"/>
                <w:sz w:val="20"/>
                <w:szCs w:val="20"/>
                <w:shd w:val="clear" w:color="auto" w:fill="auto"/>
                <w:lang w:val="en-US" w:eastAsia="zh-CN"/>
              </w:rPr>
              <w:t>登记管理</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wordWrap/>
              <w:adjustRightInd/>
              <w:snapToGrid w:val="0"/>
              <w:spacing w:before="0" w:beforeAutospacing="0" w:after="0" w:afterAutospacing="0" w:line="320" w:lineRule="exact"/>
              <w:ind w:left="0" w:right="0"/>
              <w:jc w:val="center"/>
              <w:textAlignment w:val="auto"/>
              <w:rPr>
                <w:rStyle w:val="14"/>
                <w:rFonts w:hint="default" w:ascii="Times New Roman" w:hAnsi="Times New Roman" w:eastAsia="宋体" w:cs="Times New Roman"/>
                <w:i w:val="0"/>
                <w:iCs w:val="0"/>
                <w:caps w:val="0"/>
                <w:color w:val="auto"/>
                <w:spacing w:val="0"/>
                <w:sz w:val="21"/>
                <w:szCs w:val="21"/>
                <w:shd w:val="clear" w:color="auto" w:fill="auto"/>
                <w:lang w:eastAsia="zh-CN"/>
              </w:rPr>
            </w:pPr>
            <w:r>
              <w:rPr>
                <w:rFonts w:hint="default" w:ascii="Times New Roman" w:hAnsi="Times New Roman" w:cs="Times New Roman"/>
                <w:color w:val="auto"/>
                <w:sz w:val="20"/>
                <w:szCs w:val="20"/>
                <w:shd w:val="clear" w:color="auto" w:fill="auto"/>
                <w:lang w:val="en-US"/>
              </w:rPr>
              <w:t>简化管理</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2</w:t>
            </w:r>
          </w:p>
        </w:tc>
      </w:tr>
      <w:tr>
        <w:trPr>
          <w:trHeight w:val="397" w:hRule="atLeast"/>
          <w:jc w:val="center"/>
        </w:trPr>
        <w:tc>
          <w:tcPr>
            <w:tcW w:w="136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wordWrap/>
              <w:adjustRightInd/>
              <w:snapToGrid w:val="0"/>
              <w:spacing w:before="0" w:beforeAutospacing="0" w:after="0" w:afterAutospacing="0" w:line="320" w:lineRule="exact"/>
              <w:ind w:left="0" w:right="0" w:firstLine="0" w:firstLineChars="0"/>
              <w:jc w:val="center"/>
              <w:textAlignment w:val="auto"/>
              <w:rPr>
                <w:rStyle w:val="14"/>
                <w:rFonts w:hint="default" w:ascii="Times New Roman" w:hAnsi="Times New Roman" w:eastAsia="宋体" w:cs="Times New Roman"/>
                <w:i w:val="0"/>
                <w:iCs w:val="0"/>
                <w:caps w:val="0"/>
                <w:color w:val="auto"/>
                <w:spacing w:val="0"/>
                <w:sz w:val="21"/>
                <w:szCs w:val="21"/>
                <w:shd w:val="clear" w:color="auto" w:fill="auto"/>
                <w:lang w:eastAsia="zh-CN"/>
              </w:rPr>
            </w:pPr>
            <w:r>
              <w:rPr>
                <w:rFonts w:hint="default" w:ascii="Times New Roman" w:hAnsi="Times New Roman" w:cs="Times New Roman"/>
                <w:color w:val="auto"/>
                <w:sz w:val="20"/>
                <w:szCs w:val="20"/>
                <w:shd w:val="clear" w:color="auto" w:fill="auto"/>
                <w:lang w:val="en-US"/>
              </w:rPr>
              <w:t>重点管理</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5043"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1"/>
                <w:shd w:val="clear" w:color="auto" w:fill="auto"/>
              </w:rPr>
              <w:t>两年内受到同类处罚1次</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1"/>
                <w:shd w:val="clear" w:color="auto" w:fill="auto"/>
              </w:rPr>
              <w:t>两年内受到同类处罚2次以上</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08"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08"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08"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08"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08"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p>
      <w:pPr>
        <w:shd w:val="clear" w:color="auto" w:fill="auto"/>
        <w:snapToGrid w:val="0"/>
        <w:spacing w:line="20" w:lineRule="exact"/>
        <w:rPr>
          <w:rFonts w:ascii="Times New Roman" w:hAnsi="Times New Roman" w:cs="Times New Roman"/>
          <w:color w:val="auto"/>
          <w:sz w:val="10"/>
          <w:szCs w:val="10"/>
          <w:shd w:val="clear" w:color="auto" w:fill="auto"/>
        </w:rPr>
      </w:pP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5021"/>
        <w:gridCol w:w="2649"/>
      </w:tblGrid>
      <w:tr>
        <w:trPr>
          <w:trHeight w:val="425"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425"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70"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28" w:name="_Toc6919"/>
            <w:r>
              <w:rPr>
                <w:rFonts w:hint="default" w:ascii="Times New Roman" w:hAnsi="Times New Roman" w:cs="Times New Roman"/>
                <w:color w:val="auto"/>
                <w:sz w:val="20"/>
                <w:szCs w:val="20"/>
                <w:shd w:val="clear" w:color="auto" w:fill="auto"/>
              </w:rPr>
              <w:t>33</w:t>
            </w:r>
            <w:bookmarkEnd w:id="228"/>
          </w:p>
        </w:tc>
      </w:tr>
      <w:tr>
        <w:trPr>
          <w:trHeight w:val="425"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70" w:type="dxa"/>
            <w:gridSpan w:val="2"/>
            <w:vAlign w:val="top"/>
          </w:tcPr>
          <w:p>
            <w:pPr>
              <w:shd w:val="clear" w:color="auto" w:fill="auto"/>
              <w:snapToGrid w:val="0"/>
              <w:spacing w:before="0" w:beforeAutospacing="0" w:after="0" w:afterAutospacing="0" w:line="320" w:lineRule="exact"/>
              <w:ind w:left="0" w:right="0" w:firstLine="420" w:firstLineChars="200"/>
              <w:outlineLvl w:val="9"/>
              <w:rPr>
                <w:rFonts w:hint="default" w:ascii="Times New Roman" w:hAnsi="Times New Roman" w:cs="Times New Roman"/>
                <w:color w:val="auto"/>
                <w:sz w:val="20"/>
                <w:szCs w:val="20"/>
                <w:shd w:val="clear" w:color="auto" w:fill="auto"/>
              </w:rPr>
            </w:pPr>
            <w:bookmarkStart w:id="229" w:name="_Toc1727"/>
            <w:r>
              <w:rPr>
                <w:rFonts w:hint="default" w:ascii="Times New Roman" w:hAnsi="Times New Roman" w:cs="Times New Roman"/>
                <w:color w:val="auto"/>
                <w:sz w:val="20"/>
                <w:szCs w:val="20"/>
                <w:shd w:val="clear" w:color="auto" w:fill="auto"/>
              </w:rPr>
              <w:t>未使用符合标准的专用车辆运送医疗废物或者使用运送医疗废物的车辆运送其他物品的</w:t>
            </w:r>
            <w:bookmarkEnd w:id="229"/>
          </w:p>
        </w:tc>
      </w:tr>
      <w:tr>
        <w:trPr>
          <w:trHeight w:val="425"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70" w:type="dxa"/>
            <w:gridSpan w:val="2"/>
            <w:vAlign w:val="center"/>
          </w:tcPr>
          <w:p>
            <w:pPr>
              <w:pStyle w:val="19"/>
              <w:shd w:val="clear" w:color="auto" w:fill="auto"/>
              <w:snapToGrid w:val="0"/>
              <w:spacing w:before="0" w:beforeAutospacing="0" w:after="0" w:afterAutospacing="0" w:line="320" w:lineRule="exact"/>
              <w:ind w:left="0" w:right="0" w:firstLine="482"/>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《医疗废物管理条例》第二十六条 </w:t>
            </w:r>
            <w:r>
              <w:rPr>
                <w:rFonts w:hint="default" w:ascii="Times New Roman" w:hAnsi="Times New Roman" w:cs="Times New Roman"/>
                <w:b/>
                <w:bCs/>
                <w:color w:val="auto"/>
                <w:sz w:val="21"/>
                <w:szCs w:val="21"/>
                <w:shd w:val="clear" w:color="auto" w:fill="auto"/>
                <w:lang w:val="en-US"/>
              </w:rPr>
              <w:t>第一款</w:t>
            </w:r>
            <w:r>
              <w:rPr>
                <w:rFonts w:hint="default" w:ascii="Times New Roman" w:hAnsi="Times New Roman" w:cs="Times New Roman"/>
                <w:b/>
                <w:bCs/>
                <w:color w:val="auto"/>
                <w:sz w:val="21"/>
                <w:szCs w:val="21"/>
                <w:shd w:val="clear" w:color="auto" w:fill="auto"/>
                <w:lang/>
              </w:rPr>
              <w:t>、</w:t>
            </w:r>
            <w:r>
              <w:rPr>
                <w:rFonts w:hint="default" w:ascii="Times New Roman" w:hAnsi="Times New Roman" w:cs="Times New Roman"/>
                <w:b/>
                <w:bCs/>
                <w:color w:val="auto"/>
                <w:sz w:val="21"/>
                <w:szCs w:val="21"/>
                <w:shd w:val="clear" w:color="auto" w:fill="auto"/>
                <w:lang w:val="en-US"/>
              </w:rPr>
              <w:t>第三款</w:t>
            </w:r>
            <w:r>
              <w:rPr>
                <w:rFonts w:hint="default" w:ascii="Times New Roman" w:hAnsi="Times New Roman" w:cs="Times New Roman"/>
                <w:color w:val="auto"/>
                <w:sz w:val="21"/>
                <w:szCs w:val="21"/>
                <w:shd w:val="clear" w:color="auto" w:fill="auto"/>
              </w:rPr>
              <w:t>医疗废物集中处置单位运送医疗废物，应当遵守国家有关危险货物运输管理的规定，使用有明显医疗废物标识的专用车辆。医疗废物专用车辆应当达到防渗漏、防遗撒以及其他环境保护和卫生要求。</w:t>
            </w:r>
          </w:p>
          <w:p>
            <w:pPr>
              <w:pStyle w:val="19"/>
              <w:shd w:val="clear" w:color="auto" w:fill="auto"/>
              <w:snapToGrid w:val="0"/>
              <w:spacing w:before="0" w:beforeAutospacing="0" w:after="0" w:afterAutospacing="0" w:line="320" w:lineRule="exact"/>
              <w:ind w:left="0" w:right="0" w:firstLine="420" w:firstLineChars="20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运送医疗废物的专用车辆不得运送其他物品。</w:t>
            </w:r>
          </w:p>
        </w:tc>
      </w:tr>
      <w:tr>
        <w:trPr>
          <w:trHeight w:val="425"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70" w:type="dxa"/>
            <w:gridSpan w:val="2"/>
            <w:vAlign w:val="center"/>
          </w:tcPr>
          <w:p>
            <w:pPr>
              <w:pStyle w:val="19"/>
              <w:shd w:val="clear" w:color="auto" w:fill="auto"/>
              <w:snapToGrid w:val="0"/>
              <w:spacing w:before="0" w:beforeAutospacing="0" w:after="0" w:afterAutospacing="0" w:line="320" w:lineRule="exact"/>
              <w:ind w:left="0" w:right="0" w:firstLine="482"/>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《医疗废物管理条例》第四十六条第（三）项 </w:t>
            </w:r>
            <w:r>
              <w:rPr>
                <w:rFonts w:hint="default" w:ascii="Times New Roman" w:hAnsi="Times New Roman" w:cs="Times New Roman"/>
                <w:color w:val="auto"/>
                <w:sz w:val="21"/>
                <w:szCs w:val="21"/>
                <w:shd w:val="clear" w:color="auto" w:fill="auto"/>
              </w:rPr>
              <w:t>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w:t>
            </w:r>
          </w:p>
          <w:p>
            <w:pPr>
              <w:pStyle w:val="19"/>
              <w:shd w:val="clear" w:color="auto" w:fill="auto"/>
              <w:snapToGrid w:val="0"/>
              <w:spacing w:before="0" w:beforeAutospacing="0" w:after="0" w:afterAutospacing="0" w:line="320" w:lineRule="exact"/>
              <w:ind w:left="0" w:right="0" w:firstLine="48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（三）未使用符合标准的专用车辆运送医疗废物或者使用运送医疗废物的车辆运送其他物品的。</w:t>
            </w:r>
          </w:p>
        </w:tc>
      </w:tr>
      <w:tr>
        <w:trPr>
          <w:trHeight w:val="425"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专用车辆达到防渗漏、防遗撒以及其他环境保护和卫生要求，但未有明显医疗废物标识的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专用车辆运送其他物品的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专用车辆未达到防渗漏、防遗撒以及其他环境保护和卫生要求的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运送</w:t>
            </w:r>
            <w:r>
              <w:rPr>
                <w:rFonts w:hint="default" w:ascii="Times New Roman" w:hAnsi="Times New Roman" w:cs="Times New Roman"/>
                <w:b/>
                <w:bCs/>
                <w:color w:val="auto"/>
                <w:sz w:val="20"/>
                <w:szCs w:val="20"/>
                <w:shd w:val="clear" w:color="auto" w:fill="auto"/>
              </w:rPr>
              <w:t>医疗废物或者其他物品数量</w:t>
            </w:r>
          </w:p>
        </w:tc>
        <w:tc>
          <w:tcPr>
            <w:tcW w:w="5021" w:type="dxa"/>
            <w:vAlign w:val="center"/>
          </w:tcPr>
          <w:p>
            <w:pPr>
              <w:pStyle w:val="18"/>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1吨以下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1吨以上3吨</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3吨以上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90"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021"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lang/>
              </w:rPr>
            </w:pPr>
            <w:r>
              <w:rPr>
                <w:rFonts w:hint="eastAsia" w:ascii="Times New Roman" w:hAnsi="Times New Roman" w:cs="Times New Roman"/>
                <w:color w:val="auto"/>
                <w:kern w:val="2"/>
                <w:sz w:val="21"/>
                <w:szCs w:val="21"/>
                <w:shd w:val="clear" w:color="auto" w:fill="auto"/>
                <w:lang w:eastAsia="zh-CN"/>
              </w:rPr>
              <w:t>限期改正</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390"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3天以上7天以下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425" w:hRule="atLeast"/>
        </w:trPr>
        <w:tc>
          <w:tcPr>
            <w:tcW w:w="1390"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7天以上</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425"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eastAsia="zh-CN" w:bidi="ar-SA"/>
              </w:rPr>
              <w:t>4</w:t>
            </w:r>
          </w:p>
        </w:tc>
      </w:tr>
      <w:tr>
        <w:trPr>
          <w:trHeight w:val="425"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90"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trPr>
        <w:tc>
          <w:tcPr>
            <w:tcW w:w="1390"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eastAsia"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r>
              <w:rPr>
                <w:rFonts w:hint="default" w:ascii="Times New Roman" w:hAnsi="Times New Roman" w:eastAsia="宋体" w:cs="Times New Roman"/>
                <w:color w:val="auto"/>
                <w:kern w:val="2"/>
                <w:sz w:val="21"/>
                <w:szCs w:val="21"/>
                <w:shd w:val="clear" w:color="auto" w:fill="auto"/>
                <w:lang w:val="en-US"/>
              </w:rPr>
              <w:t>次</w:t>
            </w:r>
            <w:r>
              <w:rPr>
                <w:rFonts w:hint="eastAsia" w:ascii="Times New Roman" w:hAnsi="Times New Roman" w:cs="Times New Roman"/>
                <w:color w:val="auto"/>
                <w:kern w:val="2"/>
                <w:sz w:val="21"/>
                <w:szCs w:val="21"/>
                <w:shd w:val="clear" w:color="auto" w:fill="auto"/>
                <w:lang w:val="en-US" w:eastAsia="zh-CN"/>
              </w:rPr>
              <w:t>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p>
        </w:tc>
      </w:tr>
      <w:tr>
        <w:trPr>
          <w:trHeight w:val="425"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1"/>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1"/>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70"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spacing w:line="20" w:lineRule="exact"/>
        <w:rPr>
          <w:rFonts w:hint="default" w:ascii="Times New Roman" w:hAnsi="Times New Roman" w:cs="Times New Roman"/>
          <w:color w:val="auto"/>
          <w:sz w:val="10"/>
          <w:szCs w:val="10"/>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5021"/>
        <w:gridCol w:w="2649"/>
      </w:tblGrid>
      <w:tr>
        <w:trPr>
          <w:trHeight w:val="397"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97"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70"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34</w:t>
            </w:r>
          </w:p>
        </w:tc>
      </w:tr>
      <w:tr>
        <w:trPr>
          <w:trHeight w:val="397"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70" w:type="dxa"/>
            <w:gridSpan w:val="2"/>
            <w:vAlign w:val="center"/>
          </w:tcPr>
          <w:p>
            <w:pPr>
              <w:shd w:val="clear" w:color="auto" w:fill="auto"/>
              <w:snapToGrid w:val="0"/>
              <w:spacing w:before="0" w:beforeAutospacing="0" w:after="0" w:afterAutospacing="0" w:line="320" w:lineRule="exact"/>
              <w:ind w:left="0" w:right="0" w:firstLine="420" w:firstLineChars="20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未安装污染物排放在线监控装置或者监控装置未经常处于正常运行状态的</w:t>
            </w:r>
          </w:p>
        </w:tc>
      </w:tr>
      <w:tr>
        <w:trPr>
          <w:trHeight w:val="730"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70" w:type="dxa"/>
            <w:gridSpan w:val="2"/>
            <w:vAlign w:val="center"/>
          </w:tcPr>
          <w:p>
            <w:pPr>
              <w:pStyle w:val="19"/>
              <w:shd w:val="clear" w:color="auto" w:fill="auto"/>
              <w:snapToGrid w:val="0"/>
              <w:spacing w:before="0" w:beforeAutospacing="0" w:after="0" w:afterAutospacing="0" w:line="320" w:lineRule="exact"/>
              <w:ind w:left="0" w:right="0" w:firstLine="422" w:firstLineChars="20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《医疗废物管理条例》第二十八条 </w:t>
            </w:r>
            <w:r>
              <w:rPr>
                <w:rFonts w:hint="default" w:ascii="Times New Roman" w:hAnsi="Times New Roman" w:cs="Times New Roman"/>
                <w:color w:val="auto"/>
                <w:sz w:val="21"/>
                <w:szCs w:val="21"/>
                <w:shd w:val="clear" w:color="auto" w:fill="auto"/>
              </w:rPr>
              <w:t>医疗废物集中处置单位应当安装污染物排放在线监控装置，并确保监控装置经常处于正常运行状态。</w:t>
            </w:r>
          </w:p>
        </w:tc>
      </w:tr>
      <w:tr>
        <w:trPr>
          <w:trHeight w:val="397"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70" w:type="dxa"/>
            <w:gridSpan w:val="2"/>
            <w:vAlign w:val="center"/>
          </w:tcPr>
          <w:p>
            <w:pPr>
              <w:pStyle w:val="19"/>
              <w:shd w:val="clear" w:color="auto" w:fill="auto"/>
              <w:snapToGrid w:val="0"/>
              <w:spacing w:before="0" w:beforeAutospacing="0" w:after="0" w:afterAutospacing="0" w:line="320" w:lineRule="exact"/>
              <w:ind w:left="0" w:right="0" w:firstLine="482"/>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《医疗废物管理条例》第四十六条第（四）项 </w:t>
            </w:r>
            <w:r>
              <w:rPr>
                <w:rFonts w:hint="default" w:ascii="Times New Roman" w:hAnsi="Times New Roman" w:cs="Times New Roman"/>
                <w:color w:val="auto"/>
                <w:sz w:val="21"/>
                <w:szCs w:val="21"/>
                <w:shd w:val="clear" w:color="auto" w:fill="auto"/>
              </w:rPr>
              <w:t>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w:t>
            </w:r>
          </w:p>
          <w:p>
            <w:pPr>
              <w:pStyle w:val="19"/>
              <w:shd w:val="clear" w:color="auto" w:fill="auto"/>
              <w:snapToGrid w:val="0"/>
              <w:spacing w:before="0" w:beforeAutospacing="0" w:after="0" w:afterAutospacing="0" w:line="320" w:lineRule="exact"/>
              <w:ind w:left="0" w:right="0" w:firstLine="48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（四）未安装污染物排放在线监控装置或者监控装置未经常处于正常运行状态的。</w:t>
            </w:r>
          </w:p>
        </w:tc>
      </w:tr>
      <w:tr>
        <w:trPr>
          <w:trHeight w:val="397"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21" w:type="dxa"/>
            <w:vAlign w:val="center"/>
          </w:tcPr>
          <w:p>
            <w:pPr>
              <w:pStyle w:val="18"/>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监控装置由于突发情况未处于正常运行状态</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监控装置经常未处于正常运行状态</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未安装污染物排放在线监控装置</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trPr>
        <w:tc>
          <w:tcPr>
            <w:tcW w:w="1390"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trPr>
        <w:tc>
          <w:tcPr>
            <w:tcW w:w="1390"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eastAsia"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rPr>
              <w:t>5</w:t>
            </w:r>
            <w:r>
              <w:rPr>
                <w:rFonts w:hint="default" w:ascii="Times New Roman" w:hAnsi="Times New Roman" w:eastAsia="宋体" w:cs="Times New Roman"/>
                <w:color w:val="auto"/>
                <w:kern w:val="2"/>
                <w:sz w:val="21"/>
                <w:szCs w:val="21"/>
                <w:shd w:val="clear" w:color="auto" w:fill="auto"/>
                <w:lang w:val="en-US"/>
              </w:rPr>
              <w:t>次</w:t>
            </w:r>
            <w:r>
              <w:rPr>
                <w:rFonts w:hint="eastAsia" w:ascii="Times New Roman" w:hAnsi="Times New Roman" w:cs="Times New Roman"/>
                <w:color w:val="auto"/>
                <w:kern w:val="2"/>
                <w:sz w:val="21"/>
                <w:szCs w:val="21"/>
                <w:shd w:val="clear" w:color="auto" w:fill="auto"/>
                <w:lang w:val="en-US" w:eastAsia="zh-CN"/>
              </w:rPr>
              <w:t>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p>
        </w:tc>
      </w:tr>
      <w:tr>
        <w:trPr>
          <w:trHeight w:val="425"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w:t>
            </w:r>
            <w:r>
              <w:rPr>
                <w:rFonts w:hint="default" w:ascii="Times New Roman" w:hAnsi="Times New Roman" w:cs="Times New Roman"/>
                <w:b/>
                <w:bCs/>
                <w:color w:val="auto"/>
                <w:sz w:val="20"/>
                <w:szCs w:val="20"/>
                <w:shd w:val="clear" w:color="auto" w:fill="auto"/>
                <w:lang w:val="en-US"/>
              </w:rPr>
              <w:t>规模</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eastAsia="zh-CN" w:bidi="ar-SA"/>
              </w:rPr>
              <w:t>4</w:t>
            </w:r>
          </w:p>
        </w:tc>
      </w:tr>
      <w:tr>
        <w:trPr>
          <w:trHeight w:val="425"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90"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021"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lang/>
              </w:rPr>
            </w:pPr>
            <w:r>
              <w:rPr>
                <w:rFonts w:hint="eastAsia" w:ascii="Times New Roman" w:hAnsi="Times New Roman" w:cs="Times New Roman"/>
                <w:color w:val="auto"/>
                <w:kern w:val="2"/>
                <w:sz w:val="21"/>
                <w:szCs w:val="21"/>
                <w:shd w:val="clear" w:color="auto" w:fill="auto"/>
                <w:lang w:eastAsia="zh-CN"/>
              </w:rPr>
              <w:t>限期改正</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390"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3天以上7天以下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425" w:hRule="atLeast"/>
        </w:trPr>
        <w:tc>
          <w:tcPr>
            <w:tcW w:w="1390"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7天以上</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425"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70"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z w:val="10"/>
          <w:szCs w:val="10"/>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5021"/>
        <w:gridCol w:w="2649"/>
      </w:tblGrid>
      <w:tr>
        <w:trPr>
          <w:trHeight w:val="425"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425"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70"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30" w:name="_Toc20261"/>
            <w:r>
              <w:rPr>
                <w:rFonts w:hint="default" w:ascii="Times New Roman" w:hAnsi="Times New Roman" w:cs="Times New Roman"/>
                <w:color w:val="auto"/>
                <w:sz w:val="20"/>
                <w:szCs w:val="20"/>
                <w:shd w:val="clear" w:color="auto" w:fill="auto"/>
              </w:rPr>
              <w:t>35</w:t>
            </w:r>
            <w:bookmarkEnd w:id="230"/>
          </w:p>
        </w:tc>
      </w:tr>
      <w:tr>
        <w:trPr>
          <w:trHeight w:val="425"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70" w:type="dxa"/>
            <w:gridSpan w:val="2"/>
            <w:vAlign w:val="top"/>
          </w:tcPr>
          <w:p>
            <w:pPr>
              <w:shd w:val="clear" w:color="auto" w:fill="auto"/>
              <w:snapToGrid w:val="0"/>
              <w:spacing w:before="0" w:beforeAutospacing="0" w:after="0" w:afterAutospacing="0" w:line="320" w:lineRule="exact"/>
              <w:ind w:left="0" w:right="0" w:firstLine="420" w:firstLineChars="200"/>
              <w:outlineLvl w:val="9"/>
              <w:rPr>
                <w:rFonts w:hint="default" w:ascii="Times New Roman" w:hAnsi="Times New Roman" w:cs="Times New Roman"/>
                <w:color w:val="auto"/>
                <w:sz w:val="20"/>
                <w:szCs w:val="20"/>
                <w:shd w:val="clear" w:color="auto" w:fill="auto"/>
              </w:rPr>
            </w:pPr>
            <w:bookmarkStart w:id="231" w:name="_Toc9117"/>
            <w:r>
              <w:rPr>
                <w:rFonts w:hint="default" w:ascii="Times New Roman" w:hAnsi="Times New Roman" w:cs="Times New Roman"/>
                <w:color w:val="auto"/>
                <w:sz w:val="20"/>
                <w:szCs w:val="20"/>
                <w:shd w:val="clear" w:color="auto" w:fill="auto"/>
              </w:rPr>
              <w:t>在运送过程中丢弃医疗废物，在非贮存地点倾倒、堆放医疗废物或者将医疗废物混入其他废物和生活垃圾的</w:t>
            </w:r>
            <w:bookmarkEnd w:id="231"/>
          </w:p>
        </w:tc>
      </w:tr>
      <w:tr>
        <w:trPr>
          <w:trHeight w:val="425"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70" w:type="dxa"/>
            <w:gridSpan w:val="2"/>
            <w:vAlign w:val="center"/>
          </w:tcPr>
          <w:p>
            <w:pPr>
              <w:pStyle w:val="19"/>
              <w:shd w:val="clear" w:color="auto" w:fill="auto"/>
              <w:snapToGrid w:val="0"/>
              <w:spacing w:before="0" w:beforeAutospacing="0" w:after="0" w:afterAutospacing="0" w:line="320" w:lineRule="exact"/>
              <w:ind w:left="0" w:right="0" w:firstLine="422" w:firstLineChars="20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《医疗废物管理条例》第十四条第二款 </w:t>
            </w:r>
            <w:r>
              <w:rPr>
                <w:rFonts w:hint="default" w:ascii="Times New Roman" w:hAnsi="Times New Roman" w:cs="Times New Roman"/>
                <w:color w:val="auto"/>
                <w:sz w:val="21"/>
                <w:szCs w:val="21"/>
                <w:shd w:val="clear" w:color="auto" w:fill="auto"/>
              </w:rPr>
              <w:t>禁止在运送过程中丢弃医疗废物；禁止在非贮存地点倾倒、堆放医疗废物或者将医疗废物混入其他废物和生活垃圾。</w:t>
            </w:r>
          </w:p>
        </w:tc>
      </w:tr>
      <w:tr>
        <w:trPr>
          <w:trHeight w:val="425"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70" w:type="dxa"/>
            <w:gridSpan w:val="2"/>
            <w:vAlign w:val="center"/>
          </w:tcPr>
          <w:p>
            <w:pPr>
              <w:pStyle w:val="19"/>
              <w:shd w:val="clear" w:color="auto" w:fill="auto"/>
              <w:snapToGrid w:val="0"/>
              <w:spacing w:before="0" w:beforeAutospacing="0" w:after="0" w:afterAutospacing="0" w:line="320" w:lineRule="exact"/>
              <w:ind w:left="0" w:right="0" w:firstLine="482"/>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《医疗废物管理条例》第四十七条第（一）项 </w:t>
            </w:r>
            <w:r>
              <w:rPr>
                <w:rFonts w:hint="default" w:ascii="Times New Roman" w:hAnsi="Times New Roman" w:cs="Times New Roman"/>
                <w:color w:val="auto"/>
                <w:sz w:val="21"/>
                <w:szCs w:val="21"/>
                <w:shd w:val="clear" w:color="auto" w:fill="auto"/>
              </w:rPr>
              <w:t>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pStyle w:val="19"/>
              <w:shd w:val="clear" w:color="auto" w:fill="auto"/>
              <w:snapToGrid w:val="0"/>
              <w:spacing w:before="0" w:beforeAutospacing="0" w:after="0" w:afterAutospacing="0" w:line="320" w:lineRule="exact"/>
              <w:ind w:left="0" w:right="0" w:firstLine="48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（一）在运送过程中丢弃医疗废物，在非贮存地点倾倒、堆放医疗废物或者将医疗废物混入其他废物和生活垃圾的。</w:t>
            </w:r>
          </w:p>
        </w:tc>
      </w:tr>
      <w:tr>
        <w:trPr>
          <w:trHeight w:val="425"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★涉及医疗废物数量</w:t>
            </w:r>
          </w:p>
        </w:tc>
        <w:tc>
          <w:tcPr>
            <w:tcW w:w="5021" w:type="dxa"/>
            <w:vAlign w:val="center"/>
          </w:tcPr>
          <w:p>
            <w:pPr>
              <w:pStyle w:val="18"/>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1吨以下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1吨以上3吨</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3吨以上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90"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021"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lang/>
              </w:rPr>
            </w:pPr>
            <w:r>
              <w:rPr>
                <w:rFonts w:hint="eastAsia" w:ascii="Times New Roman" w:hAnsi="Times New Roman" w:cs="Times New Roman"/>
                <w:color w:val="auto"/>
                <w:kern w:val="2"/>
                <w:sz w:val="21"/>
                <w:szCs w:val="21"/>
                <w:shd w:val="clear" w:color="auto" w:fill="auto"/>
                <w:lang w:eastAsia="zh-CN"/>
              </w:rPr>
              <w:t>限期改正</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390"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3天以上7天以下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425" w:hRule="atLeast"/>
        </w:trPr>
        <w:tc>
          <w:tcPr>
            <w:tcW w:w="1390"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7天以上</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425"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w:t>
            </w:r>
            <w:r>
              <w:rPr>
                <w:rFonts w:hint="default" w:ascii="Times New Roman" w:hAnsi="Times New Roman" w:cs="Times New Roman"/>
                <w:b/>
                <w:bCs/>
                <w:color w:val="auto"/>
                <w:sz w:val="20"/>
                <w:szCs w:val="20"/>
                <w:shd w:val="clear" w:color="auto" w:fill="auto"/>
                <w:lang w:val="en-US"/>
              </w:rPr>
              <w:t>规模</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firstLine="2090" w:firstLineChars="1100"/>
              <w:jc w:val="both"/>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eastAsia="zh-CN" w:bidi="ar-SA"/>
              </w:rPr>
              <w:t>4</w:t>
            </w:r>
          </w:p>
        </w:tc>
      </w:tr>
      <w:tr>
        <w:trPr>
          <w:trHeight w:val="425"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90"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eastAsia"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r>
              <w:rPr>
                <w:rFonts w:hint="default" w:ascii="Times New Roman" w:hAnsi="Times New Roman" w:eastAsia="宋体" w:cs="Times New Roman"/>
                <w:color w:val="auto"/>
                <w:kern w:val="2"/>
                <w:sz w:val="21"/>
                <w:szCs w:val="21"/>
                <w:shd w:val="clear" w:color="auto" w:fill="auto"/>
                <w:lang w:val="en-US"/>
              </w:rPr>
              <w:t>次</w:t>
            </w:r>
            <w:r>
              <w:rPr>
                <w:rFonts w:hint="eastAsia" w:ascii="Times New Roman" w:hAnsi="Times New Roman" w:cs="Times New Roman"/>
                <w:color w:val="auto"/>
                <w:kern w:val="2"/>
                <w:sz w:val="21"/>
                <w:szCs w:val="21"/>
                <w:shd w:val="clear" w:color="auto" w:fill="auto"/>
                <w:lang w:val="en-US" w:eastAsia="zh-CN"/>
              </w:rPr>
              <w:t>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p>
        </w:tc>
      </w:tr>
      <w:tr>
        <w:trPr>
          <w:trHeight w:val="425"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1"/>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1"/>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70"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spacing w:line="288" w:lineRule="auto"/>
        <w:rPr>
          <w:rFonts w:hint="default" w:ascii="Times New Roman" w:hAnsi="Times New Roman" w:cs="Times New Roman"/>
          <w:color w:val="auto"/>
          <w:shd w:val="clear" w:color="auto" w:fill="auto"/>
        </w:rPr>
      </w:pPr>
    </w:p>
    <w:p>
      <w:pPr>
        <w:shd w:val="clear" w:color="auto" w:fill="auto"/>
        <w:snapToGrid w:val="0"/>
        <w:spacing w:line="288" w:lineRule="auto"/>
        <w:rPr>
          <w:rFonts w:hint="default" w:ascii="Times New Roman" w:hAnsi="Times New Roman" w:cs="Times New Roman"/>
          <w:color w:val="auto"/>
          <w:shd w:val="clear" w:color="auto" w:fill="auto"/>
        </w:rPr>
      </w:pPr>
    </w:p>
    <w:p>
      <w:pPr>
        <w:shd w:val="clear" w:color="auto" w:fill="auto"/>
        <w:snapToGrid w:val="0"/>
        <w:spacing w:line="288" w:lineRule="auto"/>
        <w:rPr>
          <w:rFonts w:hint="default" w:ascii="Times New Roman" w:hAnsi="Times New Roman" w:cs="Times New Roman"/>
          <w:color w:val="auto"/>
          <w:shd w:val="clear" w:color="auto" w:fill="auto"/>
        </w:rPr>
      </w:pPr>
    </w:p>
    <w:p>
      <w:pPr>
        <w:shd w:val="clear" w:color="auto" w:fill="auto"/>
        <w:snapToGrid w:val="0"/>
        <w:spacing w:line="288" w:lineRule="auto"/>
        <w:rPr>
          <w:rFonts w:hint="default" w:ascii="Times New Roman" w:hAnsi="Times New Roman" w:cs="Times New Roman"/>
          <w:color w:val="auto"/>
          <w:shd w:val="clear" w:color="auto" w:fill="auto"/>
        </w:rPr>
      </w:pPr>
    </w:p>
    <w:p>
      <w:pPr>
        <w:shd w:val="clear" w:color="auto" w:fill="auto"/>
        <w:snapToGrid w:val="0"/>
        <w:spacing w:line="288" w:lineRule="auto"/>
        <w:rPr>
          <w:rFonts w:hint="default" w:ascii="Times New Roman" w:hAnsi="Times New Roman" w:cs="Times New Roman"/>
          <w:color w:val="auto"/>
          <w:shd w:val="clear" w:color="auto" w:fill="auto"/>
        </w:rPr>
      </w:pPr>
    </w:p>
    <w:p>
      <w:pPr>
        <w:shd w:val="clear" w:color="auto" w:fill="auto"/>
        <w:snapToGrid w:val="0"/>
        <w:spacing w:line="288" w:lineRule="auto"/>
        <w:rPr>
          <w:rFonts w:hint="default" w:ascii="Times New Roman" w:hAnsi="Times New Roman" w:cs="Times New Roman"/>
          <w:color w:val="auto"/>
          <w:shd w:val="clear" w:color="auto" w:fill="auto"/>
        </w:rPr>
      </w:pPr>
    </w:p>
    <w:p>
      <w:pPr>
        <w:shd w:val="clear" w:color="auto" w:fill="auto"/>
        <w:snapToGrid w:val="0"/>
        <w:spacing w:line="288" w:lineRule="auto"/>
        <w:rPr>
          <w:rFonts w:hint="default" w:ascii="Times New Roman" w:hAnsi="Times New Roman" w:cs="Times New Roman"/>
          <w:color w:val="auto"/>
          <w:sz w:val="10"/>
          <w:szCs w:val="10"/>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5021"/>
        <w:gridCol w:w="2649"/>
      </w:tblGrid>
      <w:tr>
        <w:trPr>
          <w:trHeight w:val="425"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425"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rPr>
              <w:t>序号</w:t>
            </w:r>
          </w:p>
        </w:tc>
        <w:tc>
          <w:tcPr>
            <w:tcW w:w="7670"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36</w:t>
            </w:r>
          </w:p>
        </w:tc>
      </w:tr>
      <w:tr>
        <w:trPr>
          <w:trHeight w:val="425"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70" w:type="dxa"/>
            <w:gridSpan w:val="2"/>
            <w:vAlign w:val="center"/>
          </w:tcPr>
          <w:p>
            <w:pPr>
              <w:shd w:val="clear" w:color="auto" w:fill="auto"/>
              <w:snapToGrid w:val="0"/>
              <w:spacing w:before="0" w:beforeAutospacing="0" w:after="0" w:afterAutospacing="0" w:line="320" w:lineRule="exact"/>
              <w:ind w:left="0" w:right="0" w:firstLine="420" w:firstLineChars="200"/>
              <w:jc w:val="center"/>
              <w:outlineLvl w:val="9"/>
              <w:rPr>
                <w:rFonts w:hint="default" w:ascii="Times New Roman" w:hAnsi="Times New Roman" w:cs="Times New Roman"/>
                <w:color w:val="auto"/>
                <w:sz w:val="20"/>
                <w:szCs w:val="20"/>
                <w:shd w:val="clear" w:color="auto" w:fill="auto"/>
              </w:rPr>
            </w:pPr>
            <w:bookmarkStart w:id="232" w:name="_Toc19987"/>
            <w:r>
              <w:rPr>
                <w:rFonts w:hint="default" w:ascii="Times New Roman" w:hAnsi="Times New Roman" w:cs="Times New Roman"/>
                <w:color w:val="auto"/>
                <w:sz w:val="20"/>
                <w:szCs w:val="20"/>
                <w:shd w:val="clear" w:color="auto" w:fill="auto"/>
              </w:rPr>
              <w:t>未执行危险废物转移联单管理制度的</w:t>
            </w:r>
            <w:bookmarkEnd w:id="232"/>
          </w:p>
        </w:tc>
      </w:tr>
      <w:tr>
        <w:trPr>
          <w:trHeight w:val="425"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70" w:type="dxa"/>
            <w:gridSpan w:val="2"/>
            <w:vAlign w:val="top"/>
          </w:tcPr>
          <w:p>
            <w:pPr>
              <w:pStyle w:val="19"/>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《医疗废物管理条例》第十一条 </w:t>
            </w:r>
            <w:r>
              <w:rPr>
                <w:rFonts w:hint="default" w:ascii="Times New Roman" w:hAnsi="Times New Roman" w:cs="Times New Roman"/>
                <w:color w:val="auto"/>
                <w:sz w:val="21"/>
                <w:szCs w:val="21"/>
                <w:shd w:val="clear" w:color="auto" w:fill="auto"/>
              </w:rPr>
              <w:t>医疗卫生机构和医疗废物集中处置单位，应当依照《中华人民共和国固体废物污染环境防治法》的规定，执行危险废物转移联单管理制度。</w:t>
            </w:r>
          </w:p>
        </w:tc>
      </w:tr>
      <w:tr>
        <w:trPr>
          <w:trHeight w:val="425"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70" w:type="dxa"/>
            <w:gridSpan w:val="2"/>
            <w:vAlign w:val="top"/>
          </w:tcPr>
          <w:p>
            <w:pPr>
              <w:pStyle w:val="19"/>
              <w:shd w:val="clear" w:color="auto" w:fill="auto"/>
              <w:snapToGrid w:val="0"/>
              <w:spacing w:before="0" w:beforeAutospacing="0" w:after="0" w:afterAutospacing="0" w:line="320" w:lineRule="exact"/>
              <w:ind w:left="0" w:right="0" w:firstLine="482"/>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《医疗废物管理条例》第四十七条第（二）项 </w:t>
            </w:r>
            <w:r>
              <w:rPr>
                <w:rFonts w:hint="default" w:ascii="Times New Roman" w:hAnsi="Times New Roman" w:cs="Times New Roman"/>
                <w:color w:val="auto"/>
                <w:sz w:val="21"/>
                <w:szCs w:val="21"/>
                <w:shd w:val="clear" w:color="auto" w:fill="auto"/>
              </w:rPr>
              <w:t>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pStyle w:val="19"/>
              <w:shd w:val="clear" w:color="auto" w:fill="auto"/>
              <w:snapToGrid w:val="0"/>
              <w:spacing w:before="0" w:beforeAutospacing="0" w:after="0" w:afterAutospacing="0" w:line="320" w:lineRule="exact"/>
              <w:ind w:left="0" w:right="0" w:firstLine="48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（二）未执行危险废物转移联单管理制度的。</w:t>
            </w:r>
          </w:p>
        </w:tc>
      </w:tr>
      <w:tr>
        <w:trPr>
          <w:trHeight w:val="425"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★处置医疗危险废物</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数量</w:t>
            </w:r>
          </w:p>
        </w:tc>
        <w:tc>
          <w:tcPr>
            <w:tcW w:w="5021"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0.3吨以下</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0.3吨以上0.5吨</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0.5吨以上1吨</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1吨以上2吨</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2吨以上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90"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trPr>
        <w:tc>
          <w:tcPr>
            <w:tcW w:w="1390"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color w:val="auto"/>
                <w:sz w:val="21"/>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color w:val="auto"/>
                <w:sz w:val="21"/>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2次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color w:val="auto"/>
                <w:sz w:val="21"/>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color w:val="auto"/>
                <w:sz w:val="21"/>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4次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color w:val="auto"/>
                <w:sz w:val="21"/>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eastAsia" w:ascii="Times New Roman" w:hAnsi="Times New Roman" w:eastAsia="宋体" w:cs="Times New Roman"/>
                <w:color w:val="auto"/>
                <w:kern w:val="0"/>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eastAsia="zh-CN"/>
              </w:rPr>
              <w:t>5</w:t>
            </w:r>
            <w:r>
              <w:rPr>
                <w:rFonts w:hint="default" w:ascii="Times New Roman" w:hAnsi="Times New Roman" w:eastAsia="宋体" w:cs="Times New Roman"/>
                <w:color w:val="auto"/>
                <w:kern w:val="2"/>
                <w:sz w:val="21"/>
                <w:szCs w:val="21"/>
                <w:shd w:val="clear" w:color="auto" w:fill="auto"/>
                <w:lang w:val="en-US"/>
              </w:rPr>
              <w:t>次</w:t>
            </w:r>
            <w:r>
              <w:rPr>
                <w:rFonts w:hint="eastAsia" w:ascii="Times New Roman" w:hAnsi="Times New Roman" w:cs="Times New Roman"/>
                <w:color w:val="auto"/>
                <w:kern w:val="2"/>
                <w:sz w:val="21"/>
                <w:szCs w:val="21"/>
                <w:shd w:val="clear" w:color="auto" w:fill="auto"/>
                <w:lang w:val="en-US" w:eastAsia="zh-CN"/>
              </w:rPr>
              <w:t>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eastAsia="zh-CN"/>
              </w:rPr>
              <w:t>5</w:t>
            </w:r>
          </w:p>
        </w:tc>
      </w:tr>
      <w:tr>
        <w:trPr>
          <w:trHeight w:val="425" w:hRule="atLeast"/>
        </w:trPr>
        <w:tc>
          <w:tcPr>
            <w:tcW w:w="1390"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021"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lang/>
              </w:rPr>
            </w:pPr>
            <w:r>
              <w:rPr>
                <w:rFonts w:hint="eastAsia" w:ascii="Times New Roman" w:hAnsi="Times New Roman" w:cs="Times New Roman"/>
                <w:color w:val="auto"/>
                <w:kern w:val="2"/>
                <w:sz w:val="21"/>
                <w:szCs w:val="21"/>
                <w:shd w:val="clear" w:color="auto" w:fill="auto"/>
                <w:lang w:eastAsia="zh-CN"/>
              </w:rPr>
              <w:t>限期改正</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390"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3天以上7天以下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425" w:hRule="atLeast"/>
        </w:trPr>
        <w:tc>
          <w:tcPr>
            <w:tcW w:w="1390"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7天以上</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425"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w:t>
            </w:r>
            <w:r>
              <w:rPr>
                <w:rFonts w:hint="default" w:ascii="Times New Roman" w:hAnsi="Times New Roman" w:cs="Times New Roman"/>
                <w:b/>
                <w:bCs/>
                <w:color w:val="auto"/>
                <w:sz w:val="20"/>
                <w:szCs w:val="20"/>
                <w:shd w:val="clear" w:color="auto" w:fill="auto"/>
                <w:lang w:val="en-US"/>
              </w:rPr>
              <w:t>规模</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firstLine="1890" w:firstLineChars="900"/>
              <w:jc w:val="both"/>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firstLine="1260" w:firstLineChars="600"/>
              <w:jc w:val="both"/>
              <w:rPr>
                <w:rFonts w:hint="default" w:ascii="Times New Roman" w:hAnsi="Times New Roman" w:cs="Times New Roman"/>
                <w:color w:val="auto"/>
                <w:sz w:val="21"/>
                <w:szCs w:val="21"/>
                <w:shd w:val="clear" w:color="auto" w:fill="auto"/>
                <w:lang w:eastAsia="zh-CN"/>
              </w:rPr>
            </w:pPr>
            <w:r>
              <w:rPr>
                <w:rFonts w:hint="default" w:ascii="Times New Roman" w:hAnsi="Times New Roman" w:cs="Times New Roman"/>
                <w:color w:val="auto"/>
                <w:sz w:val="21"/>
                <w:szCs w:val="21"/>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1"/>
                <w:szCs w:val="21"/>
                <w:shd w:val="clear" w:color="auto" w:fill="auto"/>
                <w:lang w:eastAsia="zh-CN"/>
              </w:rPr>
            </w:pPr>
            <w:r>
              <w:rPr>
                <w:rFonts w:hint="default" w:ascii="Times New Roman" w:hAnsi="Times New Roman" w:cs="Times New Roman"/>
                <w:color w:val="auto"/>
                <w:sz w:val="21"/>
                <w:szCs w:val="21"/>
                <w:shd w:val="clear" w:color="auto" w:fill="auto"/>
                <w:lang w:val="en-US" w:eastAsia="zh-CN"/>
              </w:rPr>
              <w:t xml:space="preserve"> </w:t>
            </w:r>
            <w:r>
              <w:rPr>
                <w:rFonts w:hint="default" w:ascii="Times New Roman" w:hAnsi="Times New Roman" w:cs="Times New Roman"/>
                <w:color w:val="auto"/>
                <w:sz w:val="21"/>
                <w:szCs w:val="21"/>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70"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z w:val="10"/>
          <w:szCs w:val="10"/>
          <w:shd w:val="clear" w:color="auto" w:fill="auto"/>
        </w:rPr>
      </w:pPr>
    </w:p>
    <w:p>
      <w:pPr>
        <w:shd w:val="clear" w:color="auto" w:fill="auto"/>
        <w:snapToGrid w:val="0"/>
        <w:rPr>
          <w:rFonts w:hint="default" w:ascii="Times New Roman" w:hAnsi="Times New Roman" w:cs="Times New Roman"/>
          <w:color w:val="auto"/>
          <w:sz w:val="10"/>
          <w:szCs w:val="10"/>
          <w:shd w:val="clear" w:color="auto" w:fill="auto"/>
        </w:rPr>
      </w:pPr>
    </w:p>
    <w:p>
      <w:pPr>
        <w:shd w:val="clear" w:color="auto" w:fill="auto"/>
        <w:snapToGrid w:val="0"/>
        <w:rPr>
          <w:rFonts w:hint="default" w:ascii="Times New Roman" w:hAnsi="Times New Roman" w:cs="Times New Roman"/>
          <w:color w:val="auto"/>
          <w:sz w:val="10"/>
          <w:szCs w:val="10"/>
          <w:shd w:val="clear" w:color="auto" w:fill="auto"/>
        </w:rPr>
      </w:pPr>
    </w:p>
    <w:p>
      <w:pPr>
        <w:shd w:val="clear" w:color="auto" w:fill="auto"/>
        <w:snapToGrid w:val="0"/>
        <w:rPr>
          <w:rFonts w:hint="default" w:ascii="Times New Roman" w:hAnsi="Times New Roman" w:cs="Times New Roman"/>
          <w:color w:val="auto"/>
          <w:sz w:val="10"/>
          <w:szCs w:val="10"/>
          <w:shd w:val="clear" w:color="auto" w:fill="auto"/>
        </w:rPr>
      </w:pPr>
    </w:p>
    <w:p>
      <w:pPr>
        <w:shd w:val="clear" w:color="auto" w:fill="auto"/>
        <w:snapToGrid w:val="0"/>
        <w:rPr>
          <w:rFonts w:hint="default" w:ascii="Times New Roman" w:hAnsi="Times New Roman" w:cs="Times New Roman"/>
          <w:color w:val="auto"/>
          <w:sz w:val="10"/>
          <w:szCs w:val="10"/>
          <w:shd w:val="clear" w:color="auto" w:fill="auto"/>
        </w:rPr>
      </w:pPr>
    </w:p>
    <w:p>
      <w:pPr>
        <w:shd w:val="clear" w:color="auto" w:fill="auto"/>
        <w:snapToGrid w:val="0"/>
        <w:rPr>
          <w:rFonts w:hint="default" w:ascii="Times New Roman" w:hAnsi="Times New Roman" w:cs="Times New Roman"/>
          <w:color w:val="auto"/>
          <w:sz w:val="10"/>
          <w:szCs w:val="10"/>
          <w:shd w:val="clear" w:color="auto" w:fill="auto"/>
        </w:rPr>
      </w:pPr>
      <w:r>
        <w:rPr>
          <w:rFonts w:hint="default" w:ascii="Times New Roman" w:hAnsi="Times New Roman" w:cs="Times New Roman"/>
          <w:color w:val="auto"/>
          <w:sz w:val="10"/>
          <w:szCs w:val="10"/>
          <w:shd w:val="clear" w:color="auto" w:fill="auto"/>
        </w:rPr>
        <w:br w:type="page"/>
      </w:r>
    </w:p>
    <w:tbl>
      <w:tblPr>
        <w:tblW w:w="920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5103"/>
        <w:gridCol w:w="2693"/>
      </w:tblGrid>
      <w:tr>
        <w:trPr>
          <w:trHeight w:val="397" w:hRule="atLeast"/>
        </w:trPr>
        <w:tc>
          <w:tcPr>
            <w:tcW w:w="9209" w:type="dxa"/>
            <w:gridSpan w:val="3"/>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97" w:hRule="atLeast"/>
        </w:trPr>
        <w:tc>
          <w:tcPr>
            <w:tcW w:w="141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96" w:type="dxa"/>
            <w:gridSpan w:val="2"/>
            <w:vAlign w:val="center"/>
          </w:tcPr>
          <w:p>
            <w:pPr>
              <w:shd w:val="clear" w:color="auto" w:fill="auto"/>
              <w:wordWrap/>
              <w:adjustRightInd/>
              <w:snapToGrid w:val="0"/>
              <w:spacing w:before="0" w:beforeAutospacing="0" w:after="0" w:afterAutospacing="0" w:line="30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233" w:name="_Toc11451"/>
            <w:r>
              <w:rPr>
                <w:rFonts w:hint="default" w:ascii="Times New Roman" w:hAnsi="Times New Roman" w:cs="Times New Roman"/>
                <w:color w:val="auto"/>
                <w:sz w:val="20"/>
                <w:szCs w:val="20"/>
                <w:shd w:val="clear" w:color="auto" w:fill="auto"/>
              </w:rPr>
              <w:t>37</w:t>
            </w:r>
            <w:bookmarkEnd w:id="233"/>
          </w:p>
        </w:tc>
      </w:tr>
      <w:tr>
        <w:trPr>
          <w:trHeight w:val="397" w:hRule="atLeast"/>
        </w:trPr>
        <w:tc>
          <w:tcPr>
            <w:tcW w:w="141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96" w:type="dxa"/>
            <w:gridSpan w:val="2"/>
            <w:vAlign w:val="center"/>
          </w:tcPr>
          <w:p>
            <w:pPr>
              <w:shd w:val="clear" w:color="auto" w:fill="auto"/>
              <w:wordWrap/>
              <w:adjustRightInd/>
              <w:snapToGrid w:val="0"/>
              <w:spacing w:before="0" w:beforeAutospacing="0" w:after="0" w:afterAutospacing="0" w:line="30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234" w:name="_Toc7772"/>
            <w:r>
              <w:rPr>
                <w:rFonts w:hint="default" w:ascii="Times New Roman" w:hAnsi="Times New Roman" w:cs="Times New Roman"/>
                <w:color w:val="auto"/>
                <w:sz w:val="20"/>
                <w:szCs w:val="20"/>
                <w:shd w:val="clear" w:color="auto" w:fill="auto"/>
              </w:rPr>
              <w:t>将医疗废物交给未取得许可证的单位或者个人收集、运送、贮存、处置的</w:t>
            </w:r>
            <w:bookmarkEnd w:id="234"/>
          </w:p>
        </w:tc>
      </w:tr>
      <w:tr>
        <w:trPr>
          <w:trHeight w:val="397" w:hRule="atLeast"/>
        </w:trPr>
        <w:tc>
          <w:tcPr>
            <w:tcW w:w="141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96" w:type="dxa"/>
            <w:gridSpan w:val="2"/>
            <w:vAlign w:val="top"/>
          </w:tcPr>
          <w:p>
            <w:pPr>
              <w:pStyle w:val="19"/>
              <w:shd w:val="clear" w:color="auto" w:fill="auto"/>
              <w:wordWrap/>
              <w:adjustRightInd/>
              <w:snapToGrid w:val="0"/>
              <w:spacing w:before="0" w:beforeAutospacing="0" w:after="0" w:afterAutospacing="0" w:line="300" w:lineRule="exact"/>
              <w:ind w:left="0" w:right="0" w:firstLine="422" w:firstLineChars="20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《医疗废物管理条例》第二十二条 </w:t>
            </w:r>
            <w:r>
              <w:rPr>
                <w:rFonts w:hint="default" w:ascii="Times New Roman" w:hAnsi="Times New Roman" w:cs="Times New Roman"/>
                <w:color w:val="auto"/>
                <w:sz w:val="21"/>
                <w:szCs w:val="21"/>
                <w:shd w:val="clear" w:color="auto" w:fill="auto"/>
              </w:rPr>
              <w:t>从事医疗废物集中处置活动的单位，应当向县级以上人民政府环境保护行政主管部门申请领取经营许可证；未取得经营许可证的单位，不得从事有关医疗废物集中处置的活动。</w:t>
            </w:r>
          </w:p>
        </w:tc>
      </w:tr>
      <w:tr>
        <w:trPr>
          <w:trHeight w:val="397" w:hRule="atLeast"/>
        </w:trPr>
        <w:tc>
          <w:tcPr>
            <w:tcW w:w="141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96" w:type="dxa"/>
            <w:gridSpan w:val="2"/>
            <w:vAlign w:val="top"/>
          </w:tcPr>
          <w:p>
            <w:pPr>
              <w:pStyle w:val="19"/>
              <w:shd w:val="clear" w:color="auto" w:fill="auto"/>
              <w:wordWrap/>
              <w:adjustRightInd/>
              <w:snapToGrid w:val="0"/>
              <w:spacing w:before="0" w:beforeAutospacing="0" w:after="0" w:afterAutospacing="0" w:line="300" w:lineRule="exact"/>
              <w:ind w:left="0" w:right="0" w:firstLine="482"/>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《医疗废物管理条例》第四十七条第（三）项 </w:t>
            </w:r>
            <w:r>
              <w:rPr>
                <w:rFonts w:hint="default" w:ascii="Times New Roman" w:hAnsi="Times New Roman" w:cs="Times New Roman"/>
                <w:color w:val="auto"/>
                <w:sz w:val="21"/>
                <w:szCs w:val="21"/>
                <w:shd w:val="clear" w:color="auto" w:fill="auto"/>
              </w:rPr>
              <w:t>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pStyle w:val="19"/>
              <w:shd w:val="clear" w:color="auto" w:fill="auto"/>
              <w:wordWrap/>
              <w:adjustRightInd/>
              <w:snapToGrid w:val="0"/>
              <w:spacing w:before="0" w:beforeAutospacing="0" w:after="0" w:afterAutospacing="0" w:line="300" w:lineRule="exact"/>
              <w:ind w:left="0" w:right="0" w:firstLine="48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（三）将医疗废物交给未取得经营许可证的单位或者个人收集、运送、贮存、处置的。</w:t>
            </w:r>
          </w:p>
        </w:tc>
      </w:tr>
      <w:tr>
        <w:trPr>
          <w:trHeight w:val="397" w:hRule="atLeast"/>
        </w:trPr>
        <w:tc>
          <w:tcPr>
            <w:tcW w:w="141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0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9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413"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涉及</w:t>
            </w:r>
            <w:r>
              <w:rPr>
                <w:rFonts w:hint="default" w:ascii="Times New Roman" w:hAnsi="Times New Roman" w:cs="Times New Roman"/>
                <w:b/>
                <w:bCs/>
                <w:color w:val="auto"/>
                <w:sz w:val="20"/>
                <w:szCs w:val="20"/>
                <w:shd w:val="clear" w:color="auto" w:fill="auto"/>
              </w:rPr>
              <w:t>医疗</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废物数量</w:t>
            </w:r>
          </w:p>
        </w:tc>
        <w:tc>
          <w:tcPr>
            <w:tcW w:w="5103" w:type="dxa"/>
            <w:vAlign w:val="center"/>
          </w:tcPr>
          <w:p>
            <w:pPr>
              <w:pStyle w:val="18"/>
              <w:shd w:val="clear" w:color="auto" w:fill="auto"/>
              <w:wordWrap/>
              <w:adjustRightInd/>
              <w:snapToGrid w:val="0"/>
              <w:spacing w:before="0" w:beforeAutospacing="0" w:after="0" w:afterAutospacing="0" w:line="300" w:lineRule="exact"/>
              <w:ind w:left="0" w:right="0" w:firstLine="42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1吨以下</w:t>
            </w:r>
          </w:p>
        </w:tc>
        <w:tc>
          <w:tcPr>
            <w:tcW w:w="269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413"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p>
        </w:tc>
        <w:tc>
          <w:tcPr>
            <w:tcW w:w="5103" w:type="dxa"/>
            <w:vAlign w:val="center"/>
          </w:tcPr>
          <w:p>
            <w:pPr>
              <w:pStyle w:val="18"/>
              <w:shd w:val="clear" w:color="auto" w:fill="auto"/>
              <w:wordWrap/>
              <w:adjustRightInd/>
              <w:snapToGrid w:val="0"/>
              <w:spacing w:before="0" w:beforeAutospacing="0" w:after="0" w:afterAutospacing="0" w:line="300" w:lineRule="exact"/>
              <w:ind w:left="0" w:right="0" w:firstLine="42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1吨以上3吨</w:t>
            </w:r>
            <w:r>
              <w:rPr>
                <w:rFonts w:hint="default" w:ascii="Times New Roman" w:hAnsi="Times New Roman" w:cs="Times New Roman"/>
                <w:color w:val="auto"/>
                <w:sz w:val="21"/>
                <w:szCs w:val="21"/>
                <w:shd w:val="clear" w:color="auto" w:fill="auto"/>
                <w:lang w:val="en-US"/>
              </w:rPr>
              <w:t>以下</w:t>
            </w:r>
          </w:p>
        </w:tc>
        <w:tc>
          <w:tcPr>
            <w:tcW w:w="269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413"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p>
        </w:tc>
        <w:tc>
          <w:tcPr>
            <w:tcW w:w="5103" w:type="dxa"/>
            <w:vAlign w:val="center"/>
          </w:tcPr>
          <w:p>
            <w:pPr>
              <w:pStyle w:val="18"/>
              <w:shd w:val="clear" w:color="auto" w:fill="auto"/>
              <w:wordWrap/>
              <w:adjustRightInd/>
              <w:snapToGrid w:val="0"/>
              <w:spacing w:before="0" w:beforeAutospacing="0" w:after="0" w:afterAutospacing="0" w:line="300" w:lineRule="exact"/>
              <w:ind w:left="0" w:right="0" w:firstLine="42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3吨以上</w:t>
            </w:r>
          </w:p>
        </w:tc>
        <w:tc>
          <w:tcPr>
            <w:tcW w:w="269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413" w:type="dxa"/>
            <w:vMerge w:val="restart"/>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0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9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413"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p>
        </w:tc>
        <w:tc>
          <w:tcPr>
            <w:tcW w:w="510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9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413"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p>
        </w:tc>
        <w:tc>
          <w:tcPr>
            <w:tcW w:w="510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9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413"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p>
        </w:tc>
        <w:tc>
          <w:tcPr>
            <w:tcW w:w="510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9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413"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p>
        </w:tc>
        <w:tc>
          <w:tcPr>
            <w:tcW w:w="510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9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413" w:type="dxa"/>
            <w:vMerge w:val="restart"/>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10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1次</w:t>
            </w:r>
          </w:p>
        </w:tc>
        <w:tc>
          <w:tcPr>
            <w:tcW w:w="269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413"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p>
        </w:tc>
        <w:tc>
          <w:tcPr>
            <w:tcW w:w="510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2次</w:t>
            </w:r>
          </w:p>
        </w:tc>
        <w:tc>
          <w:tcPr>
            <w:tcW w:w="269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413"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p>
        </w:tc>
        <w:tc>
          <w:tcPr>
            <w:tcW w:w="510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3次</w:t>
            </w:r>
          </w:p>
        </w:tc>
        <w:tc>
          <w:tcPr>
            <w:tcW w:w="269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413"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p>
        </w:tc>
        <w:tc>
          <w:tcPr>
            <w:tcW w:w="510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4次</w:t>
            </w:r>
          </w:p>
        </w:tc>
        <w:tc>
          <w:tcPr>
            <w:tcW w:w="269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413"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p>
        </w:tc>
        <w:tc>
          <w:tcPr>
            <w:tcW w:w="510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eastAsia"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rPr>
              <w:t>5</w:t>
            </w:r>
            <w:r>
              <w:rPr>
                <w:rFonts w:hint="default" w:ascii="Times New Roman" w:hAnsi="Times New Roman" w:eastAsia="宋体" w:cs="Times New Roman"/>
                <w:color w:val="auto"/>
                <w:kern w:val="2"/>
                <w:sz w:val="21"/>
                <w:szCs w:val="21"/>
                <w:shd w:val="clear" w:color="auto" w:fill="auto"/>
                <w:lang w:val="en-US"/>
              </w:rPr>
              <w:t>次</w:t>
            </w:r>
            <w:r>
              <w:rPr>
                <w:rFonts w:hint="eastAsia" w:ascii="Times New Roman" w:hAnsi="Times New Roman" w:cs="Times New Roman"/>
                <w:color w:val="auto"/>
                <w:kern w:val="2"/>
                <w:sz w:val="21"/>
                <w:szCs w:val="21"/>
                <w:shd w:val="clear" w:color="auto" w:fill="auto"/>
                <w:lang w:val="en-US" w:eastAsia="zh-CN"/>
              </w:rPr>
              <w:t>以上</w:t>
            </w:r>
          </w:p>
        </w:tc>
        <w:tc>
          <w:tcPr>
            <w:tcW w:w="269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p>
        </w:tc>
      </w:tr>
      <w:tr>
        <w:trPr>
          <w:trHeight w:val="397" w:hRule="atLeast"/>
        </w:trPr>
        <w:tc>
          <w:tcPr>
            <w:tcW w:w="1413"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改正时间</w:t>
            </w:r>
          </w:p>
        </w:tc>
        <w:tc>
          <w:tcPr>
            <w:tcW w:w="5103"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i w:val="0"/>
                <w:iCs w:val="0"/>
                <w:caps w:val="0"/>
                <w:color w:val="auto"/>
                <w:spacing w:val="0"/>
                <w:kern w:val="2"/>
                <w:sz w:val="21"/>
                <w:szCs w:val="21"/>
                <w:shd w:val="clear" w:color="auto" w:fill="auto"/>
                <w:lang/>
              </w:rPr>
            </w:pPr>
            <w:r>
              <w:rPr>
                <w:rFonts w:hint="eastAsia" w:ascii="Times New Roman" w:hAnsi="Times New Roman" w:cs="Times New Roman"/>
                <w:color w:val="auto"/>
                <w:kern w:val="2"/>
                <w:sz w:val="21"/>
                <w:szCs w:val="21"/>
                <w:shd w:val="clear" w:color="auto" w:fill="auto"/>
                <w:lang w:eastAsia="zh-CN"/>
              </w:rPr>
              <w:t>限期改正</w:t>
            </w:r>
          </w:p>
        </w:tc>
        <w:tc>
          <w:tcPr>
            <w:tcW w:w="269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trPr>
        <w:tc>
          <w:tcPr>
            <w:tcW w:w="1413"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10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9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413"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10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i w:val="0"/>
                <w:iCs w:val="0"/>
                <w:caps w:val="0"/>
                <w:color w:val="auto"/>
                <w:spacing w:val="0"/>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3天以上7天以下</w:t>
            </w:r>
          </w:p>
        </w:tc>
        <w:tc>
          <w:tcPr>
            <w:tcW w:w="269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97" w:hRule="atLeast"/>
        </w:trPr>
        <w:tc>
          <w:tcPr>
            <w:tcW w:w="1413"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10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i w:val="0"/>
                <w:iCs w:val="0"/>
                <w:caps w:val="0"/>
                <w:color w:val="auto"/>
                <w:spacing w:val="0"/>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7天以上</w:t>
            </w:r>
          </w:p>
        </w:tc>
        <w:tc>
          <w:tcPr>
            <w:tcW w:w="269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trPr>
        <w:tc>
          <w:tcPr>
            <w:tcW w:w="1413"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w:t>
            </w:r>
            <w:r>
              <w:rPr>
                <w:rFonts w:hint="default" w:ascii="Times New Roman" w:hAnsi="Times New Roman" w:cs="Times New Roman"/>
                <w:b/>
                <w:bCs/>
                <w:color w:val="auto"/>
                <w:sz w:val="20"/>
                <w:szCs w:val="20"/>
                <w:shd w:val="clear" w:color="auto" w:fill="auto"/>
                <w:lang w:val="en-US"/>
              </w:rPr>
              <w:t>规模</w:t>
            </w:r>
          </w:p>
        </w:tc>
        <w:tc>
          <w:tcPr>
            <w:tcW w:w="510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9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413"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0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9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413"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0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9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413"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03" w:type="dxa"/>
            <w:vAlign w:val="center"/>
          </w:tcPr>
          <w:p>
            <w:pPr>
              <w:shd w:val="clear" w:color="auto" w:fill="auto"/>
              <w:wordWrap/>
              <w:adjustRightInd/>
              <w:snapToGrid w:val="0"/>
              <w:spacing w:before="0" w:beforeAutospacing="0" w:after="0" w:afterAutospacing="0" w:line="300" w:lineRule="exact"/>
              <w:ind w:left="0" w:right="0" w:firstLine="1890" w:firstLineChars="900"/>
              <w:jc w:val="both"/>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93"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trPr>
        <w:tc>
          <w:tcPr>
            <w:tcW w:w="141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10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41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0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trPr>
        <w:tc>
          <w:tcPr>
            <w:tcW w:w="141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0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41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0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41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0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lang w:eastAsia="zh-CN"/>
              </w:rPr>
            </w:pPr>
            <w:r>
              <w:rPr>
                <w:rFonts w:hint="default" w:ascii="Times New Roman" w:hAnsi="Times New Roman" w:cs="Times New Roman"/>
                <w:color w:val="auto"/>
                <w:sz w:val="21"/>
                <w:szCs w:val="21"/>
                <w:shd w:val="clear" w:color="auto" w:fill="auto"/>
              </w:rPr>
              <w:t>两年内受到同类处罚1次</w:t>
            </w:r>
          </w:p>
        </w:tc>
        <w:tc>
          <w:tcPr>
            <w:tcW w:w="2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41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0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lang w:eastAsia="zh-CN"/>
              </w:rPr>
            </w:pPr>
            <w:r>
              <w:rPr>
                <w:rFonts w:hint="default" w:ascii="Times New Roman" w:hAnsi="Times New Roman" w:cs="Times New Roman"/>
                <w:color w:val="auto"/>
                <w:sz w:val="21"/>
                <w:szCs w:val="21"/>
                <w:shd w:val="clear" w:color="auto" w:fill="auto"/>
              </w:rPr>
              <w:t>两年内受到同类处罚2次以上</w:t>
            </w:r>
          </w:p>
        </w:tc>
        <w:tc>
          <w:tcPr>
            <w:tcW w:w="26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41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0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41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0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41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0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41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0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4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96"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spacing w:line="20" w:lineRule="exact"/>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5021"/>
        <w:gridCol w:w="2649"/>
      </w:tblGrid>
      <w:tr>
        <w:trPr>
          <w:trHeight w:val="397" w:hRule="atLeast"/>
        </w:trPr>
        <w:tc>
          <w:tcPr>
            <w:tcW w:w="9060" w:type="dxa"/>
            <w:gridSpan w:val="3"/>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97" w:hRule="atLeast"/>
        </w:trPr>
        <w:tc>
          <w:tcPr>
            <w:tcW w:w="139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70" w:type="dxa"/>
            <w:gridSpan w:val="2"/>
            <w:vAlign w:val="center"/>
          </w:tcPr>
          <w:p>
            <w:pPr>
              <w:shd w:val="clear" w:color="auto" w:fill="auto"/>
              <w:wordWrap/>
              <w:adjustRightInd/>
              <w:snapToGrid w:val="0"/>
              <w:spacing w:before="0" w:beforeAutospacing="0" w:after="0" w:afterAutospacing="0" w:line="30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235" w:name="_Toc24928"/>
            <w:r>
              <w:rPr>
                <w:rFonts w:hint="default" w:ascii="Times New Roman" w:hAnsi="Times New Roman" w:cs="Times New Roman"/>
                <w:color w:val="auto"/>
                <w:sz w:val="20"/>
                <w:szCs w:val="20"/>
                <w:shd w:val="clear" w:color="auto" w:fill="auto"/>
              </w:rPr>
              <w:t>38</w:t>
            </w:r>
            <w:bookmarkEnd w:id="235"/>
          </w:p>
        </w:tc>
      </w:tr>
      <w:tr>
        <w:trPr>
          <w:trHeight w:val="397" w:hRule="atLeast"/>
        </w:trPr>
        <w:tc>
          <w:tcPr>
            <w:tcW w:w="139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70" w:type="dxa"/>
            <w:gridSpan w:val="2"/>
            <w:vAlign w:val="center"/>
          </w:tcPr>
          <w:p>
            <w:pPr>
              <w:shd w:val="clear" w:color="auto" w:fill="auto"/>
              <w:wordWrap/>
              <w:adjustRightInd/>
              <w:snapToGrid w:val="0"/>
              <w:spacing w:before="0" w:beforeAutospacing="0" w:after="0" w:afterAutospacing="0" w:line="300" w:lineRule="exact"/>
              <w:ind w:left="0" w:right="0" w:firstLine="420" w:firstLineChars="200"/>
              <w:jc w:val="center"/>
              <w:textAlignment w:val="auto"/>
              <w:outlineLvl w:val="9"/>
              <w:rPr>
                <w:rFonts w:hint="default" w:ascii="Times New Roman" w:hAnsi="Times New Roman" w:cs="Times New Roman"/>
                <w:color w:val="auto"/>
                <w:sz w:val="20"/>
                <w:szCs w:val="20"/>
                <w:shd w:val="clear" w:color="auto" w:fill="auto"/>
              </w:rPr>
            </w:pPr>
            <w:bookmarkStart w:id="236" w:name="_Toc20112"/>
            <w:r>
              <w:rPr>
                <w:rFonts w:hint="default" w:ascii="Times New Roman" w:hAnsi="Times New Roman" w:cs="Times New Roman"/>
                <w:color w:val="auto"/>
                <w:sz w:val="20"/>
                <w:szCs w:val="20"/>
                <w:shd w:val="clear" w:color="auto" w:fill="auto"/>
              </w:rPr>
              <w:t>对医疗废物的处置不符合国家规定的环境保护、卫生标准、规范的</w:t>
            </w:r>
            <w:bookmarkEnd w:id="236"/>
          </w:p>
        </w:tc>
      </w:tr>
      <w:tr>
        <w:trPr>
          <w:trHeight w:val="397" w:hRule="atLeast"/>
        </w:trPr>
        <w:tc>
          <w:tcPr>
            <w:tcW w:w="139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70" w:type="dxa"/>
            <w:gridSpan w:val="2"/>
            <w:vAlign w:val="top"/>
          </w:tcPr>
          <w:p>
            <w:pPr>
              <w:pStyle w:val="19"/>
              <w:shd w:val="clear" w:color="auto" w:fill="auto"/>
              <w:wordWrap/>
              <w:adjustRightInd/>
              <w:snapToGrid w:val="0"/>
              <w:spacing w:before="0" w:beforeAutospacing="0" w:after="0" w:afterAutospacing="0" w:line="300" w:lineRule="exact"/>
              <w:ind w:left="0" w:right="0" w:firstLine="422" w:firstLineChars="20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《医疗废物管理条例》第二十九条 </w:t>
            </w:r>
            <w:r>
              <w:rPr>
                <w:rFonts w:hint="default" w:ascii="Times New Roman" w:hAnsi="Times New Roman" w:cs="Times New Roman"/>
                <w:color w:val="auto"/>
                <w:sz w:val="21"/>
                <w:szCs w:val="21"/>
                <w:shd w:val="clear" w:color="auto" w:fill="auto"/>
              </w:rPr>
              <w:t>医疗废物集中处置单位处置医疗废物，应当符合国家规定的环境保护、卫生标准、规范。</w:t>
            </w:r>
          </w:p>
        </w:tc>
      </w:tr>
      <w:tr>
        <w:trPr>
          <w:trHeight w:val="397" w:hRule="atLeast"/>
        </w:trPr>
        <w:tc>
          <w:tcPr>
            <w:tcW w:w="139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70" w:type="dxa"/>
            <w:gridSpan w:val="2"/>
            <w:vAlign w:val="top"/>
          </w:tcPr>
          <w:p>
            <w:pPr>
              <w:pStyle w:val="19"/>
              <w:shd w:val="clear" w:color="auto" w:fill="auto"/>
              <w:wordWrap/>
              <w:adjustRightInd/>
              <w:snapToGrid w:val="0"/>
              <w:spacing w:before="0" w:beforeAutospacing="0" w:after="0" w:afterAutospacing="0" w:line="300" w:lineRule="exact"/>
              <w:ind w:left="0" w:right="0" w:firstLine="482"/>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《医疗废物管理条例》第四十七条第（四）项 </w:t>
            </w:r>
            <w:r>
              <w:rPr>
                <w:rFonts w:hint="default" w:ascii="Times New Roman" w:hAnsi="Times New Roman" w:cs="Times New Roman"/>
                <w:color w:val="auto"/>
                <w:sz w:val="21"/>
                <w:szCs w:val="21"/>
                <w:shd w:val="clear" w:color="auto" w:fill="auto"/>
              </w:rPr>
              <w:t>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pStyle w:val="19"/>
              <w:shd w:val="clear" w:color="auto" w:fill="auto"/>
              <w:wordWrap/>
              <w:adjustRightInd/>
              <w:snapToGrid w:val="0"/>
              <w:spacing w:before="0" w:beforeAutospacing="0" w:after="0" w:afterAutospacing="0" w:line="300" w:lineRule="exact"/>
              <w:ind w:left="0" w:right="0" w:firstLine="48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（四）对医疗废物的处置不符合国家规定的环境保护、卫生标准、规范的。</w:t>
            </w:r>
          </w:p>
        </w:tc>
      </w:tr>
      <w:tr>
        <w:trPr>
          <w:trHeight w:val="397" w:hRule="atLeast"/>
        </w:trPr>
        <w:tc>
          <w:tcPr>
            <w:tcW w:w="139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21"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390"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★处置医疗废物数量</w:t>
            </w:r>
          </w:p>
        </w:tc>
        <w:tc>
          <w:tcPr>
            <w:tcW w:w="5021" w:type="dxa"/>
            <w:vAlign w:val="center"/>
          </w:tcPr>
          <w:p>
            <w:pPr>
              <w:pStyle w:val="18"/>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处置医疗废物1吨以下</w:t>
            </w:r>
          </w:p>
        </w:tc>
        <w:tc>
          <w:tcPr>
            <w:tcW w:w="264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90"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p>
        </w:tc>
        <w:tc>
          <w:tcPr>
            <w:tcW w:w="5021" w:type="dxa"/>
            <w:vAlign w:val="center"/>
          </w:tcPr>
          <w:p>
            <w:pPr>
              <w:pStyle w:val="18"/>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处置医疗废物1吨以上3吨</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90"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p>
        </w:tc>
        <w:tc>
          <w:tcPr>
            <w:tcW w:w="5021" w:type="dxa"/>
            <w:vAlign w:val="center"/>
          </w:tcPr>
          <w:p>
            <w:pPr>
              <w:pStyle w:val="18"/>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处置医疗废物3吨以上</w:t>
            </w:r>
          </w:p>
        </w:tc>
        <w:tc>
          <w:tcPr>
            <w:tcW w:w="264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90" w:type="dxa"/>
            <w:vMerge w:val="restart"/>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21"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390"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p>
        </w:tc>
        <w:tc>
          <w:tcPr>
            <w:tcW w:w="5021"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390"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p>
        </w:tc>
        <w:tc>
          <w:tcPr>
            <w:tcW w:w="5021"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390"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p>
        </w:tc>
        <w:tc>
          <w:tcPr>
            <w:tcW w:w="5021"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390"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p>
        </w:tc>
        <w:tc>
          <w:tcPr>
            <w:tcW w:w="5021"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trPr>
        <w:tc>
          <w:tcPr>
            <w:tcW w:w="1390" w:type="dxa"/>
            <w:vMerge w:val="restart"/>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021"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1次</w:t>
            </w:r>
          </w:p>
        </w:tc>
        <w:tc>
          <w:tcPr>
            <w:tcW w:w="2649"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390"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p>
        </w:tc>
        <w:tc>
          <w:tcPr>
            <w:tcW w:w="5021"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2次</w:t>
            </w:r>
          </w:p>
        </w:tc>
        <w:tc>
          <w:tcPr>
            <w:tcW w:w="2649"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390"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p>
        </w:tc>
        <w:tc>
          <w:tcPr>
            <w:tcW w:w="5021"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3次</w:t>
            </w:r>
          </w:p>
        </w:tc>
        <w:tc>
          <w:tcPr>
            <w:tcW w:w="2649"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390"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p>
        </w:tc>
        <w:tc>
          <w:tcPr>
            <w:tcW w:w="5021"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4次</w:t>
            </w:r>
          </w:p>
        </w:tc>
        <w:tc>
          <w:tcPr>
            <w:tcW w:w="2649"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390"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p>
        </w:tc>
        <w:tc>
          <w:tcPr>
            <w:tcW w:w="5021"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eastAsia"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rPr>
              <w:t>5</w:t>
            </w:r>
            <w:r>
              <w:rPr>
                <w:rFonts w:hint="default" w:ascii="Times New Roman" w:hAnsi="Times New Roman" w:eastAsia="宋体" w:cs="Times New Roman"/>
                <w:color w:val="auto"/>
                <w:kern w:val="2"/>
                <w:sz w:val="21"/>
                <w:szCs w:val="21"/>
                <w:shd w:val="clear" w:color="auto" w:fill="auto"/>
                <w:lang w:val="en-US"/>
              </w:rPr>
              <w:t>次</w:t>
            </w:r>
            <w:r>
              <w:rPr>
                <w:rFonts w:hint="eastAsia" w:ascii="Times New Roman" w:hAnsi="Times New Roman" w:cs="Times New Roman"/>
                <w:color w:val="auto"/>
                <w:kern w:val="2"/>
                <w:sz w:val="21"/>
                <w:szCs w:val="21"/>
                <w:shd w:val="clear" w:color="auto" w:fill="auto"/>
                <w:lang w:val="en-US" w:eastAsia="zh-CN"/>
              </w:rPr>
              <w:t>以上</w:t>
            </w:r>
          </w:p>
        </w:tc>
        <w:tc>
          <w:tcPr>
            <w:tcW w:w="2649"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p>
        </w:tc>
      </w:tr>
      <w:tr>
        <w:trPr>
          <w:trHeight w:val="425" w:hRule="atLeast"/>
        </w:trPr>
        <w:tc>
          <w:tcPr>
            <w:tcW w:w="1390"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改正时间</w:t>
            </w:r>
          </w:p>
        </w:tc>
        <w:tc>
          <w:tcPr>
            <w:tcW w:w="5021"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kern w:val="2"/>
                <w:sz w:val="21"/>
                <w:szCs w:val="21"/>
                <w:shd w:val="clear" w:color="auto" w:fill="auto"/>
                <w:lang/>
              </w:rPr>
            </w:pPr>
            <w:r>
              <w:rPr>
                <w:rFonts w:hint="eastAsia" w:ascii="Times New Roman" w:hAnsi="Times New Roman" w:cs="Times New Roman"/>
                <w:color w:val="auto"/>
                <w:kern w:val="2"/>
                <w:sz w:val="21"/>
                <w:szCs w:val="21"/>
                <w:shd w:val="clear" w:color="auto" w:fill="auto"/>
                <w:lang w:eastAsia="zh-CN"/>
              </w:rPr>
              <w:t>限期改正</w:t>
            </w:r>
          </w:p>
        </w:tc>
        <w:tc>
          <w:tcPr>
            <w:tcW w:w="264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425" w:hRule="atLeast"/>
        </w:trPr>
        <w:tc>
          <w:tcPr>
            <w:tcW w:w="1390"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021"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390"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3天以上7天以下</w:t>
            </w:r>
          </w:p>
        </w:tc>
        <w:tc>
          <w:tcPr>
            <w:tcW w:w="264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425" w:hRule="atLeast"/>
        </w:trPr>
        <w:tc>
          <w:tcPr>
            <w:tcW w:w="1390"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7天以上</w:t>
            </w:r>
          </w:p>
        </w:tc>
        <w:tc>
          <w:tcPr>
            <w:tcW w:w="264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425" w:hRule="atLeast"/>
        </w:trPr>
        <w:tc>
          <w:tcPr>
            <w:tcW w:w="1390"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w:t>
            </w:r>
            <w:r>
              <w:rPr>
                <w:rFonts w:hint="default" w:ascii="Times New Roman" w:hAnsi="Times New Roman" w:cs="Times New Roman"/>
                <w:b/>
                <w:bCs/>
                <w:color w:val="auto"/>
                <w:sz w:val="20"/>
                <w:szCs w:val="20"/>
                <w:shd w:val="clear" w:color="auto" w:fill="auto"/>
                <w:lang w:val="en-US"/>
              </w:rPr>
              <w:t>规模</w:t>
            </w:r>
          </w:p>
        </w:tc>
        <w:tc>
          <w:tcPr>
            <w:tcW w:w="5021"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25" w:hRule="atLeast"/>
        </w:trPr>
        <w:tc>
          <w:tcPr>
            <w:tcW w:w="1390"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25" w:hRule="atLeast"/>
        </w:trPr>
        <w:tc>
          <w:tcPr>
            <w:tcW w:w="1390"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25" w:hRule="atLeast"/>
        </w:trPr>
        <w:tc>
          <w:tcPr>
            <w:tcW w:w="1390"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wordWrap/>
              <w:adjustRightInd/>
              <w:snapToGrid w:val="0"/>
              <w:spacing w:before="0" w:beforeAutospacing="0" w:after="0" w:afterAutospacing="0" w:line="300" w:lineRule="exact"/>
              <w:ind w:left="0" w:right="0" w:firstLine="2100" w:firstLineChars="1000"/>
              <w:jc w:val="both"/>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eastAsia="zh-CN" w:bidi="ar-SA"/>
              </w:rPr>
              <w:t>4</w:t>
            </w:r>
          </w:p>
        </w:tc>
      </w:tr>
      <w:tr>
        <w:trPr>
          <w:trHeight w:val="425"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lang w:eastAsia="zh-CN"/>
              </w:rPr>
            </w:pPr>
            <w:r>
              <w:rPr>
                <w:rFonts w:hint="default" w:ascii="Times New Roman" w:hAnsi="Times New Roman" w:cs="Times New Roman"/>
                <w:color w:val="auto"/>
                <w:sz w:val="21"/>
                <w:szCs w:val="21"/>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lang w:eastAsia="zh-CN"/>
              </w:rPr>
            </w:pPr>
            <w:r>
              <w:rPr>
                <w:rFonts w:hint="default" w:ascii="Times New Roman" w:hAnsi="Times New Roman" w:cs="Times New Roman"/>
                <w:color w:val="auto"/>
                <w:sz w:val="21"/>
                <w:szCs w:val="21"/>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70"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5021"/>
        <w:gridCol w:w="2649"/>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97"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70"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37" w:name="_Toc10876"/>
            <w:r>
              <w:rPr>
                <w:rFonts w:hint="default" w:ascii="Times New Roman" w:hAnsi="Times New Roman" w:cs="Times New Roman"/>
                <w:color w:val="auto"/>
                <w:sz w:val="20"/>
                <w:szCs w:val="20"/>
                <w:shd w:val="clear" w:color="auto" w:fill="auto"/>
              </w:rPr>
              <w:t>39</w:t>
            </w:r>
            <w:bookmarkEnd w:id="237"/>
          </w:p>
        </w:tc>
      </w:tr>
      <w:tr>
        <w:trPr>
          <w:trHeight w:val="397"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70" w:type="dxa"/>
            <w:gridSpan w:val="2"/>
            <w:vAlign w:val="top"/>
          </w:tcPr>
          <w:p>
            <w:pPr>
              <w:shd w:val="clear" w:color="auto" w:fill="auto"/>
              <w:snapToGrid w:val="0"/>
              <w:spacing w:before="0" w:beforeAutospacing="0" w:after="0" w:afterAutospacing="0" w:line="320" w:lineRule="exact"/>
              <w:ind w:left="0" w:right="0" w:firstLine="420" w:firstLineChars="200"/>
              <w:outlineLvl w:val="9"/>
              <w:rPr>
                <w:rFonts w:hint="default" w:ascii="Times New Roman" w:hAnsi="Times New Roman" w:cs="Times New Roman"/>
                <w:color w:val="auto"/>
                <w:sz w:val="20"/>
                <w:szCs w:val="20"/>
                <w:shd w:val="clear" w:color="auto" w:fill="auto"/>
              </w:rPr>
            </w:pPr>
            <w:bookmarkStart w:id="238" w:name="_Toc6577"/>
            <w:r>
              <w:rPr>
                <w:rFonts w:hint="default" w:ascii="Times New Roman" w:hAnsi="Times New Roman" w:cs="Times New Roman"/>
                <w:color w:val="auto"/>
                <w:sz w:val="20"/>
                <w:szCs w:val="20"/>
                <w:shd w:val="clear" w:color="auto" w:fill="auto"/>
              </w:rPr>
              <w:t>医疗卫生机构、医疗废物集中处置单位发生医疗废物流失、泄漏、扩散时，未采取紧急处理措施，或者未及时向环境保护行政主管部门报告的</w:t>
            </w:r>
            <w:bookmarkEnd w:id="238"/>
          </w:p>
        </w:tc>
      </w:tr>
      <w:tr>
        <w:trPr>
          <w:trHeight w:val="397"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70" w:type="dxa"/>
            <w:gridSpan w:val="2"/>
            <w:vAlign w:val="top"/>
          </w:tcPr>
          <w:p>
            <w:pPr>
              <w:pStyle w:val="19"/>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《医疗废物管理条例》第十三条第二款</w:t>
            </w:r>
            <w:r>
              <w:rPr>
                <w:rFonts w:hint="default" w:ascii="Times New Roman" w:hAnsi="Times New Roman" w:cs="Times New Roman"/>
                <w:color w:val="auto"/>
                <w:sz w:val="21"/>
                <w:szCs w:val="21"/>
                <w:shd w:val="clear" w:color="auto" w:fill="auto"/>
              </w:rPr>
              <w:t xml:space="preserve"> 发生医疗废物流失、泄漏、扩散时，医疗卫生机构和医疗废物集中处置单位应当采取减少危害的紧急处理措施，对致病人员提供医疗救护和现场救援；同时向所在地的县级人民政府卫生行政主管部门、环境保护行政主管部门报告，并向可能受到危害的单位和居民通报。</w:t>
            </w:r>
          </w:p>
        </w:tc>
      </w:tr>
      <w:tr>
        <w:trPr>
          <w:trHeight w:val="397"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70" w:type="dxa"/>
            <w:gridSpan w:val="2"/>
            <w:vAlign w:val="top"/>
          </w:tcPr>
          <w:p>
            <w:pPr>
              <w:pStyle w:val="19"/>
              <w:shd w:val="clear" w:color="auto" w:fill="auto"/>
              <w:snapToGrid w:val="0"/>
              <w:spacing w:before="0" w:beforeAutospacing="0" w:after="0" w:afterAutospacing="0" w:line="320" w:lineRule="exact"/>
              <w:ind w:left="0" w:right="0" w:firstLine="482"/>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《医疗废物管理条例》第四十九条 </w:t>
            </w:r>
            <w:r>
              <w:rPr>
                <w:rFonts w:hint="default" w:ascii="Times New Roman" w:hAnsi="Times New Roman" w:cs="Times New Roman"/>
                <w:color w:val="auto"/>
                <w:sz w:val="21"/>
                <w:szCs w:val="21"/>
                <w:shd w:val="clear" w:color="auto" w:fill="auto"/>
              </w:rPr>
              <w:t>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p>
        </w:tc>
      </w:tr>
      <w:tr>
        <w:trPr>
          <w:trHeight w:val="454"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★涉及医疗</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废物数量</w:t>
            </w: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1吨以下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1吨以上3吨</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3吨以上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425"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90"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jc w:val="center"/>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jc w:val="center"/>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jc w:val="center"/>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jc w:val="center"/>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eastAsia"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r>
              <w:rPr>
                <w:rFonts w:hint="default" w:ascii="Times New Roman" w:hAnsi="Times New Roman" w:eastAsia="宋体" w:cs="Times New Roman"/>
                <w:color w:val="auto"/>
                <w:kern w:val="2"/>
                <w:sz w:val="21"/>
                <w:szCs w:val="21"/>
                <w:shd w:val="clear" w:color="auto" w:fill="auto"/>
                <w:lang w:val="en-US"/>
              </w:rPr>
              <w:t>次</w:t>
            </w:r>
            <w:r>
              <w:rPr>
                <w:rFonts w:hint="eastAsia" w:ascii="Times New Roman" w:hAnsi="Times New Roman" w:cs="Times New Roman"/>
                <w:color w:val="auto"/>
                <w:kern w:val="2"/>
                <w:sz w:val="21"/>
                <w:szCs w:val="21"/>
                <w:shd w:val="clear" w:color="auto" w:fill="auto"/>
                <w:lang w:val="en-US" w:eastAsia="zh-CN"/>
              </w:rPr>
              <w:t>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p>
        </w:tc>
      </w:tr>
      <w:tr>
        <w:trPr>
          <w:trHeight w:val="425"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70"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5021"/>
        <w:gridCol w:w="2649"/>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97"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70"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39" w:name="_Toc15059"/>
            <w:r>
              <w:rPr>
                <w:rFonts w:hint="default" w:ascii="Times New Roman" w:hAnsi="Times New Roman" w:cs="Times New Roman"/>
                <w:color w:val="auto"/>
                <w:sz w:val="20"/>
                <w:szCs w:val="20"/>
                <w:shd w:val="clear" w:color="auto" w:fill="auto"/>
              </w:rPr>
              <w:t>40</w:t>
            </w:r>
            <w:bookmarkEnd w:id="239"/>
          </w:p>
        </w:tc>
      </w:tr>
      <w:tr>
        <w:trPr>
          <w:trHeight w:val="397"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70"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40" w:name="_Toc25626"/>
            <w:r>
              <w:rPr>
                <w:rFonts w:hint="default" w:ascii="Times New Roman" w:hAnsi="Times New Roman" w:cs="Times New Roman"/>
                <w:color w:val="auto"/>
                <w:sz w:val="20"/>
                <w:szCs w:val="20"/>
                <w:shd w:val="clear" w:color="auto" w:fill="auto"/>
              </w:rPr>
              <w:t>未取得许可证从事医疗废物的收集、运送、贮存、处置等活动的</w:t>
            </w:r>
            <w:bookmarkEnd w:id="240"/>
          </w:p>
        </w:tc>
      </w:tr>
      <w:tr>
        <w:trPr>
          <w:trHeight w:val="397"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70" w:type="dxa"/>
            <w:gridSpan w:val="2"/>
            <w:vAlign w:val="top"/>
          </w:tcPr>
          <w:p>
            <w:pPr>
              <w:pStyle w:val="19"/>
              <w:shd w:val="clear" w:color="auto" w:fill="auto"/>
              <w:snapToGrid w:val="0"/>
              <w:spacing w:before="0" w:beforeAutospacing="0" w:after="0" w:afterAutospacing="0" w:line="320" w:lineRule="exact"/>
              <w:ind w:left="0" w:right="0" w:firstLine="482"/>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《医疗废物管理条例》第二十二条</w:t>
            </w:r>
            <w:r>
              <w:rPr>
                <w:rFonts w:hint="default" w:ascii="Times New Roman" w:hAnsi="Times New Roman" w:cs="Times New Roman"/>
                <w:color w:val="auto"/>
                <w:sz w:val="21"/>
                <w:szCs w:val="21"/>
                <w:shd w:val="clear" w:color="auto" w:fill="auto"/>
              </w:rPr>
              <w:t xml:space="preserve"> 从事医疗废物集中处置活动的单位，应当向县级以上人民政府环境保护行政主管部门申请领取经营许可证；未取得经营许可证的单位，不得从事有关医疗废物集中处置的活动。</w:t>
            </w:r>
          </w:p>
        </w:tc>
      </w:tr>
      <w:tr>
        <w:trPr>
          <w:trHeight w:val="397"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70" w:type="dxa"/>
            <w:gridSpan w:val="2"/>
            <w:vAlign w:val="top"/>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《医疗废物管理条例》第五十二条</w:t>
            </w:r>
            <w:r>
              <w:rPr>
                <w:rFonts w:hint="default" w:ascii="Times New Roman" w:hAnsi="Times New Roman" w:cs="Times New Roman"/>
                <w:color w:val="auto"/>
                <w:sz w:val="20"/>
                <w:szCs w:val="20"/>
                <w:shd w:val="clear" w:color="auto" w:fill="auto"/>
              </w:rPr>
              <w:t xml:space="preserve"> 未取得经营许可证从事医疗废物的收集、运送、贮存、处置等活动的，由县级以上地方人民政府环境保护行政主管部门责令立即停止违法行为，没收违法所得，可以并处违法所得1倍以下的罚款。</w:t>
            </w:r>
          </w:p>
        </w:tc>
      </w:tr>
      <w:tr>
        <w:trPr>
          <w:trHeight w:val="397"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14"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★涉及医疗</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废物数量</w:t>
            </w: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1吨以下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14"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1吨以上3吨</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14"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3吨以上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14"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违法所得</w:t>
            </w: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10万元以下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14"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10万元以上30万元</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14"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30万元以上50万元</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14"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50万元以上100万元</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14"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100万元以上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14" w:hRule="atLeast"/>
          <w:jc w:val="center"/>
        </w:trPr>
        <w:tc>
          <w:tcPr>
            <w:tcW w:w="1390"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14" w:hRule="atLeast"/>
          <w:jc w:val="center"/>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14" w:hRule="atLeast"/>
          <w:jc w:val="center"/>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14" w:hRule="atLeast"/>
          <w:jc w:val="center"/>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14" w:hRule="atLeast"/>
          <w:jc w:val="center"/>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14"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14"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14"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14"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firstLine="2090" w:firstLineChars="1100"/>
              <w:jc w:val="both"/>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414"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管理类别</w:t>
            </w:r>
          </w:p>
        </w:tc>
        <w:tc>
          <w:tcPr>
            <w:tcW w:w="5021" w:type="dxa"/>
            <w:vAlign w:val="center"/>
          </w:tcPr>
          <w:p>
            <w:pPr>
              <w:shd w:val="clear" w:color="auto" w:fill="auto"/>
              <w:snapToGrid w:val="0"/>
              <w:spacing w:before="0" w:beforeAutospacing="0" w:after="0" w:afterAutospacing="0" w:line="320" w:lineRule="exact"/>
              <w:ind w:left="0" w:right="0" w:firstLine="0" w:firstLineChars="0"/>
              <w:jc w:val="center"/>
              <w:rPr>
                <w:rStyle w:val="14"/>
                <w:rFonts w:hint="default" w:ascii="Times New Roman" w:hAnsi="Times New Roman" w:eastAsia="宋体" w:cs="Times New Roman"/>
                <w:i w:val="0"/>
                <w:iCs w:val="0"/>
                <w:caps w:val="0"/>
                <w:color w:val="auto"/>
                <w:spacing w:val="0"/>
                <w:sz w:val="21"/>
                <w:szCs w:val="21"/>
                <w:shd w:val="clear" w:color="auto" w:fill="auto"/>
                <w:lang w:eastAsia="zh-CN"/>
              </w:rPr>
            </w:pPr>
            <w:r>
              <w:rPr>
                <w:rFonts w:hint="eastAsia" w:ascii="Times New Roman" w:hAnsi="Times New Roman" w:cs="Times New Roman"/>
                <w:color w:val="auto"/>
                <w:sz w:val="20"/>
                <w:szCs w:val="20"/>
                <w:shd w:val="clear" w:color="auto" w:fill="auto"/>
                <w:lang w:val="en-US" w:eastAsia="zh-CN"/>
              </w:rPr>
              <w:t>登记管理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14"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Style w:val="14"/>
                <w:rFonts w:hint="default" w:ascii="Times New Roman" w:hAnsi="Times New Roman" w:cs="Times New Roman"/>
                <w:i w:val="0"/>
                <w:iCs w:val="0"/>
                <w:caps w:val="0"/>
                <w:color w:val="auto"/>
                <w:spacing w:val="0"/>
                <w:sz w:val="21"/>
                <w:szCs w:val="21"/>
                <w:shd w:val="clear" w:color="auto" w:fill="auto"/>
                <w:lang w:eastAsia="zh-CN"/>
              </w:rPr>
            </w:pPr>
            <w:r>
              <w:rPr>
                <w:rFonts w:hint="default" w:ascii="Times New Roman" w:hAnsi="Times New Roman" w:cs="Times New Roman"/>
                <w:color w:val="auto"/>
                <w:sz w:val="20"/>
                <w:szCs w:val="20"/>
                <w:shd w:val="clear" w:color="auto" w:fill="auto"/>
                <w:lang w:val="en-US"/>
              </w:rPr>
              <w:t>简化管理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2</w:t>
            </w:r>
          </w:p>
        </w:tc>
      </w:tr>
      <w:tr>
        <w:trPr>
          <w:trHeight w:val="414"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firstLine="0" w:firstLineChars="0"/>
              <w:jc w:val="center"/>
              <w:rPr>
                <w:rStyle w:val="14"/>
                <w:rFonts w:hint="default" w:ascii="Times New Roman" w:hAnsi="Times New Roman" w:eastAsia="宋体" w:cs="Times New Roman"/>
                <w:i w:val="0"/>
                <w:iCs w:val="0"/>
                <w:caps w:val="0"/>
                <w:color w:val="auto"/>
                <w:spacing w:val="0"/>
                <w:sz w:val="21"/>
                <w:szCs w:val="21"/>
                <w:shd w:val="clear" w:color="auto" w:fill="auto"/>
                <w:lang w:eastAsia="zh-CN"/>
              </w:rPr>
            </w:pPr>
            <w:r>
              <w:rPr>
                <w:rFonts w:hint="default" w:ascii="Times New Roman" w:hAnsi="Times New Roman" w:cs="Times New Roman"/>
                <w:color w:val="auto"/>
                <w:sz w:val="20"/>
                <w:szCs w:val="20"/>
                <w:shd w:val="clear" w:color="auto" w:fill="auto"/>
                <w:lang w:val="en-US"/>
              </w:rPr>
              <w:t>重点管理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414"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w:t>
            </w:r>
            <w:r>
              <w:rPr>
                <w:rFonts w:hint="default" w:ascii="Times New Roman" w:hAnsi="Times New Roman" w:cs="Times New Roman"/>
                <w:b/>
                <w:bCs/>
                <w:color w:val="auto"/>
                <w:sz w:val="20"/>
                <w:szCs w:val="20"/>
                <w:shd w:val="clear" w:color="auto" w:fill="auto"/>
              </w:rPr>
              <w:t>次数</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14"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1"/>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14"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1"/>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14"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14"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14"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14"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14"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70"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5021"/>
        <w:gridCol w:w="2649"/>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97"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70"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41" w:name="_Toc30576"/>
            <w:r>
              <w:rPr>
                <w:rFonts w:hint="default" w:ascii="Times New Roman" w:hAnsi="Times New Roman" w:cs="Times New Roman"/>
                <w:color w:val="auto"/>
                <w:sz w:val="20"/>
                <w:szCs w:val="20"/>
                <w:shd w:val="clear" w:color="auto" w:fill="auto"/>
              </w:rPr>
              <w:t>41</w:t>
            </w:r>
            <w:bookmarkEnd w:id="241"/>
          </w:p>
        </w:tc>
      </w:tr>
      <w:tr>
        <w:trPr>
          <w:trHeight w:val="397"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70"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42" w:name="_Toc12375"/>
            <w:r>
              <w:rPr>
                <w:rFonts w:hint="default" w:ascii="Times New Roman" w:hAnsi="Times New Roman" w:cs="Times New Roman"/>
                <w:color w:val="auto"/>
                <w:sz w:val="20"/>
                <w:szCs w:val="20"/>
                <w:shd w:val="clear" w:color="auto" w:fill="auto"/>
              </w:rPr>
              <w:t>不按规定重新申请危险废物许可证或者换证的</w:t>
            </w:r>
            <w:bookmarkEnd w:id="242"/>
          </w:p>
        </w:tc>
      </w:tr>
      <w:tr>
        <w:trPr>
          <w:trHeight w:val="90"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70" w:type="dxa"/>
            <w:gridSpan w:val="2"/>
            <w:vAlign w:val="center"/>
          </w:tcPr>
          <w:p>
            <w:pPr>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1．《危险废物经营许可证管理办法》第十二条 </w:t>
            </w:r>
            <w:r>
              <w:rPr>
                <w:rFonts w:hint="default" w:ascii="Times New Roman" w:hAnsi="Times New Roman" w:cs="Times New Roman"/>
                <w:color w:val="auto"/>
                <w:sz w:val="20"/>
                <w:szCs w:val="20"/>
                <w:shd w:val="clear" w:color="auto" w:fill="auto"/>
              </w:rPr>
              <w:t>有下列情形之一的，危险废物经营单位应当按照原申请程序，重新申请领取危险废物经营许可证：(一)改变危险废物经营方式的；(二)增加危险废物类别的；(三)新建或者改建、扩建原有危险废物经营设施的；(四)经营危险废物超过原批准年经营规模20％以上的。</w:t>
            </w:r>
          </w:p>
          <w:p>
            <w:pPr>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2.《危险废物经营许可证管理办法》第十三条第二款 </w:t>
            </w:r>
            <w:r>
              <w:rPr>
                <w:rFonts w:hint="default" w:ascii="Times New Roman" w:hAnsi="Times New Roman" w:cs="Times New Roman"/>
                <w:color w:val="auto"/>
                <w:sz w:val="20"/>
                <w:szCs w:val="20"/>
                <w:shd w:val="clear" w:color="auto" w:fill="auto"/>
              </w:rPr>
              <w:t>危险废物经营许可证有效期届满，危险废物经营单位继续从事危险废物经营活动的，应当于危险废物经营许可证有效期届满30个工作日前向原发证机关提出换证申请。原发证机关应当自受理换证申请之日起20个工作日内进行审查，符合条件的，予以换证；不符合条件的，书面通知申请单位并说明理由。</w:t>
            </w:r>
          </w:p>
        </w:tc>
      </w:tr>
      <w:tr>
        <w:trPr>
          <w:trHeight w:val="397"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70"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《危险废物经营许可证管理办法》第二十三条 </w:t>
            </w:r>
            <w:r>
              <w:rPr>
                <w:rFonts w:hint="default" w:ascii="Times New Roman" w:hAnsi="Times New Roman" w:cs="Times New Roman"/>
                <w:color w:val="auto"/>
                <w:sz w:val="20"/>
                <w:szCs w:val="20"/>
                <w:shd w:val="clear" w:color="auto" w:fill="auto"/>
              </w:rPr>
              <w:t>违反本办法第十二条、第十三条第二款规定的，由县级以上地方人民政府环境保护主管部门责令停止违法行为；有违法所得的，没收违法所得；违法所得超过10万元的，并处违法所得1倍以上2倍以下的罚款；没有违法所得或者违法所得不足10万元的，处5万元以上10万元以下的罚款。</w:t>
            </w:r>
          </w:p>
        </w:tc>
      </w:tr>
      <w:tr>
        <w:trPr>
          <w:trHeight w:val="482"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82"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★没有违法所得</w:t>
            </w:r>
            <w:r>
              <w:rPr>
                <w:rFonts w:hint="default" w:ascii="Times New Roman" w:hAnsi="Times New Roman" w:cs="Times New Roman"/>
                <w:b/>
                <w:bCs/>
                <w:color w:val="auto"/>
                <w:sz w:val="20"/>
                <w:szCs w:val="20"/>
                <w:shd w:val="clear" w:color="auto" w:fill="auto"/>
                <w:lang w:val="en-US"/>
              </w:rPr>
              <w:t>或</w:t>
            </w:r>
            <w:r>
              <w:rPr>
                <w:rFonts w:hint="default" w:ascii="Times New Roman" w:hAnsi="Times New Roman" w:cs="Times New Roman"/>
                <w:b/>
                <w:bCs/>
                <w:color w:val="auto"/>
                <w:sz w:val="20"/>
                <w:szCs w:val="20"/>
                <w:shd w:val="clear" w:color="auto" w:fill="auto"/>
              </w:rPr>
              <w:t>违法所得10万元</w:t>
            </w:r>
            <w:r>
              <w:rPr>
                <w:rFonts w:hint="default" w:ascii="Times New Roman" w:hAnsi="Times New Roman" w:cs="Times New Roman"/>
                <w:b/>
                <w:bCs/>
                <w:color w:val="auto"/>
                <w:sz w:val="20"/>
                <w:szCs w:val="20"/>
                <w:shd w:val="clear" w:color="auto" w:fill="auto"/>
                <w:lang w:val="en-US"/>
              </w:rPr>
              <w:t>以下</w:t>
            </w:r>
          </w:p>
        </w:tc>
        <w:tc>
          <w:tcPr>
            <w:tcW w:w="5021" w:type="dxa"/>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无违法所得</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82"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w:t>
            </w:r>
            <w:r>
              <w:rPr>
                <w:rFonts w:hint="default" w:ascii="Times New Roman" w:hAnsi="Times New Roman" w:cs="Times New Roman"/>
                <w:color w:val="auto"/>
                <w:kern w:val="0"/>
                <w:sz w:val="20"/>
                <w:szCs w:val="20"/>
                <w:shd w:val="clear" w:color="auto" w:fill="auto"/>
              </w:rPr>
              <w:t>5万元</w:t>
            </w:r>
            <w:r>
              <w:rPr>
                <w:rFonts w:hint="default" w:ascii="Times New Roman" w:hAnsi="Times New Roman" w:cs="Times New Roman"/>
                <w:color w:val="auto"/>
                <w:kern w:val="0"/>
                <w:sz w:val="20"/>
                <w:szCs w:val="20"/>
                <w:shd w:val="clear" w:color="auto" w:fill="auto"/>
                <w:lang w:val="en-US"/>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82"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w:t>
            </w:r>
            <w:r>
              <w:rPr>
                <w:rFonts w:hint="default" w:ascii="Times New Roman" w:hAnsi="Times New Roman" w:cs="Times New Roman"/>
                <w:color w:val="auto"/>
                <w:kern w:val="0"/>
                <w:sz w:val="20"/>
                <w:szCs w:val="20"/>
                <w:shd w:val="clear" w:color="auto" w:fill="auto"/>
              </w:rPr>
              <w:t>5</w:t>
            </w:r>
            <w:r>
              <w:rPr>
                <w:rFonts w:hint="eastAsia" w:ascii="Times New Roman" w:hAnsi="Times New Roman" w:cs="Times New Roman"/>
                <w:color w:val="auto"/>
                <w:kern w:val="0"/>
                <w:sz w:val="20"/>
                <w:szCs w:val="20"/>
                <w:shd w:val="clear" w:color="auto" w:fill="auto"/>
                <w:lang w:eastAsia="zh-CN"/>
              </w:rPr>
              <w:t>万元</w:t>
            </w:r>
            <w:r>
              <w:rPr>
                <w:rFonts w:hint="default" w:ascii="Times New Roman" w:hAnsi="Times New Roman" w:cs="Times New Roman"/>
                <w:color w:val="auto"/>
                <w:kern w:val="0"/>
                <w:sz w:val="20"/>
                <w:szCs w:val="20"/>
                <w:shd w:val="clear" w:color="auto" w:fill="auto"/>
                <w:lang w:val="en-US"/>
              </w:rPr>
              <w:t>以上</w:t>
            </w:r>
            <w:r>
              <w:rPr>
                <w:rFonts w:hint="default" w:ascii="Times New Roman" w:hAnsi="Times New Roman" w:cs="Times New Roman"/>
                <w:color w:val="auto"/>
                <w:kern w:val="0"/>
                <w:sz w:val="20"/>
                <w:szCs w:val="20"/>
                <w:shd w:val="clear" w:color="auto" w:fill="auto"/>
              </w:rPr>
              <w:t>10万元</w:t>
            </w:r>
            <w:r>
              <w:rPr>
                <w:rFonts w:hint="default" w:ascii="Times New Roman" w:hAnsi="Times New Roman" w:cs="Times New Roman"/>
                <w:color w:val="auto"/>
                <w:kern w:val="0"/>
                <w:sz w:val="20"/>
                <w:szCs w:val="20"/>
                <w:shd w:val="clear" w:color="auto" w:fill="auto"/>
                <w:lang w:val="en-US"/>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82"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★违法所得10万元以上</w:t>
            </w:r>
          </w:p>
        </w:tc>
        <w:tc>
          <w:tcPr>
            <w:tcW w:w="5021" w:type="dxa"/>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w:t>
            </w:r>
            <w:r>
              <w:rPr>
                <w:rFonts w:hint="default" w:ascii="Times New Roman" w:hAnsi="Times New Roman" w:cs="Times New Roman"/>
                <w:color w:val="auto"/>
                <w:kern w:val="0"/>
                <w:sz w:val="20"/>
                <w:szCs w:val="20"/>
                <w:shd w:val="clear" w:color="auto" w:fill="auto"/>
              </w:rPr>
              <w:t>10</w:t>
            </w:r>
            <w:r>
              <w:rPr>
                <w:rFonts w:hint="eastAsia" w:ascii="Times New Roman" w:hAnsi="Times New Roman" w:cs="Times New Roman"/>
                <w:color w:val="auto"/>
                <w:kern w:val="0"/>
                <w:sz w:val="20"/>
                <w:szCs w:val="20"/>
                <w:shd w:val="clear" w:color="auto" w:fill="auto"/>
                <w:lang w:eastAsia="zh-CN"/>
              </w:rPr>
              <w:t>万元</w:t>
            </w:r>
            <w:r>
              <w:rPr>
                <w:rFonts w:hint="default" w:ascii="Times New Roman" w:hAnsi="Times New Roman" w:cs="Times New Roman"/>
                <w:color w:val="auto"/>
                <w:kern w:val="0"/>
                <w:sz w:val="20"/>
                <w:szCs w:val="20"/>
                <w:shd w:val="clear" w:color="auto" w:fill="auto"/>
                <w:lang w:val="en-US"/>
              </w:rPr>
              <w:t>以上</w:t>
            </w:r>
            <w:r>
              <w:rPr>
                <w:rFonts w:hint="default" w:ascii="Times New Roman" w:hAnsi="Times New Roman" w:cs="Times New Roman"/>
                <w:color w:val="auto"/>
                <w:kern w:val="0"/>
                <w:sz w:val="20"/>
                <w:szCs w:val="20"/>
                <w:shd w:val="clear" w:color="auto" w:fill="auto"/>
              </w:rPr>
              <w:t>30万元</w:t>
            </w:r>
            <w:r>
              <w:rPr>
                <w:rFonts w:hint="default" w:ascii="Times New Roman" w:hAnsi="Times New Roman" w:cs="Times New Roman"/>
                <w:color w:val="auto"/>
                <w:kern w:val="0"/>
                <w:sz w:val="20"/>
                <w:szCs w:val="20"/>
                <w:shd w:val="clear" w:color="auto" w:fill="auto"/>
                <w:lang w:val="en-US"/>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82"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违法所得3</w:t>
            </w:r>
            <w:r>
              <w:rPr>
                <w:rFonts w:hint="default" w:ascii="Times New Roman" w:hAnsi="Times New Roman" w:cs="Times New Roman"/>
                <w:color w:val="auto"/>
                <w:kern w:val="0"/>
                <w:sz w:val="20"/>
                <w:szCs w:val="20"/>
                <w:shd w:val="clear" w:color="auto" w:fill="auto"/>
              </w:rPr>
              <w:t>0</w:t>
            </w:r>
            <w:r>
              <w:rPr>
                <w:rFonts w:hint="eastAsia" w:ascii="Times New Roman" w:hAnsi="Times New Roman" w:cs="Times New Roman"/>
                <w:color w:val="auto"/>
                <w:kern w:val="0"/>
                <w:sz w:val="20"/>
                <w:szCs w:val="20"/>
                <w:shd w:val="clear" w:color="auto" w:fill="auto"/>
                <w:lang w:eastAsia="zh-CN"/>
              </w:rPr>
              <w:t>万元</w:t>
            </w:r>
            <w:r>
              <w:rPr>
                <w:rFonts w:hint="default" w:ascii="Times New Roman" w:hAnsi="Times New Roman" w:cs="Times New Roman"/>
                <w:color w:val="auto"/>
                <w:kern w:val="0"/>
                <w:sz w:val="20"/>
                <w:szCs w:val="20"/>
                <w:shd w:val="clear" w:color="auto" w:fill="auto"/>
                <w:lang w:val="en-US"/>
              </w:rPr>
              <w:t>以上</w:t>
            </w:r>
            <w:r>
              <w:rPr>
                <w:rFonts w:hint="default" w:ascii="Times New Roman" w:hAnsi="Times New Roman" w:cs="Times New Roman"/>
                <w:color w:val="auto"/>
                <w:kern w:val="0"/>
                <w:sz w:val="20"/>
                <w:szCs w:val="20"/>
                <w:shd w:val="clear" w:color="auto" w:fill="auto"/>
              </w:rPr>
              <w:t>50万元</w:t>
            </w:r>
            <w:r>
              <w:rPr>
                <w:rFonts w:hint="default" w:ascii="Times New Roman" w:hAnsi="Times New Roman" w:cs="Times New Roman"/>
                <w:color w:val="auto"/>
                <w:kern w:val="0"/>
                <w:sz w:val="20"/>
                <w:szCs w:val="20"/>
                <w:shd w:val="clear" w:color="auto" w:fill="auto"/>
                <w:lang w:val="en-US"/>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82"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违法所得50万元以上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82"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危险废物经营许可证有效期届满，危险废物经营单位继续从事危险废物经营活动，</w:t>
            </w:r>
            <w:r>
              <w:rPr>
                <w:rFonts w:hint="default" w:ascii="Times New Roman" w:hAnsi="Times New Roman" w:cs="Times New Roman"/>
                <w:color w:val="auto"/>
                <w:kern w:val="0"/>
                <w:sz w:val="20"/>
                <w:szCs w:val="20"/>
                <w:shd w:val="clear" w:color="auto" w:fill="auto"/>
                <w:lang w:val="en-US"/>
              </w:rPr>
              <w:t>未</w:t>
            </w:r>
            <w:r>
              <w:rPr>
                <w:rFonts w:hint="default" w:ascii="Times New Roman" w:hAnsi="Times New Roman" w:cs="Times New Roman"/>
                <w:color w:val="auto"/>
                <w:kern w:val="0"/>
                <w:sz w:val="20"/>
                <w:szCs w:val="20"/>
                <w:shd w:val="clear" w:color="auto" w:fill="auto"/>
              </w:rPr>
              <w:t>申请换证的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2</w:t>
            </w:r>
          </w:p>
        </w:tc>
      </w:tr>
      <w:tr>
        <w:trPr>
          <w:trHeight w:val="482"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符合《危险废物经营许可证管理办法》第十二条应当重新申请领取危险废物经营许可证情形，</w:t>
            </w:r>
            <w:r>
              <w:rPr>
                <w:rFonts w:hint="default" w:ascii="Times New Roman" w:hAnsi="Times New Roman" w:cs="Times New Roman"/>
                <w:color w:val="auto"/>
                <w:kern w:val="0"/>
                <w:sz w:val="20"/>
                <w:szCs w:val="20"/>
                <w:shd w:val="clear" w:color="auto" w:fill="auto"/>
                <w:lang w:val="en-US"/>
              </w:rPr>
              <w:t>未重新申领</w:t>
            </w:r>
            <w:r>
              <w:rPr>
                <w:rFonts w:hint="default" w:ascii="Times New Roman" w:hAnsi="Times New Roman" w:cs="Times New Roman"/>
                <w:color w:val="auto"/>
                <w:kern w:val="0"/>
                <w:sz w:val="20"/>
                <w:szCs w:val="20"/>
                <w:shd w:val="clear" w:color="auto" w:fill="auto"/>
              </w:rPr>
              <w:t>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4</w:t>
            </w:r>
          </w:p>
        </w:tc>
      </w:tr>
      <w:tr>
        <w:trPr>
          <w:trHeight w:val="482" w:hRule="atLeast"/>
          <w:jc w:val="center"/>
        </w:trPr>
        <w:tc>
          <w:tcPr>
            <w:tcW w:w="1390"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82" w:hRule="atLeast"/>
          <w:jc w:val="center"/>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82" w:hRule="atLeast"/>
          <w:jc w:val="center"/>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82" w:hRule="atLeast"/>
          <w:jc w:val="center"/>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82" w:hRule="atLeast"/>
          <w:jc w:val="center"/>
        </w:trPr>
        <w:tc>
          <w:tcPr>
            <w:tcW w:w="139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w:t>
            </w:r>
            <w:r>
              <w:rPr>
                <w:rFonts w:hint="default" w:ascii="Times New Roman" w:hAnsi="Times New Roman" w:cs="Times New Roman"/>
                <w:b/>
                <w:bCs/>
                <w:color w:val="auto"/>
                <w:sz w:val="20"/>
                <w:szCs w:val="20"/>
                <w:shd w:val="clear" w:color="auto" w:fill="auto"/>
                <w:lang w:val="en-US"/>
              </w:rPr>
              <w:t>规模</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firstLine="2090" w:firstLineChars="1100"/>
              <w:jc w:val="both"/>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9"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备注</w:t>
            </w:r>
          </w:p>
        </w:tc>
        <w:tc>
          <w:tcPr>
            <w:tcW w:w="7670"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jc w:val="left"/>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rPr>
          <w:trHeight w:val="284" w:hRule="atLeast"/>
        </w:trPr>
        <w:tc>
          <w:tcPr>
            <w:tcW w:w="9060" w:type="dxa"/>
            <w:gridSpan w:val="3"/>
            <w:vAlign w:val="center"/>
          </w:tcPr>
          <w:p>
            <w:pPr>
              <w:widowControl/>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284"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wordWrap/>
              <w:adjustRightInd/>
              <w:snapToGrid w:val="0"/>
              <w:spacing w:before="0" w:beforeAutospacing="0" w:after="0" w:afterAutospacing="0" w:line="320" w:lineRule="exact"/>
              <w:ind w:left="0" w:right="0"/>
              <w:jc w:val="center"/>
              <w:textAlignment w:val="auto"/>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42</w:t>
            </w:r>
          </w:p>
        </w:tc>
      </w:tr>
      <w:tr>
        <w:trPr>
          <w:trHeight w:val="284"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top"/>
          </w:tcPr>
          <w:p>
            <w:pPr>
              <w:pStyle w:val="18"/>
              <w:shd w:val="clear" w:color="auto" w:fill="auto"/>
              <w:wordWrap/>
              <w:adjustRightInd/>
              <w:snapToGrid w:val="0"/>
              <w:spacing w:before="0" w:beforeAutospacing="0" w:after="0" w:afterAutospacing="0" w:line="320" w:lineRule="exact"/>
              <w:ind w:left="0" w:right="0" w:firstLine="420" w:firstLineChars="200"/>
              <w:textAlignment w:val="auto"/>
              <w:outlineLvl w:val="9"/>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危险废物经营单位终止从事收集、贮存、处置危险废物经营活动，或者危险废物的经营设施在废弃或者改作其他用途前，或者填埋危险废物的经营设施服役期届满后，未按照规定采取污染防治</w:t>
            </w:r>
            <w:r>
              <w:rPr>
                <w:rFonts w:hint="default" w:ascii="Times New Roman" w:hAnsi="Times New Roman" w:cs="Times New Roman"/>
                <w:color w:val="auto"/>
                <w:kern w:val="2"/>
                <w:sz w:val="21"/>
                <w:szCs w:val="21"/>
                <w:shd w:val="clear" w:color="auto" w:fill="auto"/>
                <w:lang w:eastAsia="zh-CN"/>
              </w:rPr>
              <w:t>措</w:t>
            </w:r>
            <w:r>
              <w:rPr>
                <w:rFonts w:hint="default" w:ascii="Times New Roman" w:hAnsi="Times New Roman" w:cs="Times New Roman"/>
                <w:color w:val="auto"/>
                <w:kern w:val="2"/>
                <w:sz w:val="21"/>
                <w:szCs w:val="21"/>
                <w:shd w:val="clear" w:color="auto" w:fill="auto"/>
              </w:rPr>
              <w:t>施，责令限期改正逾期不改正的</w:t>
            </w:r>
          </w:p>
        </w:tc>
      </w:tr>
      <w:tr>
        <w:trPr>
          <w:trHeight w:val="284" w:hRule="atLeast"/>
        </w:trPr>
        <w:tc>
          <w:tcPr>
            <w:tcW w:w="1284" w:type="dxa"/>
            <w:vAlign w:val="center"/>
          </w:tcPr>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wordWrap/>
              <w:adjustRightInd/>
              <w:snapToGrid w:val="0"/>
              <w:spacing w:before="0" w:beforeAutospacing="0" w:after="0" w:afterAutospacing="0" w:line="320" w:lineRule="exact"/>
              <w:ind w:left="0" w:right="0" w:firstLine="200"/>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 xml:space="preserve">《危险废物经营许可证管理办法》第十四条第一款 </w:t>
            </w:r>
            <w:r>
              <w:rPr>
                <w:rFonts w:hint="default" w:ascii="Times New Roman" w:hAnsi="Times New Roman" w:cs="Times New Roman"/>
                <w:color w:val="auto"/>
                <w:kern w:val="2"/>
                <w:sz w:val="21"/>
                <w:szCs w:val="21"/>
                <w:shd w:val="clear" w:color="auto" w:fill="auto"/>
              </w:rPr>
              <w:t>危险废物经营单位终止从事收集、贮存、处置危险废物经营活动的，应当对经营设施、场所采取污染防治措施，并对未处置的危险废物作出妥善处理。</w:t>
            </w:r>
          </w:p>
          <w:p>
            <w:pPr>
              <w:pStyle w:val="18"/>
              <w:shd w:val="clear" w:color="auto" w:fill="auto"/>
              <w:wordWrap/>
              <w:adjustRightInd/>
              <w:snapToGrid w:val="0"/>
              <w:spacing w:before="0" w:beforeAutospacing="0" w:after="0" w:afterAutospacing="0" w:line="320" w:lineRule="exact"/>
              <w:ind w:left="0" w:right="0" w:firstLine="422" w:firstLineChars="200"/>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 xml:space="preserve">第二十一条 </w:t>
            </w:r>
            <w:r>
              <w:rPr>
                <w:rFonts w:hint="default" w:ascii="Times New Roman" w:hAnsi="Times New Roman" w:cs="Times New Roman"/>
                <w:color w:val="auto"/>
                <w:kern w:val="2"/>
                <w:sz w:val="21"/>
                <w:szCs w:val="21"/>
                <w:shd w:val="clear" w:color="auto" w:fill="auto"/>
              </w:rPr>
              <w:t>危险废物的经营设施在废弃或者改作其他用途前，应当进行无害化处理。</w:t>
            </w:r>
          </w:p>
          <w:p>
            <w:pPr>
              <w:pStyle w:val="18"/>
              <w:shd w:val="clear" w:color="auto" w:fill="auto"/>
              <w:wordWrap/>
              <w:adjustRightInd/>
              <w:snapToGrid w:val="0"/>
              <w:spacing w:before="0" w:beforeAutospacing="0" w:after="0" w:afterAutospacing="0" w:line="320" w:lineRule="exact"/>
              <w:ind w:left="0" w:right="0" w:firstLine="420" w:firstLineChars="200"/>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填埋危险废物的经营设施服役期届满后，危险废物经营单位应当按照有关规定对填埋过危险废物的土地采取封闭措施，并在划定的封闭区域设置永久性标记。</w:t>
            </w:r>
          </w:p>
        </w:tc>
      </w:tr>
      <w:tr>
        <w:trPr>
          <w:trHeight w:val="284" w:hRule="atLeast"/>
        </w:trPr>
        <w:tc>
          <w:tcPr>
            <w:tcW w:w="1284" w:type="dxa"/>
            <w:vAlign w:val="center"/>
          </w:tcPr>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wordWrap/>
              <w:adjustRightInd/>
              <w:snapToGrid w:val="0"/>
              <w:spacing w:before="0" w:beforeAutospacing="0" w:after="0" w:afterAutospacing="0" w:line="320" w:lineRule="exact"/>
              <w:ind w:left="0" w:right="0" w:firstLine="200"/>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 xml:space="preserve">《危险废物经营许可证管理办法》第二十四条 </w:t>
            </w:r>
            <w:r>
              <w:rPr>
                <w:rFonts w:hint="default" w:ascii="Times New Roman" w:hAnsi="Times New Roman" w:cs="Times New Roman"/>
                <w:color w:val="auto"/>
                <w:kern w:val="2"/>
                <w:sz w:val="21"/>
                <w:szCs w:val="21"/>
                <w:shd w:val="clear" w:color="auto" w:fill="auto"/>
              </w:rPr>
              <w:t>违反本办法第十四条第一款、第二十一条规定的，由县级以上地方人民政府环境保护主管部门责令限期改正；逾期不改正的，处5万元以上10万元以下的罚款；造成污染事故，构成犯罪的，依法追究刑事责任。</w:t>
            </w:r>
          </w:p>
        </w:tc>
      </w:tr>
      <w:tr>
        <w:trPr>
          <w:trHeight w:val="284"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03" w:hRule="atLeast"/>
        </w:trPr>
        <w:tc>
          <w:tcPr>
            <w:tcW w:w="1284" w:type="dxa"/>
            <w:vMerge w:val="restart"/>
            <w:vAlign w:val="center"/>
          </w:tcPr>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30" w:type="dxa"/>
            <w:vAlign w:val="center"/>
          </w:tcPr>
          <w:p>
            <w:pPr>
              <w:pStyle w:val="18"/>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已采取污染防治</w:t>
            </w:r>
            <w:r>
              <w:rPr>
                <w:rFonts w:hint="default" w:ascii="Times New Roman" w:hAnsi="Times New Roman" w:cs="Times New Roman"/>
                <w:color w:val="auto"/>
                <w:kern w:val="2"/>
                <w:sz w:val="21"/>
                <w:szCs w:val="21"/>
                <w:shd w:val="clear" w:color="auto" w:fill="auto"/>
                <w:lang w:eastAsia="zh-CN"/>
              </w:rPr>
              <w:t>措</w:t>
            </w:r>
            <w:r>
              <w:rPr>
                <w:rFonts w:hint="default" w:ascii="Times New Roman" w:hAnsi="Times New Roman" w:cs="Times New Roman"/>
                <w:color w:val="auto"/>
                <w:kern w:val="2"/>
                <w:sz w:val="21"/>
                <w:szCs w:val="21"/>
                <w:shd w:val="clear" w:color="auto" w:fill="auto"/>
              </w:rPr>
              <w:t>施，但不规范的</w:t>
            </w:r>
          </w:p>
        </w:tc>
        <w:tc>
          <w:tcPr>
            <w:tcW w:w="2646" w:type="dxa"/>
            <w:vAlign w:val="center"/>
          </w:tcPr>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03" w:hRule="atLeast"/>
        </w:trPr>
        <w:tc>
          <w:tcPr>
            <w:tcW w:w="1284" w:type="dxa"/>
            <w:vMerge w:val="continue"/>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部分采取污染防治</w:t>
            </w:r>
            <w:r>
              <w:rPr>
                <w:rFonts w:hint="default" w:ascii="Times New Roman" w:hAnsi="Times New Roman" w:cs="Times New Roman"/>
                <w:color w:val="auto"/>
                <w:kern w:val="2"/>
                <w:sz w:val="21"/>
                <w:szCs w:val="21"/>
                <w:shd w:val="clear" w:color="auto" w:fill="auto"/>
                <w:lang w:eastAsia="zh-CN"/>
              </w:rPr>
              <w:t>措</w:t>
            </w:r>
            <w:r>
              <w:rPr>
                <w:rFonts w:hint="default" w:ascii="Times New Roman" w:hAnsi="Times New Roman" w:cs="Times New Roman"/>
                <w:color w:val="auto"/>
                <w:kern w:val="2"/>
                <w:sz w:val="21"/>
                <w:szCs w:val="21"/>
                <w:shd w:val="clear" w:color="auto" w:fill="auto"/>
              </w:rPr>
              <w:t>施的</w:t>
            </w:r>
          </w:p>
        </w:tc>
        <w:tc>
          <w:tcPr>
            <w:tcW w:w="2646" w:type="dxa"/>
            <w:vAlign w:val="center"/>
          </w:tcPr>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03" w:hRule="atLeast"/>
        </w:trPr>
        <w:tc>
          <w:tcPr>
            <w:tcW w:w="1284" w:type="dxa"/>
            <w:vMerge w:val="continue"/>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未采取污染防治</w:t>
            </w:r>
            <w:r>
              <w:rPr>
                <w:rFonts w:hint="default" w:ascii="Times New Roman" w:hAnsi="Times New Roman" w:cs="Times New Roman"/>
                <w:color w:val="auto"/>
                <w:kern w:val="2"/>
                <w:sz w:val="21"/>
                <w:szCs w:val="21"/>
                <w:shd w:val="clear" w:color="auto" w:fill="auto"/>
                <w:lang w:eastAsia="zh-CN"/>
              </w:rPr>
              <w:t>措</w:t>
            </w:r>
            <w:r>
              <w:rPr>
                <w:rFonts w:hint="default" w:ascii="Times New Roman" w:hAnsi="Times New Roman" w:cs="Times New Roman"/>
                <w:color w:val="auto"/>
                <w:kern w:val="2"/>
                <w:sz w:val="21"/>
                <w:szCs w:val="21"/>
                <w:shd w:val="clear" w:color="auto" w:fill="auto"/>
              </w:rPr>
              <w:t>施的</w:t>
            </w:r>
          </w:p>
        </w:tc>
        <w:tc>
          <w:tcPr>
            <w:tcW w:w="2646" w:type="dxa"/>
            <w:vAlign w:val="center"/>
          </w:tcPr>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03"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贮存、处置、填埋能力</w:t>
            </w:r>
          </w:p>
        </w:tc>
        <w:tc>
          <w:tcPr>
            <w:tcW w:w="5130" w:type="dxa"/>
            <w:vAlign w:val="center"/>
          </w:tcPr>
          <w:p>
            <w:pPr>
              <w:pStyle w:val="19"/>
              <w:shd w:val="clear" w:color="auto" w:fill="auto"/>
              <w:wordWrap/>
              <w:adjustRightInd/>
              <w:snapToGrid w:val="0"/>
              <w:spacing w:before="0" w:beforeAutospacing="0" w:after="0" w:afterAutospacing="0" w:line="320" w:lineRule="exact"/>
              <w:ind w:left="2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1000m</w:t>
            </w:r>
            <w:r>
              <w:rPr>
                <w:rFonts w:hint="default" w:ascii="Times New Roman" w:hAnsi="Times New Roman" w:cs="Times New Roman"/>
                <w:color w:val="auto"/>
                <w:sz w:val="21"/>
                <w:szCs w:val="21"/>
                <w:shd w:val="clear" w:color="auto" w:fill="auto"/>
                <w:vertAlign w:val="superscript"/>
              </w:rPr>
              <w:t>3</w:t>
            </w:r>
            <w:r>
              <w:rPr>
                <w:rFonts w:hint="default" w:ascii="Times New Roman" w:hAnsi="Times New Roman" w:cs="Times New Roman"/>
                <w:color w:val="auto"/>
                <w:sz w:val="21"/>
                <w:szCs w:val="21"/>
                <w:shd w:val="clear" w:color="auto" w:fill="auto"/>
              </w:rPr>
              <w:t>以下的</w:t>
            </w:r>
          </w:p>
        </w:tc>
        <w:tc>
          <w:tcPr>
            <w:tcW w:w="2646" w:type="dxa"/>
            <w:vAlign w:val="center"/>
          </w:tcPr>
          <w:p>
            <w:pPr>
              <w:pStyle w:val="19"/>
              <w:shd w:val="clear" w:color="auto" w:fill="auto"/>
              <w:wordWrap/>
              <w:adjustRightInd/>
              <w:snapToGrid w:val="0"/>
              <w:spacing w:before="0" w:beforeAutospacing="0" w:after="0" w:afterAutospacing="0" w:line="320" w:lineRule="exact"/>
              <w:ind w:left="7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403" w:hRule="atLeast"/>
        </w:trPr>
        <w:tc>
          <w:tcPr>
            <w:tcW w:w="1284" w:type="dxa"/>
            <w:vMerge w:val="continue"/>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8"/>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1000m</w:t>
            </w:r>
            <w:r>
              <w:rPr>
                <w:rFonts w:hint="default" w:ascii="Times New Roman" w:hAnsi="Times New Roman" w:cs="Times New Roman"/>
                <w:color w:val="auto"/>
                <w:sz w:val="21"/>
                <w:szCs w:val="21"/>
                <w:shd w:val="clear" w:color="auto" w:fill="auto"/>
                <w:vertAlign w:val="superscript"/>
              </w:rPr>
              <w:t>3</w:t>
            </w:r>
            <w:r>
              <w:rPr>
                <w:rFonts w:hint="default" w:ascii="Times New Roman" w:hAnsi="Times New Roman" w:cs="Times New Roman"/>
                <w:color w:val="auto"/>
                <w:sz w:val="21"/>
                <w:szCs w:val="21"/>
                <w:shd w:val="clear" w:color="auto" w:fill="auto"/>
              </w:rPr>
              <w:t>以上5000m</w:t>
            </w:r>
            <w:r>
              <w:rPr>
                <w:rFonts w:hint="default" w:ascii="Times New Roman" w:hAnsi="Times New Roman" w:cs="Times New Roman"/>
                <w:color w:val="auto"/>
                <w:sz w:val="21"/>
                <w:szCs w:val="21"/>
                <w:shd w:val="clear" w:color="auto" w:fill="auto"/>
                <w:vertAlign w:val="superscript"/>
              </w:rPr>
              <w:t>3</w:t>
            </w:r>
            <w:r>
              <w:rPr>
                <w:rFonts w:hint="default" w:ascii="Times New Roman" w:hAnsi="Times New Roman" w:cs="Times New Roman"/>
                <w:color w:val="auto"/>
                <w:sz w:val="21"/>
                <w:szCs w:val="21"/>
                <w:shd w:val="clear" w:color="auto" w:fill="auto"/>
              </w:rPr>
              <w:t>以下的</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3</w:t>
            </w:r>
          </w:p>
        </w:tc>
      </w:tr>
      <w:tr>
        <w:trPr>
          <w:trHeight w:val="403" w:hRule="atLeast"/>
        </w:trPr>
        <w:tc>
          <w:tcPr>
            <w:tcW w:w="1284" w:type="dxa"/>
            <w:vMerge w:val="continue"/>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5000</w:t>
            </w:r>
            <w:r>
              <w:rPr>
                <w:rFonts w:hint="default" w:ascii="Times New Roman" w:hAnsi="Times New Roman" w:cs="Times New Roman"/>
                <w:color w:val="auto"/>
                <w:sz w:val="20"/>
                <w:szCs w:val="20"/>
                <w:shd w:val="clear" w:color="auto" w:fill="auto"/>
              </w:rPr>
              <w:t>m</w:t>
            </w:r>
            <w:r>
              <w:rPr>
                <w:rFonts w:hint="default" w:ascii="Times New Roman" w:hAnsi="Times New Roman" w:cs="Times New Roman"/>
                <w:color w:val="auto"/>
                <w:sz w:val="20"/>
                <w:szCs w:val="20"/>
                <w:shd w:val="clear" w:color="auto" w:fill="auto"/>
                <w:vertAlign w:val="superscript"/>
              </w:rPr>
              <w:t>3</w:t>
            </w:r>
            <w:r>
              <w:rPr>
                <w:rFonts w:hint="default" w:ascii="Times New Roman" w:hAnsi="Times New Roman" w:cs="Times New Roman"/>
                <w:color w:val="auto"/>
                <w:kern w:val="0"/>
                <w:sz w:val="20"/>
                <w:szCs w:val="20"/>
                <w:shd w:val="clear" w:color="auto" w:fill="auto"/>
              </w:rPr>
              <w:t>以上10000</w:t>
            </w:r>
            <w:r>
              <w:rPr>
                <w:rFonts w:hint="default" w:ascii="Times New Roman" w:hAnsi="Times New Roman" w:cs="Times New Roman"/>
                <w:color w:val="auto"/>
                <w:sz w:val="20"/>
                <w:szCs w:val="20"/>
                <w:shd w:val="clear" w:color="auto" w:fill="auto"/>
              </w:rPr>
              <w:t>m</w:t>
            </w:r>
            <w:r>
              <w:rPr>
                <w:rFonts w:hint="default" w:ascii="Times New Roman" w:hAnsi="Times New Roman" w:cs="Times New Roman"/>
                <w:color w:val="auto"/>
                <w:sz w:val="20"/>
                <w:szCs w:val="20"/>
                <w:shd w:val="clear" w:color="auto" w:fill="auto"/>
                <w:vertAlign w:val="superscript"/>
              </w:rPr>
              <w:t>3</w:t>
            </w:r>
            <w:r>
              <w:rPr>
                <w:rFonts w:hint="default" w:ascii="Times New Roman" w:hAnsi="Times New Roman" w:cs="Times New Roman"/>
                <w:color w:val="auto"/>
                <w:kern w:val="0"/>
                <w:sz w:val="20"/>
                <w:szCs w:val="20"/>
                <w:shd w:val="clear" w:color="auto" w:fill="auto"/>
              </w:rPr>
              <w:t>以下的</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4</w:t>
            </w:r>
          </w:p>
        </w:tc>
      </w:tr>
      <w:tr>
        <w:trPr>
          <w:trHeight w:val="403" w:hRule="atLeast"/>
        </w:trPr>
        <w:tc>
          <w:tcPr>
            <w:tcW w:w="1284" w:type="dxa"/>
            <w:vMerge w:val="continue"/>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8"/>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10000m</w:t>
            </w:r>
            <w:r>
              <w:rPr>
                <w:rFonts w:hint="default" w:ascii="Times New Roman" w:hAnsi="Times New Roman" w:cs="Times New Roman"/>
                <w:color w:val="auto"/>
                <w:sz w:val="21"/>
                <w:szCs w:val="21"/>
                <w:shd w:val="clear" w:color="auto" w:fill="auto"/>
                <w:vertAlign w:val="superscript"/>
              </w:rPr>
              <w:t>3</w:t>
            </w:r>
            <w:r>
              <w:rPr>
                <w:rFonts w:hint="default" w:ascii="Times New Roman" w:hAnsi="Times New Roman" w:cs="Times New Roman"/>
                <w:color w:val="auto"/>
                <w:sz w:val="21"/>
                <w:szCs w:val="21"/>
                <w:shd w:val="clear" w:color="auto" w:fill="auto"/>
              </w:rPr>
              <w:t>以上的</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5</w:t>
            </w:r>
          </w:p>
        </w:tc>
      </w:tr>
      <w:tr>
        <w:trPr>
          <w:trHeight w:val="403" w:hRule="atLeast"/>
        </w:trPr>
        <w:tc>
          <w:tcPr>
            <w:tcW w:w="1284" w:type="dxa"/>
            <w:vMerge w:val="restart"/>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strike/>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0"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strike/>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strike/>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03" w:hRule="atLeast"/>
        </w:trPr>
        <w:tc>
          <w:tcPr>
            <w:tcW w:w="1284"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03" w:hRule="atLeast"/>
        </w:trPr>
        <w:tc>
          <w:tcPr>
            <w:tcW w:w="1284"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03" w:hRule="atLeast"/>
        </w:trPr>
        <w:tc>
          <w:tcPr>
            <w:tcW w:w="1284"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03" w:hRule="atLeast"/>
        </w:trPr>
        <w:tc>
          <w:tcPr>
            <w:tcW w:w="1284"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03"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eastAsia"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258"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eastAsia" w:ascii="Times New Roman" w:hAnsi="Times New Roman" w:eastAsia="宋体" w:cs="Times New Roman"/>
                <w:color w:val="auto"/>
                <w:kern w:val="0"/>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4</w:t>
            </w:r>
          </w:p>
        </w:tc>
      </w:tr>
      <w:tr>
        <w:trPr>
          <w:trHeight w:val="403"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0"/>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7天以上</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5</w:t>
            </w:r>
          </w:p>
        </w:tc>
      </w:tr>
      <w:tr>
        <w:trPr>
          <w:trHeight w:val="403"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w:t>
            </w:r>
            <w:r>
              <w:rPr>
                <w:rFonts w:hint="default" w:ascii="Times New Roman" w:hAnsi="Times New Roman" w:cs="Times New Roman"/>
                <w:b/>
                <w:bCs/>
                <w:color w:val="auto"/>
                <w:sz w:val="20"/>
                <w:szCs w:val="20"/>
                <w:shd w:val="clear" w:color="auto" w:fill="auto"/>
                <w:lang w:val="en-US"/>
              </w:rPr>
              <w:t>规模</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03"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03"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03"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firstLine="2090" w:firstLineChars="1100"/>
              <w:jc w:val="both"/>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403"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03"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403"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03"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03"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03"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03"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03"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03"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03"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03" w:hRule="atLeast"/>
        </w:trPr>
        <w:tc>
          <w:tcPr>
            <w:tcW w:w="1284" w:type="dxa"/>
            <w:vAlign w:val="center"/>
          </w:tcPr>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6" w:type="dxa"/>
            <w:gridSpan w:val="2"/>
            <w:vAlign w:val="center"/>
          </w:tcPr>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jc w:val="center"/>
        <w:rPr>
          <w:rFonts w:hint="default" w:ascii="Times New Roman" w:hAnsi="Times New Roman" w:cs="Times New Roman"/>
          <w:color w:val="auto"/>
          <w:shd w:val="clear" w:color="auto" w:fill="auto"/>
        </w:rPr>
      </w:pPr>
    </w:p>
    <w:p>
      <w:pPr>
        <w:shd w:val="clear" w:color="auto" w:fill="auto"/>
        <w:snapToGrid w:val="0"/>
        <w:jc w:val="center"/>
        <w:rPr>
          <w:rFonts w:hint="default" w:ascii="Times New Roman" w:hAnsi="Times New Roman" w:cs="Times New Roman"/>
          <w:color w:val="auto"/>
          <w:shd w:val="clear" w:color="auto" w:fill="auto"/>
        </w:rPr>
      </w:pPr>
    </w:p>
    <w:p>
      <w:pPr>
        <w:shd w:val="clear" w:color="auto" w:fill="auto"/>
        <w:snapToGrid w:val="0"/>
        <w:jc w:val="center"/>
        <w:rPr>
          <w:rFonts w:hint="default" w:ascii="Times New Roman" w:hAnsi="Times New Roman" w:cs="Times New Roman"/>
          <w:color w:val="auto"/>
          <w:shd w:val="clear" w:color="auto" w:fill="auto"/>
        </w:rPr>
      </w:pPr>
    </w:p>
    <w:p>
      <w:pPr>
        <w:shd w:val="clear" w:color="auto" w:fill="auto"/>
        <w:snapToGrid w:val="0"/>
        <w:jc w:val="center"/>
        <w:rPr>
          <w:rFonts w:hint="default" w:ascii="Times New Roman" w:hAnsi="Times New Roman" w:cs="Times New Roman"/>
          <w:color w:val="auto"/>
          <w:shd w:val="clear" w:color="auto" w:fill="auto"/>
        </w:rPr>
      </w:pPr>
    </w:p>
    <w:p>
      <w:pPr>
        <w:shd w:val="clear" w:color="auto" w:fill="auto"/>
        <w:snapToGrid w:val="0"/>
        <w:jc w:val="center"/>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c>
          <w:tcPr>
            <w:tcW w:w="9060" w:type="dxa"/>
            <w:gridSpan w:val="3"/>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43</w:t>
            </w:r>
          </w:p>
        </w:tc>
      </w:tr>
      <w:tr>
        <w:trPr>
          <w:trHeight w:val="32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center"/>
          </w:tcPr>
          <w:p>
            <w:pPr>
              <w:pStyle w:val="18"/>
              <w:shd w:val="clear" w:color="auto" w:fill="auto"/>
              <w:spacing w:before="0" w:beforeAutospacing="0" w:after="0" w:afterAutospacing="0" w:line="320" w:lineRule="exact"/>
              <w:ind w:left="0" w:right="0"/>
              <w:jc w:val="center"/>
              <w:outlineLvl w:val="9"/>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伪造、变造、转让危险废物许可证的</w:t>
            </w:r>
          </w:p>
        </w:tc>
      </w:tr>
      <w:t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《危险废物经营许可证管理办法》第十五条第四款</w:t>
            </w:r>
            <w:r>
              <w:rPr>
                <w:rFonts w:hint="default" w:ascii="Times New Roman" w:hAnsi="Times New Roman" w:cs="Times New Roman"/>
                <w:color w:val="auto"/>
                <w:kern w:val="2"/>
                <w:sz w:val="21"/>
                <w:szCs w:val="21"/>
                <w:shd w:val="clear" w:color="auto" w:fill="auto"/>
              </w:rPr>
              <w:t xml:space="preserve">  禁止伪造、变造、转让危险废物经营许可证。</w:t>
            </w:r>
          </w:p>
        </w:tc>
      </w:tr>
      <w:t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 xml:space="preserve">《危险废物经营许可证管理办法》第二十五条第二款 </w:t>
            </w:r>
            <w:r>
              <w:rPr>
                <w:rFonts w:hint="default" w:ascii="Times New Roman" w:hAnsi="Times New Roman" w:cs="Times New Roman"/>
                <w:color w:val="auto"/>
                <w:kern w:val="2"/>
                <w:sz w:val="21"/>
                <w:szCs w:val="21"/>
                <w:shd w:val="clear" w:color="auto" w:fill="auto"/>
              </w:rPr>
              <w:t>违反本办法第十五条第四款规定的，由县级以上地方人民政府环境保护主管部门收缴危险废物经营许可证或者由原发证机关吊销危险废物经营许可证，并处5万元以上10万元以下的罚款；构成犯罪的，依法追究刑事责任。</w:t>
            </w:r>
          </w:p>
        </w:tc>
      </w:tr>
      <w:tr>
        <w:trPr>
          <w:trHeight w:val="454"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rPr>
              <w:t>转让许可证</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284" w:type="dxa"/>
            <w:vMerge w:val="continue"/>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1"/>
                <w:shd w:val="clear" w:color="auto" w:fill="auto"/>
              </w:rPr>
              <w:t>伪造、变造许可证</w:t>
            </w:r>
          </w:p>
        </w:tc>
        <w:tc>
          <w:tcPr>
            <w:tcW w:w="2646" w:type="dxa"/>
            <w:vAlign w:val="center"/>
          </w:tcPr>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涉及危险</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废物数量</w:t>
            </w: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0.5吨以下的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284" w:type="dxa"/>
            <w:vMerge w:val="continue"/>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0.5吨以上1吨的</w:t>
            </w:r>
            <w:r>
              <w:rPr>
                <w:rFonts w:hint="default" w:ascii="Times New Roman" w:hAnsi="Times New Roman" w:cs="Times New Roman"/>
                <w:color w:val="auto"/>
                <w:kern w:val="2"/>
                <w:sz w:val="21"/>
                <w:szCs w:val="21"/>
                <w:shd w:val="clear" w:color="auto" w:fill="auto"/>
                <w:lang w:val="en-US"/>
              </w:rPr>
              <w:t>以下的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trPr>
        <w:tc>
          <w:tcPr>
            <w:tcW w:w="1284" w:type="dxa"/>
            <w:vMerge w:val="continue"/>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1吨以上2吨的</w:t>
            </w:r>
            <w:r>
              <w:rPr>
                <w:rFonts w:hint="default" w:ascii="Times New Roman" w:hAnsi="Times New Roman" w:cs="Times New Roman"/>
                <w:color w:val="auto"/>
                <w:kern w:val="2"/>
                <w:sz w:val="21"/>
                <w:szCs w:val="21"/>
                <w:shd w:val="clear" w:color="auto" w:fill="auto"/>
                <w:lang w:val="en-US"/>
              </w:rPr>
              <w:t>以下的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284" w:type="dxa"/>
            <w:vMerge w:val="continue"/>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2</w:t>
            </w:r>
            <w:r>
              <w:rPr>
                <w:rFonts w:hint="default" w:ascii="Times New Roman" w:hAnsi="Times New Roman" w:cs="Times New Roman"/>
                <w:color w:val="auto"/>
                <w:kern w:val="2"/>
                <w:sz w:val="21"/>
                <w:szCs w:val="21"/>
                <w:shd w:val="clear" w:color="auto" w:fill="auto"/>
              </w:rPr>
              <w:t>吨以上3吨</w:t>
            </w:r>
            <w:r>
              <w:rPr>
                <w:rFonts w:hint="default" w:ascii="Times New Roman" w:hAnsi="Times New Roman" w:cs="Times New Roman"/>
                <w:color w:val="auto"/>
                <w:kern w:val="2"/>
                <w:sz w:val="21"/>
                <w:szCs w:val="21"/>
                <w:shd w:val="clear" w:color="auto" w:fill="auto"/>
                <w:lang w:val="en-US"/>
              </w:rPr>
              <w:t>以下</w:t>
            </w:r>
            <w:r>
              <w:rPr>
                <w:rFonts w:hint="default" w:ascii="Times New Roman" w:hAnsi="Times New Roman" w:cs="Times New Roman"/>
                <w:color w:val="auto"/>
                <w:kern w:val="2"/>
                <w:sz w:val="21"/>
                <w:szCs w:val="21"/>
                <w:shd w:val="clear" w:color="auto" w:fill="auto"/>
              </w:rPr>
              <w:t>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trPr>
        <w:tc>
          <w:tcPr>
            <w:tcW w:w="1284" w:type="dxa"/>
            <w:vMerge w:val="continue"/>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3吨以上的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284" w:type="dxa"/>
            <w:vMerge w:val="continue"/>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1"/>
                <w:shd w:val="clear" w:color="auto" w:fill="auto"/>
              </w:rPr>
              <w:t>小型企业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trPr>
        <w:tc>
          <w:tcPr>
            <w:tcW w:w="1284" w:type="dxa"/>
            <w:vMerge w:val="continue"/>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1"/>
                <w:shd w:val="clear" w:color="auto" w:fill="auto"/>
              </w:rPr>
              <w:t>中型企业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284" w:type="dxa"/>
            <w:vMerge w:val="continue"/>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1"/>
                <w:shd w:val="clear" w:color="auto" w:fill="auto"/>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42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284"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776"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shd w:val="clear" w:color="auto" w:fill="auto"/>
        <w:snapToGrid w:val="0"/>
        <w:jc w:val="center"/>
        <w:rPr>
          <w:rFonts w:hint="default" w:ascii="Times New Roman" w:hAnsi="Times New Roman" w:cs="Times New Roman"/>
          <w:color w:val="auto"/>
          <w:shd w:val="clear" w:color="auto" w:fill="auto"/>
        </w:rPr>
      </w:pPr>
    </w:p>
    <w:p>
      <w:pPr>
        <w:shd w:val="clear" w:color="auto" w:fill="auto"/>
        <w:snapToGrid w:val="0"/>
        <w:jc w:val="center"/>
        <w:rPr>
          <w:rFonts w:hint="default" w:ascii="Times New Roman" w:hAnsi="Times New Roman" w:cs="Times New Roman"/>
          <w:color w:val="auto"/>
          <w:shd w:val="clear" w:color="auto" w:fill="auto"/>
        </w:rPr>
      </w:pPr>
    </w:p>
    <w:p>
      <w:pPr>
        <w:shd w:val="clear" w:color="auto" w:fill="auto"/>
        <w:snapToGrid w:val="0"/>
        <w:jc w:val="center"/>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rPr>
          <w:trHeight w:val="340" w:hRule="atLeast"/>
        </w:trPr>
        <w:tc>
          <w:tcPr>
            <w:tcW w:w="9060" w:type="dxa"/>
            <w:gridSpan w:val="3"/>
            <w:vAlign w:val="center"/>
          </w:tcPr>
          <w:p>
            <w:pPr>
              <w:widowControl/>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40"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wordWrap/>
              <w:adjustRightInd/>
              <w:snapToGrid w:val="0"/>
              <w:spacing w:before="0" w:beforeAutospacing="0" w:after="0" w:afterAutospacing="0" w:line="320" w:lineRule="exact"/>
              <w:ind w:left="0" w:right="0"/>
              <w:jc w:val="center"/>
              <w:textAlignment w:val="auto"/>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44</w:t>
            </w:r>
          </w:p>
        </w:tc>
      </w:tr>
      <w:tr>
        <w:trPr>
          <w:trHeight w:val="340"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top"/>
          </w:tcPr>
          <w:p>
            <w:pPr>
              <w:pStyle w:val="18"/>
              <w:shd w:val="clear" w:color="auto" w:fill="auto"/>
              <w:wordWrap/>
              <w:adjustRightInd/>
              <w:spacing w:before="0" w:beforeAutospacing="0" w:after="0" w:afterAutospacing="0" w:line="320" w:lineRule="exact"/>
              <w:ind w:left="0" w:right="0" w:firstLine="420"/>
              <w:textAlignment w:val="auto"/>
              <w:outlineLvl w:val="9"/>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领取危险废物收集许可证的单位，未与处置单位签订接收合同，未将收集的废矿物油和废镉镍电池在90个工作日内提供或者委托给处置单位进行处置，责令限期改正逾期不改正的</w:t>
            </w:r>
          </w:p>
        </w:tc>
      </w:tr>
      <w:tr>
        <w:trPr>
          <w:trHeight w:val="340"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wordWrap/>
              <w:adjustRightInd/>
              <w:spacing w:before="0" w:beforeAutospacing="0" w:after="0" w:afterAutospacing="0" w:line="320" w:lineRule="exact"/>
              <w:ind w:left="0" w:right="0" w:firstLine="420"/>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《危险废物经营许可证管理办法》第二十条</w:t>
            </w:r>
            <w:r>
              <w:rPr>
                <w:rFonts w:hint="default" w:ascii="Times New Roman" w:hAnsi="Times New Roman" w:cs="Times New Roman"/>
                <w:color w:val="auto"/>
                <w:kern w:val="2"/>
                <w:sz w:val="21"/>
                <w:szCs w:val="21"/>
                <w:shd w:val="clear" w:color="auto" w:fill="auto"/>
              </w:rPr>
              <w:t xml:space="preserve">  领取危险废物收集经营许可证的单位，应当与处置单位签订接收合同，并将收集的废矿物油和废镉镍电池在90个工作日内提供或者委托给处置单位进行处置。</w:t>
            </w:r>
          </w:p>
        </w:tc>
      </w:tr>
      <w:tr>
        <w:trPr>
          <w:trHeight w:val="340"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wordWrap/>
              <w:adjustRightInd/>
              <w:spacing w:before="0" w:beforeAutospacing="0" w:after="0" w:afterAutospacing="0" w:line="320" w:lineRule="exact"/>
              <w:ind w:left="0" w:right="0" w:firstLine="420"/>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 xml:space="preserve">《危险废物经营许可证管理办法》第二十七条  </w:t>
            </w:r>
            <w:r>
              <w:rPr>
                <w:rFonts w:hint="default" w:ascii="Times New Roman" w:hAnsi="Times New Roman" w:cs="Times New Roman"/>
                <w:color w:val="auto"/>
                <w:kern w:val="2"/>
                <w:sz w:val="21"/>
                <w:szCs w:val="21"/>
                <w:shd w:val="clear" w:color="auto" w:fill="auto"/>
              </w:rPr>
              <w:t>违反本办法第二十条规定的，由县级以上地方人民政府环境保护主管部门责令限期改正，给予警告；逾期不改正的，处1万元以上5万元以下的罚款，并可以由原发证机关暂扣或者吊销危险废物经营许可证。</w:t>
            </w:r>
          </w:p>
        </w:tc>
      </w:tr>
      <w:tr>
        <w:trPr>
          <w:trHeight w:val="340"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40" w:hRule="atLeast"/>
        </w:trPr>
        <w:tc>
          <w:tcPr>
            <w:tcW w:w="1284" w:type="dxa"/>
            <w:vMerge w:val="restart"/>
            <w:vAlign w:val="center"/>
          </w:tcPr>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★废矿物油或者废镉镍电池数量</w:t>
            </w:r>
          </w:p>
        </w:tc>
        <w:tc>
          <w:tcPr>
            <w:tcW w:w="5130" w:type="dxa"/>
            <w:vAlign w:val="center"/>
          </w:tcPr>
          <w:p>
            <w:pPr>
              <w:pStyle w:val="19"/>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0.5吨以下的</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284" w:type="dxa"/>
            <w:vMerge w:val="continue"/>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0.5吨以上1吨</w:t>
            </w:r>
            <w:r>
              <w:rPr>
                <w:rFonts w:hint="default" w:ascii="Times New Roman" w:hAnsi="Times New Roman" w:cs="Times New Roman"/>
                <w:color w:val="auto"/>
                <w:kern w:val="2"/>
                <w:sz w:val="21"/>
                <w:szCs w:val="21"/>
                <w:shd w:val="clear" w:color="auto" w:fill="auto"/>
                <w:lang w:val="en-US"/>
              </w:rPr>
              <w:t>以下</w:t>
            </w:r>
            <w:r>
              <w:rPr>
                <w:rFonts w:hint="default" w:ascii="Times New Roman" w:hAnsi="Times New Roman" w:cs="Times New Roman"/>
                <w:color w:val="auto"/>
                <w:kern w:val="2"/>
                <w:sz w:val="21"/>
                <w:szCs w:val="21"/>
                <w:shd w:val="clear" w:color="auto" w:fill="auto"/>
              </w:rPr>
              <w:t>的</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40" w:hRule="atLeast"/>
        </w:trPr>
        <w:tc>
          <w:tcPr>
            <w:tcW w:w="1284" w:type="dxa"/>
            <w:vMerge w:val="continue"/>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1吨以上2吨</w:t>
            </w:r>
            <w:r>
              <w:rPr>
                <w:rFonts w:hint="default" w:ascii="Times New Roman" w:hAnsi="Times New Roman" w:cs="Times New Roman"/>
                <w:color w:val="auto"/>
                <w:kern w:val="2"/>
                <w:sz w:val="21"/>
                <w:szCs w:val="21"/>
                <w:shd w:val="clear" w:color="auto" w:fill="auto"/>
                <w:lang w:val="en-US"/>
              </w:rPr>
              <w:t>以下</w:t>
            </w:r>
            <w:r>
              <w:rPr>
                <w:rFonts w:hint="default" w:ascii="Times New Roman" w:hAnsi="Times New Roman" w:cs="Times New Roman"/>
                <w:color w:val="auto"/>
                <w:kern w:val="2"/>
                <w:sz w:val="21"/>
                <w:szCs w:val="21"/>
                <w:shd w:val="clear" w:color="auto" w:fill="auto"/>
              </w:rPr>
              <w:t>的</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trPr>
        <w:tc>
          <w:tcPr>
            <w:tcW w:w="1284" w:type="dxa"/>
            <w:vMerge w:val="continue"/>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2吨以上3吨</w:t>
            </w:r>
            <w:r>
              <w:rPr>
                <w:rFonts w:hint="default" w:ascii="Times New Roman" w:hAnsi="Times New Roman" w:cs="Times New Roman"/>
                <w:color w:val="auto"/>
                <w:kern w:val="2"/>
                <w:sz w:val="21"/>
                <w:szCs w:val="21"/>
                <w:shd w:val="clear" w:color="auto" w:fill="auto"/>
                <w:lang w:val="en-US"/>
              </w:rPr>
              <w:t>以下</w:t>
            </w:r>
            <w:r>
              <w:rPr>
                <w:rFonts w:hint="default" w:ascii="Times New Roman" w:hAnsi="Times New Roman" w:cs="Times New Roman"/>
                <w:color w:val="auto"/>
                <w:kern w:val="2"/>
                <w:sz w:val="21"/>
                <w:szCs w:val="21"/>
                <w:shd w:val="clear" w:color="auto" w:fill="auto"/>
              </w:rPr>
              <w:t>的</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40" w:hRule="atLeast"/>
        </w:trPr>
        <w:tc>
          <w:tcPr>
            <w:tcW w:w="1284" w:type="dxa"/>
            <w:vMerge w:val="continue"/>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kern w:val="2"/>
                <w:sz w:val="21"/>
                <w:szCs w:val="21"/>
                <w:shd w:val="clear" w:color="auto" w:fill="auto"/>
              </w:rPr>
            </w:pPr>
            <w:r>
              <w:rPr>
                <w:rFonts w:hint="eastAsia" w:ascii="Times New Roman" w:hAnsi="Times New Roman" w:cs="Times New Roman"/>
                <w:color w:val="auto"/>
                <w:kern w:val="2"/>
                <w:sz w:val="21"/>
                <w:szCs w:val="21"/>
                <w:shd w:val="clear" w:color="auto" w:fill="auto"/>
                <w:lang w:val="en-US" w:eastAsia="zh-CN"/>
              </w:rPr>
              <w:t>3</w:t>
            </w:r>
            <w:r>
              <w:rPr>
                <w:rFonts w:hint="default" w:ascii="Times New Roman" w:hAnsi="Times New Roman" w:cs="Times New Roman"/>
                <w:color w:val="auto"/>
                <w:kern w:val="2"/>
                <w:sz w:val="21"/>
                <w:szCs w:val="21"/>
                <w:shd w:val="clear" w:color="auto" w:fill="auto"/>
              </w:rPr>
              <w:t>吨以上的</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trPr>
        <w:tc>
          <w:tcPr>
            <w:tcW w:w="128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40"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eastAsia"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40"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eastAsia"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40"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w:t>
            </w:r>
            <w:r>
              <w:rPr>
                <w:rFonts w:hint="default" w:ascii="Times New Roman" w:hAnsi="Times New Roman" w:cs="Times New Roman"/>
                <w:b/>
                <w:bCs/>
                <w:color w:val="auto"/>
                <w:sz w:val="20"/>
                <w:szCs w:val="20"/>
                <w:shd w:val="clear" w:color="auto" w:fill="auto"/>
                <w:lang w:val="en-US"/>
              </w:rPr>
              <w:t>规模</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40"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40"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40"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firstLine="2090" w:firstLineChars="1100"/>
              <w:jc w:val="both"/>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40"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40"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40"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40"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6" w:type="dxa"/>
            <w:gridSpan w:val="2"/>
            <w:vAlign w:val="center"/>
          </w:tcPr>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20" w:lineRule="exact"/>
              <w:ind w:left="0" w:right="0" w:firstLine="420"/>
              <w:jc w:val="center"/>
              <w:textAlignment w:val="auto"/>
              <w:rPr>
                <w:rFonts w:hint="default" w:ascii="Times New Roman" w:hAnsi="Times New Roman" w:cs="Times New Roman"/>
                <w:color w:val="auto"/>
                <w:sz w:val="20"/>
                <w:szCs w:val="20"/>
                <w:shd w:val="clear" w:color="auto" w:fill="auto"/>
              </w:rPr>
            </w:pPr>
          </w:p>
        </w:tc>
      </w:tr>
    </w:tbl>
    <w:p>
      <w:pPr>
        <w:shd w:val="clear" w:color="auto" w:fill="auto"/>
        <w:snapToGrid w:val="0"/>
        <w:jc w:val="center"/>
        <w:rPr>
          <w:rFonts w:hint="default" w:ascii="Times New Roman" w:hAnsi="Times New Roman" w:cs="Times New Roman"/>
          <w:color w:val="auto"/>
          <w:shd w:val="clear" w:color="auto" w:fill="auto"/>
        </w:rPr>
      </w:pPr>
    </w:p>
    <w:p>
      <w:pPr>
        <w:shd w:val="clear" w:color="auto" w:fill="auto"/>
        <w:snapToGrid w:val="0"/>
        <w:jc w:val="center"/>
        <w:rPr>
          <w:rFonts w:hint="default" w:ascii="Times New Roman" w:hAnsi="Times New Roman" w:cs="Times New Roman"/>
          <w:color w:val="auto"/>
          <w:shd w:val="clear" w:color="auto" w:fill="auto"/>
        </w:rPr>
      </w:pPr>
    </w:p>
    <w:p>
      <w:pPr>
        <w:shd w:val="clear" w:color="auto" w:fill="auto"/>
        <w:snapToGrid w:val="0"/>
        <w:jc w:val="center"/>
        <w:rPr>
          <w:rFonts w:hint="default" w:ascii="Times New Roman" w:hAnsi="Times New Roman" w:cs="Times New Roman"/>
          <w:color w:val="auto"/>
          <w:shd w:val="clear" w:color="auto" w:fill="auto"/>
        </w:rPr>
      </w:pPr>
    </w:p>
    <w:p>
      <w:pPr>
        <w:shd w:val="clear" w:color="auto" w:fill="auto"/>
        <w:snapToGrid w:val="0"/>
        <w:jc w:val="center"/>
        <w:rPr>
          <w:rFonts w:hint="default" w:ascii="Times New Roman" w:hAnsi="Times New Roman" w:cs="Times New Roman"/>
          <w:color w:val="auto"/>
          <w:shd w:val="clear" w:color="auto" w:fill="auto"/>
        </w:rPr>
      </w:pP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c>
          <w:tcPr>
            <w:tcW w:w="9060" w:type="dxa"/>
            <w:gridSpan w:val="3"/>
            <w:vAlign w:val="center"/>
          </w:tcPr>
          <w:p>
            <w:pPr>
              <w:widowControl/>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97" w:hRule="atLeast"/>
        </w:trPr>
        <w:tc>
          <w:tcPr>
            <w:tcW w:w="1284"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wordWrap/>
              <w:adjustRightInd/>
              <w:snapToGrid/>
              <w:spacing w:before="0" w:beforeAutospacing="0" w:after="0" w:afterAutospacing="0" w:line="310" w:lineRule="exact"/>
              <w:ind w:left="0" w:right="0"/>
              <w:jc w:val="center"/>
              <w:textAlignment w:val="auto"/>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45</w:t>
            </w:r>
          </w:p>
        </w:tc>
      </w:tr>
      <w:tr>
        <w:trPr>
          <w:trHeight w:val="397" w:hRule="atLeast"/>
        </w:trPr>
        <w:tc>
          <w:tcPr>
            <w:tcW w:w="1284"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center"/>
          </w:tcPr>
          <w:p>
            <w:pPr>
              <w:pStyle w:val="18"/>
              <w:shd w:val="clear" w:color="auto" w:fill="auto"/>
              <w:wordWrap/>
              <w:adjustRightInd/>
              <w:snapToGrid/>
              <w:spacing w:before="0" w:beforeAutospacing="0" w:after="0" w:afterAutospacing="0" w:line="310" w:lineRule="exact"/>
              <w:ind w:left="0" w:right="0"/>
              <w:jc w:val="center"/>
              <w:textAlignment w:val="auto"/>
              <w:outlineLvl w:val="9"/>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未取得废弃电器电子产品处理资格擅自从事废弃电器电子产品处理活动的</w:t>
            </w:r>
          </w:p>
        </w:tc>
      </w:tr>
      <w:tr>
        <w:tc>
          <w:tcPr>
            <w:tcW w:w="1284"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wordWrap/>
              <w:adjustRightInd/>
              <w:snapToGrid/>
              <w:spacing w:before="0" w:beforeAutospacing="0" w:after="0" w:afterAutospacing="0" w:line="31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《废弃电器电子产品回收处理管理条例》第十二条第二款</w:t>
            </w:r>
            <w:r>
              <w:rPr>
                <w:rFonts w:hint="default" w:ascii="Times New Roman" w:hAnsi="Times New Roman" w:cs="Times New Roman"/>
                <w:color w:val="auto"/>
                <w:sz w:val="21"/>
                <w:szCs w:val="21"/>
                <w:shd w:val="clear" w:color="auto" w:fill="auto"/>
              </w:rPr>
              <w:t xml:space="preserve">  废弃电器电子产品回收经营者对回收的废弃电器电子产品进行处理，应当依照本条例规定取得废弃电器电子产品处理资格；未取得处理资格的，应当将回收的废弃电器电子产品交有废弃电器电子产品处理资格的处理企业处理。</w:t>
            </w:r>
          </w:p>
        </w:tc>
      </w:tr>
      <w:tr>
        <w:tc>
          <w:tcPr>
            <w:tcW w:w="1284"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wordWrap/>
              <w:adjustRightInd/>
              <w:snapToGrid/>
              <w:spacing w:before="0" w:beforeAutospacing="0" w:after="0" w:afterAutospacing="0" w:line="31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《废弃电器电子产品回收处理管理条例》第二十八条  </w:t>
            </w:r>
            <w:r>
              <w:rPr>
                <w:rFonts w:hint="default" w:ascii="Times New Roman" w:hAnsi="Times New Roman" w:cs="Times New Roman"/>
                <w:color w:val="auto"/>
                <w:sz w:val="21"/>
                <w:szCs w:val="21"/>
                <w:shd w:val="clear" w:color="auto" w:fill="auto"/>
              </w:rPr>
              <w:t>违反本条例规定，未取得废弃电器电子产品处理资格擅自从事废弃电器电子产品处理活动的，由县级以上人民政府生态环境主管部门责令停业、关闭，没收违法所得，并处5万元以上50万元以下的罚款。</w:t>
            </w:r>
          </w:p>
        </w:tc>
      </w:tr>
      <w:tr>
        <w:trPr>
          <w:trHeight w:val="397" w:hRule="atLeast"/>
        </w:trPr>
        <w:tc>
          <w:tcPr>
            <w:tcW w:w="1284"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284" w:type="dxa"/>
            <w:vMerge w:val="restart"/>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★违法所得</w:t>
            </w:r>
          </w:p>
        </w:tc>
        <w:tc>
          <w:tcPr>
            <w:tcW w:w="5130" w:type="dxa"/>
            <w:vAlign w:val="center"/>
          </w:tcPr>
          <w:p>
            <w:pPr>
              <w:pStyle w:val="18"/>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10万元以下</w:t>
            </w:r>
          </w:p>
        </w:tc>
        <w:tc>
          <w:tcPr>
            <w:tcW w:w="2646"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10万元以上30万元</w:t>
            </w:r>
            <w:r>
              <w:rPr>
                <w:rFonts w:hint="default" w:ascii="Times New Roman" w:hAnsi="Times New Roman" w:cs="Times New Roman"/>
                <w:color w:val="auto"/>
                <w:sz w:val="21"/>
                <w:szCs w:val="21"/>
                <w:shd w:val="clear" w:color="auto" w:fill="auto"/>
                <w:lang w:val="en-US"/>
              </w:rPr>
              <w:t>以下</w:t>
            </w:r>
          </w:p>
        </w:tc>
        <w:tc>
          <w:tcPr>
            <w:tcW w:w="2646"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284" w:type="dxa"/>
            <w:vMerge w:val="continue"/>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30万元以上50万元</w:t>
            </w:r>
            <w:r>
              <w:rPr>
                <w:rFonts w:hint="default" w:ascii="Times New Roman" w:hAnsi="Times New Roman" w:cs="Times New Roman"/>
                <w:color w:val="auto"/>
                <w:sz w:val="21"/>
                <w:szCs w:val="21"/>
                <w:shd w:val="clear" w:color="auto" w:fill="auto"/>
                <w:lang w:val="en-US"/>
              </w:rPr>
              <w:t>以下</w:t>
            </w:r>
          </w:p>
        </w:tc>
        <w:tc>
          <w:tcPr>
            <w:tcW w:w="2646"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50万元以上100万元</w:t>
            </w:r>
            <w:r>
              <w:rPr>
                <w:rFonts w:hint="default" w:ascii="Times New Roman" w:hAnsi="Times New Roman" w:cs="Times New Roman"/>
                <w:color w:val="auto"/>
                <w:sz w:val="21"/>
                <w:szCs w:val="21"/>
                <w:shd w:val="clear" w:color="auto" w:fill="auto"/>
                <w:lang w:val="en-US"/>
              </w:rPr>
              <w:t>以下</w:t>
            </w:r>
          </w:p>
        </w:tc>
        <w:tc>
          <w:tcPr>
            <w:tcW w:w="2646"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284" w:type="dxa"/>
            <w:vMerge w:val="continue"/>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100万元以上</w:t>
            </w:r>
          </w:p>
        </w:tc>
        <w:tc>
          <w:tcPr>
            <w:tcW w:w="2646"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涉及废弃电器电子产品数量</w:t>
            </w:r>
          </w:p>
        </w:tc>
        <w:tc>
          <w:tcPr>
            <w:tcW w:w="5130"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10件</w:t>
            </w:r>
            <w:r>
              <w:rPr>
                <w:rFonts w:hint="default" w:ascii="Times New Roman" w:hAnsi="Times New Roman" w:cs="Times New Roman"/>
                <w:color w:val="auto"/>
                <w:sz w:val="21"/>
                <w:szCs w:val="21"/>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646"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10件以上20件</w:t>
            </w:r>
            <w:r>
              <w:rPr>
                <w:rFonts w:hint="default" w:ascii="Times New Roman" w:hAnsi="Times New Roman" w:cs="Times New Roman"/>
                <w:color w:val="auto"/>
                <w:sz w:val="21"/>
                <w:szCs w:val="21"/>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646"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20件以上的</w:t>
            </w:r>
          </w:p>
        </w:tc>
        <w:tc>
          <w:tcPr>
            <w:tcW w:w="2646"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widowControl w:val="0"/>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wordWrap/>
              <w:adjustRightInd/>
              <w:snapToGrid/>
              <w:spacing w:before="0" w:beforeAutospacing="0" w:after="0" w:afterAutospacing="0" w:line="310" w:lineRule="exact"/>
              <w:ind w:left="0" w:leftChars="0" w:right="0"/>
              <w:jc w:val="center"/>
              <w:textAlignment w:val="auto"/>
              <w:rPr>
                <w:rFonts w:hint="default" w:ascii="Times New Roman" w:hAnsi="Times New Roman" w:cs="Times New Roman"/>
                <w:b/>
                <w:bCs/>
                <w:strike/>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0" w:type="dxa"/>
            <w:vAlign w:val="center"/>
          </w:tcPr>
          <w:p>
            <w:pPr>
              <w:widowControl w:val="0"/>
              <w:shd w:val="clear" w:color="auto" w:fill="auto"/>
              <w:wordWrap/>
              <w:adjustRightInd/>
              <w:snapToGrid/>
              <w:spacing w:before="0" w:beforeAutospacing="0" w:after="0" w:afterAutospacing="0" w:line="310" w:lineRule="exact"/>
              <w:ind w:left="0" w:leftChars="0" w:right="0"/>
              <w:jc w:val="center"/>
              <w:textAlignment w:val="auto"/>
              <w:rPr>
                <w:rFonts w:hint="default" w:ascii="Times New Roman" w:hAnsi="Times New Roman" w:cs="Times New Roman"/>
                <w:strike/>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spacing w:before="0" w:beforeAutospacing="0" w:after="0" w:afterAutospacing="0" w:line="310" w:lineRule="exact"/>
              <w:ind w:left="0" w:leftChars="0" w:right="0"/>
              <w:jc w:val="center"/>
              <w:textAlignment w:val="auto"/>
              <w:rPr>
                <w:rFonts w:hint="default" w:ascii="Times New Roman" w:hAnsi="Times New Roman" w:cs="Times New Roman"/>
                <w:strike/>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284" w:type="dxa"/>
            <w:vMerge w:val="continue"/>
            <w:vAlign w:val="center"/>
          </w:tcPr>
          <w:p>
            <w:pPr>
              <w:widowControl w:val="0"/>
              <w:shd w:val="clear" w:color="auto" w:fill="auto"/>
              <w:wordWrap/>
              <w:adjustRightInd/>
              <w:snapToGrid/>
              <w:spacing w:before="0" w:beforeAutospacing="0" w:after="0" w:afterAutospacing="0" w:line="31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spacing w:before="0" w:beforeAutospacing="0" w:after="0" w:afterAutospacing="0" w:line="31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spacing w:before="0" w:beforeAutospacing="0" w:after="0" w:afterAutospacing="0" w:line="31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284" w:type="dxa"/>
            <w:vMerge w:val="continue"/>
            <w:vAlign w:val="center"/>
          </w:tcPr>
          <w:p>
            <w:pPr>
              <w:widowControl w:val="0"/>
              <w:shd w:val="clear" w:color="auto" w:fill="auto"/>
              <w:wordWrap/>
              <w:adjustRightInd/>
              <w:snapToGrid/>
              <w:spacing w:before="0" w:beforeAutospacing="0" w:after="0" w:afterAutospacing="0" w:line="31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spacing w:before="0" w:beforeAutospacing="0" w:after="0" w:afterAutospacing="0" w:line="31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spacing w:before="0" w:beforeAutospacing="0" w:after="0" w:afterAutospacing="0" w:line="31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284" w:type="dxa"/>
            <w:vMerge w:val="continue"/>
            <w:vAlign w:val="center"/>
          </w:tcPr>
          <w:p>
            <w:pPr>
              <w:widowControl w:val="0"/>
              <w:shd w:val="clear" w:color="auto" w:fill="auto"/>
              <w:wordWrap/>
              <w:adjustRightInd/>
              <w:snapToGrid/>
              <w:spacing w:before="0" w:beforeAutospacing="0" w:after="0" w:afterAutospacing="0" w:line="31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spacing w:before="0" w:beforeAutospacing="0" w:after="0" w:afterAutospacing="0" w:line="31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spacing w:before="0" w:beforeAutospacing="0" w:after="0" w:afterAutospacing="0" w:line="31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284" w:type="dxa"/>
            <w:vMerge w:val="continue"/>
            <w:vAlign w:val="center"/>
          </w:tcPr>
          <w:p>
            <w:pPr>
              <w:widowControl w:val="0"/>
              <w:shd w:val="clear" w:color="auto" w:fill="auto"/>
              <w:wordWrap/>
              <w:adjustRightInd/>
              <w:snapToGrid/>
              <w:spacing w:before="0" w:beforeAutospacing="0" w:after="0" w:afterAutospacing="0" w:line="31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spacing w:before="0" w:beforeAutospacing="0" w:after="0" w:afterAutospacing="0" w:line="31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wordWrap/>
              <w:adjustRightInd/>
              <w:snapToGrid/>
              <w:spacing w:before="0" w:beforeAutospacing="0" w:after="0" w:afterAutospacing="0" w:line="31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284" w:type="dxa"/>
            <w:vMerge w:val="restart"/>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w:t>
            </w:r>
            <w:r>
              <w:rPr>
                <w:rFonts w:hint="default" w:ascii="Times New Roman" w:hAnsi="Times New Roman" w:cs="Times New Roman"/>
                <w:b/>
                <w:bCs/>
                <w:color w:val="auto"/>
                <w:sz w:val="20"/>
                <w:szCs w:val="20"/>
                <w:shd w:val="clear" w:color="auto" w:fill="auto"/>
                <w:lang w:val="en-US"/>
              </w:rPr>
              <w:t>规模</w:t>
            </w:r>
          </w:p>
        </w:tc>
        <w:tc>
          <w:tcPr>
            <w:tcW w:w="5130"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6"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6"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284" w:type="dxa"/>
            <w:vMerge w:val="continue"/>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646"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spacing w:before="0" w:beforeAutospacing="0" w:after="0" w:afterAutospacing="0" w:line="310" w:lineRule="exact"/>
              <w:ind w:left="0" w:right="0" w:firstLine="2090" w:firstLineChars="1100"/>
              <w:jc w:val="both"/>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2646"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trPr>
        <w:tc>
          <w:tcPr>
            <w:tcW w:w="1284" w:type="dxa"/>
            <w:vMerge w:val="restart"/>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trPr>
        <w:tc>
          <w:tcPr>
            <w:tcW w:w="1284" w:type="dxa"/>
            <w:vMerge w:val="continue"/>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restart"/>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wordWrap/>
              <w:adjustRightInd/>
              <w:snapToGrid/>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284" w:type="dxa"/>
            <w:vMerge w:val="continue"/>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6" w:type="dxa"/>
            <w:gridSpan w:val="2"/>
            <w:vAlign w:val="center"/>
          </w:tcPr>
          <w:p>
            <w:pPr>
              <w:shd w:val="clear" w:color="auto" w:fill="auto"/>
              <w:snapToGrid/>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jc w:val="center"/>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c>
          <w:tcPr>
            <w:tcW w:w="9060" w:type="dxa"/>
            <w:gridSpan w:val="3"/>
            <w:vAlign w:val="center"/>
          </w:tcPr>
          <w:p>
            <w:pPr>
              <w:widowControl/>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97" w:hRule="atLeast"/>
        </w:trPr>
        <w:tc>
          <w:tcPr>
            <w:tcW w:w="128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wordWrap/>
              <w:adjustRightInd/>
              <w:snapToGrid w:val="0"/>
              <w:spacing w:before="0" w:beforeAutospacing="0" w:after="0" w:afterAutospacing="0" w:line="30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243" w:name="_Toc10568"/>
            <w:r>
              <w:rPr>
                <w:rFonts w:hint="default" w:ascii="Times New Roman" w:hAnsi="Times New Roman" w:cs="Times New Roman"/>
                <w:color w:val="auto"/>
                <w:sz w:val="20"/>
                <w:szCs w:val="20"/>
                <w:shd w:val="clear" w:color="auto" w:fill="auto"/>
              </w:rPr>
              <w:t>46</w:t>
            </w:r>
            <w:bookmarkEnd w:id="243"/>
          </w:p>
        </w:tc>
      </w:tr>
      <w:tr>
        <w:trPr>
          <w:trHeight w:val="397" w:hRule="atLeast"/>
        </w:trPr>
        <w:tc>
          <w:tcPr>
            <w:tcW w:w="128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top"/>
          </w:tcPr>
          <w:p>
            <w:pPr>
              <w:pStyle w:val="18"/>
              <w:shd w:val="clear" w:color="auto" w:fill="auto"/>
              <w:wordWrap/>
              <w:adjustRightInd/>
              <w:spacing w:before="0" w:beforeAutospacing="0" w:after="0" w:afterAutospacing="0" w:line="300" w:lineRule="exact"/>
              <w:ind w:left="0" w:right="0" w:firstLine="420"/>
              <w:textAlignment w:val="auto"/>
              <w:outlineLvl w:val="9"/>
              <w:rPr>
                <w:rFonts w:hint="default" w:ascii="Times New Roman" w:hAnsi="Times New Roman" w:cs="Times New Roman"/>
                <w:color w:val="auto"/>
                <w:sz w:val="21"/>
                <w:szCs w:val="21"/>
                <w:shd w:val="clear" w:color="auto" w:fill="auto"/>
              </w:rPr>
            </w:pPr>
            <w:bookmarkStart w:id="244" w:name="_Toc14860"/>
            <w:r>
              <w:rPr>
                <w:rFonts w:hint="default" w:ascii="Times New Roman" w:hAnsi="Times New Roman" w:cs="Times New Roman"/>
                <w:color w:val="auto"/>
                <w:sz w:val="21"/>
                <w:szCs w:val="21"/>
                <w:shd w:val="clear" w:color="auto" w:fill="auto"/>
              </w:rPr>
              <w:t>处理企业未建立废弃电器电子产品的数据信息管理系统，未按规定报送基本数据和有关情况或者报送基本数据、有关情况不真实，或者未按规定期限保存基本数据的</w:t>
            </w:r>
            <w:bookmarkEnd w:id="244"/>
          </w:p>
        </w:tc>
      </w:tr>
      <w:tr>
        <w:tc>
          <w:tcPr>
            <w:tcW w:w="128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wordWrap/>
              <w:adjustRightInd/>
              <w:spacing w:before="0" w:beforeAutospacing="0" w:after="0" w:afterAutospacing="0" w:line="30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《废弃电器电子产品回收处理管理条例》第十七条</w:t>
            </w:r>
            <w:r>
              <w:rPr>
                <w:rFonts w:hint="default" w:ascii="Times New Roman" w:hAnsi="Times New Roman" w:cs="Times New Roman"/>
                <w:color w:val="auto"/>
                <w:sz w:val="21"/>
                <w:szCs w:val="21"/>
                <w:shd w:val="clear" w:color="auto" w:fill="auto"/>
              </w:rPr>
              <w:t xml:space="preserve">  处理企业应当建立废弃电器电子产品的数据信息管理系统，向所在地的设区的市级人民政府生态环境主管部门报送废弃电器电子产品处理的基本数据和有关情况。废弃电器电子产品处理的基本数据的保存期限不得少于3年。</w:t>
            </w:r>
          </w:p>
        </w:tc>
      </w:tr>
      <w:tr>
        <w:tc>
          <w:tcPr>
            <w:tcW w:w="128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wordWrap/>
              <w:adjustRightInd/>
              <w:spacing w:before="0" w:beforeAutospacing="0" w:after="0" w:afterAutospacing="0" w:line="30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《废弃电器电子产品回收处理管理条例》第三十一条  </w:t>
            </w:r>
            <w:r>
              <w:rPr>
                <w:rFonts w:hint="default" w:ascii="Times New Roman" w:hAnsi="Times New Roman" w:cs="Times New Roman"/>
                <w:color w:val="auto"/>
                <w:sz w:val="21"/>
                <w:szCs w:val="21"/>
                <w:shd w:val="clear" w:color="auto" w:fill="auto"/>
              </w:rPr>
              <w:t>违反本条例规定，处理企业未建立废弃电器电子产品的数据信息管理系统，未按规定报送基本数据和有关情况或者报送基本数据、有关情况不真实，或者未按规定期限保存基本数据的，由所在地的设区的市级人民政府生态环境主管部门责令限期改正，可以处5万元以下的罚款。</w:t>
            </w:r>
          </w:p>
        </w:tc>
      </w:tr>
      <w:tr>
        <w:trPr>
          <w:trHeight w:val="369" w:hRule="atLeast"/>
        </w:trPr>
        <w:tc>
          <w:tcPr>
            <w:tcW w:w="128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trPr>
        <w:tc>
          <w:tcPr>
            <w:tcW w:w="1284"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建立废弃电器电子产品的数据信息管理系统，报送基本数据和有关情况或者报送基本数据，保存基本数据的，但不规范的</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8"/>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建立废弃电器电子产品的数据信息管理系统，报送基本数据和有关情况或者报送基本数据，保存基本数据的，但不完整的</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8"/>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未建立废弃电器电子产品的数据信息管理系统，未按规定报送基本数据和有关情况或者报送基本数据、有关情况不真实，或者未按规定期限保存基本数据的</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trPr>
        <w:tc>
          <w:tcPr>
            <w:tcW w:w="1284"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涉及废弃电器电子产品数量</w:t>
            </w:r>
          </w:p>
        </w:tc>
        <w:tc>
          <w:tcPr>
            <w:tcW w:w="5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10件</w:t>
            </w:r>
            <w:r>
              <w:rPr>
                <w:rFonts w:hint="default" w:ascii="Times New Roman" w:hAnsi="Times New Roman" w:cs="Times New Roman"/>
                <w:color w:val="auto"/>
                <w:sz w:val="21"/>
                <w:szCs w:val="21"/>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10件以上20件</w:t>
            </w:r>
            <w:r>
              <w:rPr>
                <w:rFonts w:hint="default" w:ascii="Times New Roman" w:hAnsi="Times New Roman" w:cs="Times New Roman"/>
                <w:color w:val="auto"/>
                <w:sz w:val="21"/>
                <w:szCs w:val="21"/>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20件以上的</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284"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保存时限</w:t>
            </w:r>
          </w:p>
        </w:tc>
        <w:tc>
          <w:tcPr>
            <w:tcW w:w="5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2年以上3年以</w:t>
            </w:r>
            <w:r>
              <w:rPr>
                <w:rFonts w:hint="default" w:ascii="Times New Roman" w:hAnsi="Times New Roman" w:cs="Times New Roman"/>
                <w:color w:val="auto"/>
                <w:sz w:val="20"/>
                <w:szCs w:val="20"/>
                <w:shd w:val="clear" w:color="auto" w:fill="auto"/>
                <w:lang w:eastAsia="zh-CN"/>
              </w:rPr>
              <w:t>下</w:t>
            </w:r>
            <w:r>
              <w:rPr>
                <w:rFonts w:hint="default" w:ascii="Times New Roman" w:hAnsi="Times New Roman" w:cs="Times New Roman"/>
                <w:color w:val="auto"/>
                <w:sz w:val="20"/>
                <w:szCs w:val="20"/>
                <w:shd w:val="clear" w:color="auto" w:fill="auto"/>
              </w:rPr>
              <w:t>的</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1年以上2年以</w:t>
            </w:r>
            <w:r>
              <w:rPr>
                <w:rFonts w:hint="default" w:ascii="Times New Roman" w:hAnsi="Times New Roman" w:cs="Times New Roman"/>
                <w:color w:val="auto"/>
                <w:sz w:val="20"/>
                <w:szCs w:val="20"/>
                <w:shd w:val="clear" w:color="auto" w:fill="auto"/>
                <w:lang w:eastAsia="zh-CN"/>
              </w:rPr>
              <w:t>下</w:t>
            </w:r>
            <w:r>
              <w:rPr>
                <w:rFonts w:hint="default" w:ascii="Times New Roman" w:hAnsi="Times New Roman" w:cs="Times New Roman"/>
                <w:color w:val="auto"/>
                <w:sz w:val="20"/>
                <w:szCs w:val="20"/>
                <w:shd w:val="clear" w:color="auto" w:fill="auto"/>
              </w:rPr>
              <w:t>的</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1年</w:t>
            </w:r>
            <w:r>
              <w:rPr>
                <w:rFonts w:hint="default" w:ascii="Times New Roman" w:hAnsi="Times New Roman" w:cs="Times New Roman"/>
                <w:color w:val="auto"/>
                <w:sz w:val="21"/>
                <w:szCs w:val="21"/>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284" w:type="dxa"/>
            <w:vMerge w:val="restart"/>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0"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trPr>
        <w:tc>
          <w:tcPr>
            <w:tcW w:w="1284"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trPr>
        <w:tc>
          <w:tcPr>
            <w:tcW w:w="1284"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trPr>
        <w:tc>
          <w:tcPr>
            <w:tcW w:w="1284"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trPr>
        <w:tc>
          <w:tcPr>
            <w:tcW w:w="1284"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69" w:hRule="atLeast"/>
        </w:trPr>
        <w:tc>
          <w:tcPr>
            <w:tcW w:w="1284"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val="en-US"/>
              </w:rPr>
              <w:t>改正时间</w:t>
            </w:r>
          </w:p>
        </w:tc>
        <w:tc>
          <w:tcPr>
            <w:tcW w:w="5130"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kern w:val="2"/>
                <w:sz w:val="21"/>
                <w:szCs w:val="21"/>
                <w:shd w:val="clear" w:color="auto" w:fill="auto"/>
                <w:lang w:eastAsia="zh-CN"/>
              </w:rPr>
              <w:t>限期改正</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7天以上</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w:t>
            </w:r>
            <w:r>
              <w:rPr>
                <w:rFonts w:hint="default" w:ascii="Times New Roman" w:hAnsi="Times New Roman" w:cs="Times New Roman"/>
                <w:b/>
                <w:bCs/>
                <w:color w:val="auto"/>
                <w:sz w:val="20"/>
                <w:szCs w:val="20"/>
                <w:shd w:val="clear" w:color="auto" w:fill="auto"/>
                <w:lang w:val="en-US"/>
              </w:rPr>
              <w:t>规模</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776"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rPr>
          <w:trHeight w:val="369" w:hRule="atLeast"/>
        </w:trPr>
        <w:tc>
          <w:tcPr>
            <w:tcW w:w="9060" w:type="dxa"/>
            <w:gridSpan w:val="3"/>
            <w:vAlign w:val="center"/>
          </w:tcPr>
          <w:p>
            <w:pPr>
              <w:widowControl/>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（四）固体废物污染防治类</w:t>
            </w:r>
          </w:p>
        </w:tc>
      </w:tr>
      <w:tr>
        <w:trPr>
          <w:trHeight w:val="369" w:hRule="atLeast"/>
        </w:trPr>
        <w:tc>
          <w:tcPr>
            <w:tcW w:w="12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snapToGrid w:val="0"/>
              <w:spacing w:before="0" w:beforeAutospacing="0" w:after="0" w:afterAutospacing="0" w:line="300" w:lineRule="exact"/>
              <w:ind w:left="0" w:right="0"/>
              <w:jc w:val="center"/>
              <w:outlineLvl w:val="9"/>
              <w:rPr>
                <w:rFonts w:hint="default" w:ascii="Times New Roman" w:hAnsi="Times New Roman" w:cs="Times New Roman"/>
                <w:color w:val="auto"/>
                <w:sz w:val="20"/>
                <w:szCs w:val="20"/>
                <w:shd w:val="clear" w:color="auto" w:fill="auto"/>
              </w:rPr>
            </w:pPr>
            <w:bookmarkStart w:id="245" w:name="_Toc16907"/>
            <w:r>
              <w:rPr>
                <w:rFonts w:hint="default" w:ascii="Times New Roman" w:hAnsi="Times New Roman" w:cs="Times New Roman"/>
                <w:color w:val="auto"/>
                <w:sz w:val="20"/>
                <w:szCs w:val="20"/>
                <w:shd w:val="clear" w:color="auto" w:fill="auto"/>
              </w:rPr>
              <w:t>47</w:t>
            </w:r>
            <w:bookmarkEnd w:id="245"/>
          </w:p>
        </w:tc>
      </w:tr>
      <w:tr>
        <w:trPr>
          <w:trHeight w:val="369" w:hRule="atLeast"/>
        </w:trPr>
        <w:tc>
          <w:tcPr>
            <w:tcW w:w="12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center"/>
          </w:tcPr>
          <w:p>
            <w:pPr>
              <w:pStyle w:val="18"/>
              <w:shd w:val="clear" w:color="auto" w:fill="auto"/>
              <w:spacing w:before="0" w:beforeAutospacing="0" w:after="0" w:afterAutospacing="0" w:line="300" w:lineRule="exact"/>
              <w:ind w:left="0" w:right="0"/>
              <w:jc w:val="center"/>
              <w:outlineLvl w:val="9"/>
              <w:rPr>
                <w:rFonts w:hint="default" w:ascii="Times New Roman" w:hAnsi="Times New Roman" w:cs="Times New Roman"/>
                <w:color w:val="auto"/>
                <w:sz w:val="21"/>
                <w:szCs w:val="21"/>
                <w:shd w:val="clear" w:color="auto" w:fill="auto"/>
              </w:rPr>
            </w:pPr>
            <w:bookmarkStart w:id="246" w:name="_Toc23067"/>
            <w:r>
              <w:rPr>
                <w:rFonts w:hint="default" w:ascii="Times New Roman" w:hAnsi="Times New Roman" w:cs="Times New Roman"/>
                <w:color w:val="auto"/>
                <w:sz w:val="21"/>
                <w:szCs w:val="21"/>
                <w:shd w:val="clear" w:color="auto" w:fill="auto"/>
              </w:rPr>
              <w:t>处理企业未建立日常环境监测制度或者未开展日常环境监测的</w:t>
            </w:r>
            <w:bookmarkEnd w:id="246"/>
          </w:p>
        </w:tc>
      </w:tr>
      <w:tr>
        <w:trPr>
          <w:trHeight w:val="369" w:hRule="atLeast"/>
        </w:trPr>
        <w:tc>
          <w:tcPr>
            <w:tcW w:w="12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spacing w:before="0" w:beforeAutospacing="0" w:after="0" w:afterAutospacing="0" w:line="30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《废弃电器电子产品回收处理管理条例》第十六条</w:t>
            </w:r>
            <w:r>
              <w:rPr>
                <w:rFonts w:hint="default" w:ascii="Times New Roman" w:hAnsi="Times New Roman" w:cs="Times New Roman"/>
                <w:color w:val="auto"/>
                <w:sz w:val="21"/>
                <w:szCs w:val="21"/>
                <w:shd w:val="clear" w:color="auto" w:fill="auto"/>
              </w:rPr>
              <w:t xml:space="preserve">  处理企业应当建立废弃电器电子产品处理的日常环境监测制度。</w:t>
            </w:r>
          </w:p>
        </w:tc>
      </w:tr>
      <w:tr>
        <w:trPr>
          <w:trHeight w:val="369" w:hRule="atLeast"/>
        </w:trPr>
        <w:tc>
          <w:tcPr>
            <w:tcW w:w="12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spacing w:before="0" w:beforeAutospacing="0" w:after="0" w:afterAutospacing="0" w:line="30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《废弃电器电子产品回收处理管理条例》第三十二条  </w:t>
            </w:r>
            <w:r>
              <w:rPr>
                <w:rFonts w:hint="default" w:ascii="Times New Roman" w:hAnsi="Times New Roman" w:cs="Times New Roman"/>
                <w:color w:val="auto"/>
                <w:sz w:val="21"/>
                <w:szCs w:val="21"/>
                <w:shd w:val="clear" w:color="auto" w:fill="auto"/>
              </w:rPr>
              <w:t>违反本条例规定，处理企业未建立日常环境监测制度或者未开展日常环境监测的，由县级以上人民政府生态环境主管部门责令限期改正，可以处5万元以下的罚款。</w:t>
            </w:r>
          </w:p>
        </w:tc>
      </w:tr>
      <w:tr>
        <w:trPr>
          <w:trHeight w:val="369" w:hRule="atLeast"/>
        </w:trPr>
        <w:tc>
          <w:tcPr>
            <w:tcW w:w="12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40" w:hRule="atLeast"/>
        </w:trPr>
        <w:tc>
          <w:tcPr>
            <w:tcW w:w="128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30" w:type="dxa"/>
            <w:vAlign w:val="center"/>
          </w:tcPr>
          <w:p>
            <w:pPr>
              <w:pStyle w:val="19"/>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建立日常环境监测制度或者开展日常环境监测，但是不规范的</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40"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未建立日常环境监测制度或者未开展日常环境监测的</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未建立日常环境监测制度且未开展日常环境监测的</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40" w:hRule="atLeast"/>
        </w:trPr>
        <w:tc>
          <w:tcPr>
            <w:tcW w:w="128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40"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40" w:hRule="atLeast"/>
        </w:trPr>
        <w:tc>
          <w:tcPr>
            <w:tcW w:w="128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spacing w:before="0" w:beforeAutospacing="0" w:after="0" w:afterAutospacing="0" w:line="320" w:lineRule="exact"/>
              <w:ind w:left="0" w:right="0" w:firstLine="1890" w:firstLineChars="900"/>
              <w:rPr>
                <w:rFonts w:hint="default" w:ascii="Times New Roman" w:hAnsi="Times New Roman" w:eastAsia="宋体" w:cs="Times New Roman"/>
                <w:color w:val="auto"/>
                <w:sz w:val="21"/>
                <w:szCs w:val="21"/>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40"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pacing w:before="0" w:beforeAutospacing="0" w:after="0" w:afterAutospacing="0" w:line="320" w:lineRule="exact"/>
              <w:ind w:left="0" w:right="0" w:firstLine="1890" w:firstLineChars="900"/>
              <w:rPr>
                <w:rFonts w:hint="default" w:ascii="Times New Roman" w:hAnsi="Times New Roman" w:eastAsia="宋体" w:cs="Times New Roman"/>
                <w:color w:val="auto"/>
                <w:sz w:val="21"/>
                <w:szCs w:val="21"/>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trPr>
        <w:tc>
          <w:tcPr>
            <w:tcW w:w="1284" w:type="dxa"/>
            <w:vMerge w:val="restart"/>
            <w:vAlign w:val="center"/>
          </w:tcPr>
          <w:p>
            <w:pPr>
              <w:widowControl w:val="0"/>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40" w:hRule="atLeast"/>
        </w:trPr>
        <w:tc>
          <w:tcPr>
            <w:tcW w:w="1284" w:type="dxa"/>
            <w:vMerge w:val="continue"/>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40" w:hRule="atLeast"/>
        </w:trPr>
        <w:tc>
          <w:tcPr>
            <w:tcW w:w="1284" w:type="dxa"/>
            <w:vMerge w:val="continue"/>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40" w:hRule="atLeast"/>
        </w:trPr>
        <w:tc>
          <w:tcPr>
            <w:tcW w:w="1284" w:type="dxa"/>
            <w:vMerge w:val="continue"/>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40" w:hRule="atLeast"/>
        </w:trPr>
        <w:tc>
          <w:tcPr>
            <w:tcW w:w="1284" w:type="dxa"/>
            <w:vMerge w:val="continue"/>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40" w:hRule="atLeast"/>
        </w:trPr>
        <w:tc>
          <w:tcPr>
            <w:tcW w:w="128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val="en-US"/>
              </w:rPr>
              <w:t>改正时间</w:t>
            </w:r>
          </w:p>
        </w:tc>
        <w:tc>
          <w:tcPr>
            <w:tcW w:w="513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kern w:val="2"/>
                <w:sz w:val="21"/>
                <w:szCs w:val="21"/>
                <w:shd w:val="clear" w:color="auto" w:fill="auto"/>
                <w:lang w:eastAsia="zh-CN"/>
              </w:rPr>
              <w:t>限期改正</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40"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40"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eastAsia"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4</w:t>
            </w:r>
          </w:p>
        </w:tc>
      </w:tr>
      <w:tr>
        <w:trPr>
          <w:trHeight w:val="340"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40" w:hRule="atLeast"/>
        </w:trPr>
        <w:tc>
          <w:tcPr>
            <w:tcW w:w="128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trPr>
        <w:tc>
          <w:tcPr>
            <w:tcW w:w="128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40"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40"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trPr>
        <w:tc>
          <w:tcPr>
            <w:tcW w:w="12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6" w:type="dxa"/>
            <w:gridSpan w:val="2"/>
            <w:vAlign w:val="center"/>
          </w:tcPr>
          <w:p>
            <w:pPr>
              <w:shd w:val="clear" w:color="auto" w:fill="auto"/>
              <w:snapToGrid w:val="0"/>
              <w:spacing w:before="0" w:beforeAutospacing="0" w:after="0" w:afterAutospacing="0" w:line="30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pacing w:line="700" w:lineRule="exact"/>
        <w:ind w:firstLine="640" w:firstLineChars="200"/>
        <w:outlineLvl w:val="1"/>
        <w:rPr>
          <w:rFonts w:hint="default" w:ascii="Times New Roman" w:hAnsi="Times New Roman" w:eastAsia="方正楷体_GBK" w:cs="Times New Roman"/>
          <w:bCs/>
          <w:color w:val="auto"/>
          <w:sz w:val="32"/>
          <w:szCs w:val="32"/>
          <w:shd w:val="clear" w:color="auto" w:fill="auto"/>
        </w:rPr>
      </w:pPr>
      <w:bookmarkStart w:id="247" w:name="_Toc25240285"/>
      <w:bookmarkStart w:id="248" w:name="_Toc5669"/>
      <w:bookmarkStart w:id="249" w:name="_Toc6272"/>
      <w:r>
        <w:rPr>
          <w:rFonts w:hint="default" w:ascii="Times New Roman" w:hAnsi="Times New Roman" w:eastAsia="方正楷体_GBK" w:cs="Times New Roman"/>
          <w:color w:val="auto"/>
          <w:sz w:val="32"/>
          <w:szCs w:val="32"/>
          <w:shd w:val="clear" w:color="auto" w:fill="auto"/>
        </w:rPr>
        <w:t>（五）</w:t>
      </w:r>
      <w:r>
        <w:rPr>
          <w:rFonts w:hint="default" w:ascii="Times New Roman" w:hAnsi="Times New Roman" w:eastAsia="方正楷体_GBK" w:cs="Times New Roman"/>
          <w:bCs/>
          <w:color w:val="auto"/>
          <w:sz w:val="32"/>
          <w:szCs w:val="32"/>
          <w:shd w:val="clear" w:color="auto" w:fill="auto"/>
        </w:rPr>
        <w:t>土壤污染防治类</w:t>
      </w:r>
      <w:bookmarkEnd w:id="247"/>
      <w:bookmarkEnd w:id="248"/>
      <w:bookmarkEnd w:id="249"/>
    </w:p>
    <w:p>
      <w:pPr>
        <w:pStyle w:val="19"/>
        <w:widowControl w:val="0"/>
        <w:shd w:val="clear" w:color="auto" w:fill="auto"/>
        <w:snapToGrid w:val="0"/>
        <w:spacing w:before="0" w:beforeAutospacing="0" w:after="0" w:afterAutospacing="0" w:line="590" w:lineRule="exact"/>
        <w:ind w:firstLine="640" w:firstLineChars="200"/>
        <w:jc w:val="both"/>
        <w:rPr>
          <w:rFonts w:hint="eastAsia" w:ascii="Times New Roman" w:hAnsi="Times New Roman" w:eastAsia="方正仿宋_GBK" w:cs="Times New Roman"/>
          <w:color w:val="auto"/>
          <w:kern w:val="2"/>
          <w:sz w:val="32"/>
          <w:szCs w:val="32"/>
          <w:shd w:val="clear" w:color="auto" w:fill="auto"/>
        </w:rPr>
      </w:pPr>
      <w:r>
        <w:rPr>
          <w:rFonts w:ascii="Times New Roman" w:hAnsi="Times New Roman" w:eastAsia="方正仿宋_GBK" w:cs="Times New Roman"/>
          <w:color w:val="auto"/>
          <w:kern w:val="2"/>
          <w:sz w:val="32"/>
          <w:szCs w:val="32"/>
          <w:shd w:val="clear" w:color="auto" w:fill="auto"/>
        </w:rPr>
        <w:t>1.</w:t>
      </w:r>
      <w:r>
        <w:rPr>
          <w:rFonts w:hint="default" w:ascii="Times New Roman" w:hAnsi="Times New Roman" w:eastAsia="方正仿宋_GBK" w:cs="Times New Roman"/>
          <w:color w:val="auto"/>
          <w:kern w:val="2"/>
          <w:sz w:val="32"/>
          <w:szCs w:val="32"/>
          <w:shd w:val="clear" w:color="auto" w:fill="auto"/>
        </w:rPr>
        <w:t xml:space="preserve"> </w:t>
      </w:r>
      <w:r>
        <w:rPr>
          <w:rFonts w:ascii="Times New Roman" w:hAnsi="Times New Roman" w:eastAsia="方正仿宋_GBK" w:cs="Times New Roman"/>
          <w:color w:val="auto"/>
          <w:kern w:val="2"/>
          <w:sz w:val="32"/>
          <w:szCs w:val="32"/>
          <w:shd w:val="clear" w:color="auto" w:fill="auto"/>
        </w:rPr>
        <w:t>土壤污染重点监管单位未制定、实施自行监测方案，或者未将监测数据报生态环境主管部门的</w:t>
      </w:r>
      <w:r>
        <w:rPr>
          <w:rFonts w:hint="eastAsia" w:ascii="Times New Roman" w:hAnsi="Times New Roman" w:eastAsia="方正仿宋_GBK" w:cs="Times New Roman"/>
          <w:color w:val="auto"/>
          <w:kern w:val="2"/>
          <w:sz w:val="32"/>
          <w:szCs w:val="32"/>
          <w:shd w:val="clear" w:color="auto" w:fill="auto"/>
          <w:lang w:eastAsia="zh-CN"/>
        </w:rPr>
        <w:t>；</w:t>
      </w:r>
    </w:p>
    <w:p>
      <w:pPr>
        <w:pStyle w:val="19"/>
        <w:widowControl w:val="0"/>
        <w:shd w:val="clear" w:color="auto" w:fill="auto"/>
        <w:snapToGrid w:val="0"/>
        <w:spacing w:before="0" w:beforeAutospacing="0" w:after="0" w:afterAutospacing="0" w:line="590" w:lineRule="exact"/>
        <w:ind w:firstLine="640" w:firstLineChars="200"/>
        <w:jc w:val="both"/>
        <w:rPr>
          <w:rFonts w:hint="eastAsia" w:ascii="Times New Roman" w:hAnsi="Times New Roman" w:eastAsia="方正仿宋_GBK" w:cs="Times New Roman"/>
          <w:color w:val="auto"/>
          <w:kern w:val="2"/>
          <w:sz w:val="32"/>
          <w:szCs w:val="32"/>
          <w:shd w:val="clear" w:color="auto" w:fill="auto"/>
        </w:rPr>
      </w:pPr>
      <w:r>
        <w:rPr>
          <w:rFonts w:ascii="Times New Roman" w:hAnsi="Times New Roman" w:eastAsia="方正仿宋_GBK" w:cs="Times New Roman"/>
          <w:color w:val="auto"/>
          <w:kern w:val="2"/>
          <w:sz w:val="32"/>
          <w:szCs w:val="32"/>
          <w:shd w:val="clear" w:color="auto" w:fill="auto"/>
        </w:rPr>
        <w:t>2.</w:t>
      </w:r>
      <w:r>
        <w:rPr>
          <w:rFonts w:hint="default" w:ascii="Times New Roman" w:hAnsi="Times New Roman" w:eastAsia="方正仿宋_GBK" w:cs="Times New Roman"/>
          <w:color w:val="auto"/>
          <w:kern w:val="2"/>
          <w:sz w:val="32"/>
          <w:szCs w:val="32"/>
          <w:shd w:val="clear" w:color="auto" w:fill="auto"/>
        </w:rPr>
        <w:t xml:space="preserve"> </w:t>
      </w:r>
      <w:r>
        <w:rPr>
          <w:rFonts w:ascii="Times New Roman" w:hAnsi="Times New Roman" w:eastAsia="方正仿宋_GBK" w:cs="Times New Roman"/>
          <w:color w:val="auto"/>
          <w:kern w:val="2"/>
          <w:sz w:val="32"/>
          <w:szCs w:val="32"/>
          <w:shd w:val="clear" w:color="auto" w:fill="auto"/>
        </w:rPr>
        <w:t>土壤污染重点监管单位篡改、伪造监测数据的</w:t>
      </w:r>
      <w:r>
        <w:rPr>
          <w:rFonts w:hint="eastAsia" w:ascii="Times New Roman" w:hAnsi="Times New Roman" w:eastAsia="方正仿宋_GBK" w:cs="Times New Roman"/>
          <w:color w:val="auto"/>
          <w:kern w:val="2"/>
          <w:sz w:val="32"/>
          <w:szCs w:val="32"/>
          <w:shd w:val="clear" w:color="auto" w:fill="auto"/>
          <w:lang w:eastAsia="zh-CN"/>
        </w:rPr>
        <w:t>；</w:t>
      </w:r>
    </w:p>
    <w:p>
      <w:pPr>
        <w:pStyle w:val="19"/>
        <w:widowControl w:val="0"/>
        <w:shd w:val="clear" w:color="auto" w:fill="auto"/>
        <w:snapToGrid w:val="0"/>
        <w:spacing w:before="0" w:beforeAutospacing="0" w:after="0" w:afterAutospacing="0" w:line="590" w:lineRule="exact"/>
        <w:ind w:firstLine="640" w:firstLineChars="200"/>
        <w:jc w:val="both"/>
        <w:rPr>
          <w:rFonts w:hint="eastAsia" w:ascii="Times New Roman" w:hAnsi="Times New Roman" w:eastAsia="方正仿宋_GBK" w:cs="Times New Roman"/>
          <w:color w:val="auto"/>
          <w:kern w:val="2"/>
          <w:sz w:val="32"/>
          <w:szCs w:val="32"/>
          <w:shd w:val="clear" w:color="auto" w:fill="auto"/>
        </w:rPr>
      </w:pPr>
      <w:r>
        <w:rPr>
          <w:rFonts w:ascii="Times New Roman" w:hAnsi="Times New Roman" w:eastAsia="方正仿宋_GBK" w:cs="Times New Roman"/>
          <w:color w:val="auto"/>
          <w:kern w:val="2"/>
          <w:sz w:val="32"/>
          <w:szCs w:val="32"/>
          <w:shd w:val="clear" w:color="auto" w:fill="auto"/>
        </w:rPr>
        <w:t>3.</w:t>
      </w:r>
      <w:r>
        <w:rPr>
          <w:rFonts w:hint="default" w:ascii="Times New Roman" w:hAnsi="Times New Roman" w:eastAsia="方正仿宋_GBK" w:cs="Times New Roman"/>
          <w:color w:val="auto"/>
          <w:kern w:val="2"/>
          <w:sz w:val="32"/>
          <w:szCs w:val="32"/>
          <w:shd w:val="clear" w:color="auto" w:fill="auto"/>
        </w:rPr>
        <w:t xml:space="preserve"> </w:t>
      </w:r>
      <w:r>
        <w:rPr>
          <w:rFonts w:ascii="Times New Roman" w:hAnsi="Times New Roman" w:eastAsia="方正仿宋_GBK" w:cs="Times New Roman"/>
          <w:color w:val="auto"/>
          <w:kern w:val="2"/>
          <w:sz w:val="32"/>
          <w:szCs w:val="32"/>
          <w:shd w:val="clear" w:color="auto" w:fill="auto"/>
        </w:rPr>
        <w:t>土壤污染重点监管单位未按年度报告有毒有害物质排放情况，或者未建立土壤污染隐患排查制度的</w:t>
      </w:r>
      <w:r>
        <w:rPr>
          <w:rFonts w:hint="eastAsia" w:ascii="Times New Roman" w:hAnsi="Times New Roman" w:eastAsia="方正仿宋_GBK" w:cs="Times New Roman"/>
          <w:color w:val="auto"/>
          <w:kern w:val="2"/>
          <w:sz w:val="32"/>
          <w:szCs w:val="32"/>
          <w:shd w:val="clear" w:color="auto" w:fill="auto"/>
          <w:lang w:eastAsia="zh-CN"/>
        </w:rPr>
        <w:t>；</w:t>
      </w:r>
    </w:p>
    <w:p>
      <w:pPr>
        <w:pStyle w:val="19"/>
        <w:widowControl w:val="0"/>
        <w:shd w:val="clear" w:color="auto" w:fill="auto"/>
        <w:snapToGrid w:val="0"/>
        <w:spacing w:before="0" w:beforeAutospacing="0" w:after="0" w:afterAutospacing="0" w:line="590" w:lineRule="exact"/>
        <w:ind w:firstLine="640" w:firstLineChars="200"/>
        <w:jc w:val="both"/>
        <w:rPr>
          <w:rFonts w:hint="eastAsia" w:ascii="Times New Roman" w:hAnsi="Times New Roman" w:eastAsia="方正仿宋_GBK" w:cs="Times New Roman"/>
          <w:color w:val="auto"/>
          <w:kern w:val="2"/>
          <w:sz w:val="32"/>
          <w:szCs w:val="32"/>
          <w:shd w:val="clear" w:color="auto" w:fill="auto"/>
        </w:rPr>
      </w:pPr>
      <w:r>
        <w:rPr>
          <w:rFonts w:ascii="Times New Roman" w:hAnsi="Times New Roman" w:eastAsia="方正仿宋_GBK" w:cs="Times New Roman"/>
          <w:color w:val="auto"/>
          <w:kern w:val="2"/>
          <w:sz w:val="32"/>
          <w:szCs w:val="32"/>
          <w:shd w:val="clear" w:color="auto" w:fill="auto"/>
        </w:rPr>
        <w:t>4.</w:t>
      </w:r>
      <w:r>
        <w:rPr>
          <w:rFonts w:hint="default" w:ascii="Times New Roman" w:hAnsi="Times New Roman" w:eastAsia="方正仿宋_GBK" w:cs="Times New Roman"/>
          <w:color w:val="auto"/>
          <w:kern w:val="2"/>
          <w:sz w:val="32"/>
          <w:szCs w:val="32"/>
          <w:shd w:val="clear" w:color="auto" w:fill="auto"/>
        </w:rPr>
        <w:t xml:space="preserve"> </w:t>
      </w:r>
      <w:r>
        <w:rPr>
          <w:rFonts w:ascii="Times New Roman" w:hAnsi="Times New Roman" w:eastAsia="方正仿宋_GBK" w:cs="Times New Roman"/>
          <w:color w:val="auto"/>
          <w:kern w:val="2"/>
          <w:sz w:val="32"/>
          <w:szCs w:val="32"/>
          <w:shd w:val="clear" w:color="auto" w:fill="auto"/>
        </w:rPr>
        <w:t>拆除设施、设备或者建筑物、构筑物，企业事业单位未采取相应的土壤污染防治措施或者土壤污染重点监管单位未制定、实施土壤污染防治工作方案的</w:t>
      </w:r>
      <w:r>
        <w:rPr>
          <w:rFonts w:hint="eastAsia" w:ascii="Times New Roman" w:hAnsi="Times New Roman" w:eastAsia="方正仿宋_GBK" w:cs="Times New Roman"/>
          <w:color w:val="auto"/>
          <w:kern w:val="2"/>
          <w:sz w:val="32"/>
          <w:szCs w:val="32"/>
          <w:shd w:val="clear" w:color="auto" w:fill="auto"/>
          <w:lang w:eastAsia="zh-CN"/>
        </w:rPr>
        <w:t>；</w:t>
      </w:r>
    </w:p>
    <w:p>
      <w:pPr>
        <w:pStyle w:val="19"/>
        <w:widowControl w:val="0"/>
        <w:shd w:val="clear" w:color="auto" w:fill="auto"/>
        <w:snapToGrid w:val="0"/>
        <w:spacing w:before="0" w:beforeAutospacing="0" w:after="0" w:afterAutospacing="0" w:line="590" w:lineRule="exact"/>
        <w:ind w:firstLine="640" w:firstLineChars="200"/>
        <w:jc w:val="both"/>
        <w:rPr>
          <w:rFonts w:hint="eastAsia" w:ascii="Times New Roman" w:hAnsi="Times New Roman" w:eastAsia="方正仿宋_GBK" w:cs="Times New Roman"/>
          <w:color w:val="auto"/>
          <w:kern w:val="2"/>
          <w:sz w:val="32"/>
          <w:szCs w:val="32"/>
          <w:shd w:val="clear" w:color="auto" w:fill="auto"/>
        </w:rPr>
      </w:pPr>
      <w:r>
        <w:rPr>
          <w:rFonts w:ascii="Times New Roman" w:hAnsi="Times New Roman" w:eastAsia="方正仿宋_GBK" w:cs="Times New Roman"/>
          <w:color w:val="auto"/>
          <w:kern w:val="2"/>
          <w:sz w:val="32"/>
          <w:szCs w:val="32"/>
          <w:shd w:val="clear" w:color="auto" w:fill="auto"/>
        </w:rPr>
        <w:t>5.</w:t>
      </w:r>
      <w:r>
        <w:rPr>
          <w:rFonts w:hint="default" w:ascii="Times New Roman" w:hAnsi="Times New Roman" w:eastAsia="方正仿宋_GBK" w:cs="Times New Roman"/>
          <w:color w:val="auto"/>
          <w:kern w:val="2"/>
          <w:sz w:val="32"/>
          <w:szCs w:val="32"/>
          <w:shd w:val="clear" w:color="auto" w:fill="auto"/>
        </w:rPr>
        <w:t xml:space="preserve"> </w:t>
      </w:r>
      <w:r>
        <w:rPr>
          <w:rFonts w:ascii="Times New Roman" w:hAnsi="Times New Roman" w:eastAsia="方正仿宋_GBK" w:cs="Times New Roman"/>
          <w:color w:val="auto"/>
          <w:kern w:val="2"/>
          <w:sz w:val="32"/>
          <w:szCs w:val="32"/>
          <w:shd w:val="clear" w:color="auto" w:fill="auto"/>
        </w:rPr>
        <w:t>尾矿库运营、管理单位未按照规定进行土壤污染状况监测的</w:t>
      </w:r>
      <w:r>
        <w:rPr>
          <w:rFonts w:hint="eastAsia" w:ascii="Times New Roman" w:hAnsi="Times New Roman" w:eastAsia="方正仿宋_GBK" w:cs="Times New Roman"/>
          <w:color w:val="auto"/>
          <w:kern w:val="2"/>
          <w:sz w:val="32"/>
          <w:szCs w:val="32"/>
          <w:shd w:val="clear" w:color="auto" w:fill="auto"/>
          <w:lang w:eastAsia="zh-CN"/>
        </w:rPr>
        <w:t>；</w:t>
      </w:r>
    </w:p>
    <w:p>
      <w:pPr>
        <w:pStyle w:val="19"/>
        <w:widowControl w:val="0"/>
        <w:shd w:val="clear" w:color="auto" w:fill="auto"/>
        <w:snapToGrid w:val="0"/>
        <w:spacing w:before="0" w:beforeAutospacing="0" w:after="0" w:afterAutospacing="0" w:line="590" w:lineRule="exact"/>
        <w:ind w:firstLine="640" w:firstLineChars="200"/>
        <w:jc w:val="both"/>
        <w:rPr>
          <w:rFonts w:hint="eastAsia" w:ascii="Times New Roman" w:hAnsi="Times New Roman" w:eastAsia="方正仿宋_GBK" w:cs="Times New Roman"/>
          <w:color w:val="auto"/>
          <w:kern w:val="2"/>
          <w:sz w:val="32"/>
          <w:szCs w:val="32"/>
          <w:shd w:val="clear" w:color="auto" w:fill="auto"/>
        </w:rPr>
      </w:pPr>
      <w:r>
        <w:rPr>
          <w:rFonts w:ascii="Times New Roman" w:hAnsi="Times New Roman" w:eastAsia="方正仿宋_GBK" w:cs="Times New Roman"/>
          <w:color w:val="auto"/>
          <w:kern w:val="2"/>
          <w:sz w:val="32"/>
          <w:szCs w:val="32"/>
          <w:shd w:val="clear" w:color="auto" w:fill="auto"/>
        </w:rPr>
        <w:t>6.</w:t>
      </w:r>
      <w:r>
        <w:rPr>
          <w:rFonts w:hint="default" w:ascii="Times New Roman" w:hAnsi="Times New Roman" w:eastAsia="方正仿宋_GBK" w:cs="Times New Roman"/>
          <w:color w:val="auto"/>
          <w:kern w:val="2"/>
          <w:sz w:val="32"/>
          <w:szCs w:val="32"/>
          <w:shd w:val="clear" w:color="auto" w:fill="auto"/>
        </w:rPr>
        <w:t xml:space="preserve"> </w:t>
      </w:r>
      <w:r>
        <w:rPr>
          <w:rFonts w:ascii="Times New Roman" w:hAnsi="Times New Roman" w:eastAsia="方正仿宋_GBK" w:cs="Times New Roman"/>
          <w:color w:val="auto"/>
          <w:kern w:val="2"/>
          <w:sz w:val="32"/>
          <w:szCs w:val="32"/>
          <w:shd w:val="clear" w:color="auto" w:fill="auto"/>
        </w:rPr>
        <w:t>建设和运行污水集中处理设施、固体废物处置设施，未依照法律法规和相关标准的要求采取措施防止土壤污染的</w:t>
      </w:r>
      <w:r>
        <w:rPr>
          <w:rFonts w:hint="eastAsia" w:ascii="Times New Roman" w:hAnsi="Times New Roman" w:eastAsia="方正仿宋_GBK" w:cs="Times New Roman"/>
          <w:color w:val="auto"/>
          <w:kern w:val="2"/>
          <w:sz w:val="32"/>
          <w:szCs w:val="32"/>
          <w:shd w:val="clear" w:color="auto" w:fill="auto"/>
          <w:lang w:eastAsia="zh-CN"/>
        </w:rPr>
        <w:t>；</w:t>
      </w:r>
    </w:p>
    <w:p>
      <w:pPr>
        <w:pStyle w:val="19"/>
        <w:widowControl w:val="0"/>
        <w:shd w:val="clear" w:color="auto" w:fill="auto"/>
        <w:snapToGrid w:val="0"/>
        <w:spacing w:before="0" w:beforeAutospacing="0" w:after="0" w:afterAutospacing="0" w:line="590" w:lineRule="exact"/>
        <w:ind w:firstLine="640" w:firstLineChars="200"/>
        <w:jc w:val="both"/>
        <w:rPr>
          <w:rFonts w:hint="eastAsia" w:ascii="Times New Roman" w:hAnsi="Times New Roman" w:eastAsia="方正仿宋_GBK" w:cs="Times New Roman"/>
          <w:color w:val="auto"/>
          <w:kern w:val="2"/>
          <w:sz w:val="32"/>
          <w:szCs w:val="32"/>
          <w:shd w:val="clear" w:color="auto" w:fill="auto"/>
        </w:rPr>
      </w:pPr>
      <w:r>
        <w:rPr>
          <w:rFonts w:ascii="Times New Roman" w:hAnsi="Times New Roman" w:eastAsia="方正仿宋_GBK" w:cs="Times New Roman"/>
          <w:color w:val="auto"/>
          <w:kern w:val="2"/>
          <w:sz w:val="32"/>
          <w:szCs w:val="32"/>
          <w:shd w:val="clear" w:color="auto" w:fill="auto"/>
        </w:rPr>
        <w:t>7.</w:t>
      </w:r>
      <w:r>
        <w:rPr>
          <w:rFonts w:hint="default" w:ascii="Times New Roman" w:hAnsi="Times New Roman" w:eastAsia="方正仿宋_GBK" w:cs="Times New Roman"/>
          <w:color w:val="auto"/>
          <w:kern w:val="2"/>
          <w:sz w:val="32"/>
          <w:szCs w:val="32"/>
          <w:shd w:val="clear" w:color="auto" w:fill="auto"/>
        </w:rPr>
        <w:t xml:space="preserve"> </w:t>
      </w:r>
      <w:r>
        <w:rPr>
          <w:rFonts w:ascii="Times New Roman" w:hAnsi="Times New Roman" w:eastAsia="方正仿宋_GBK" w:cs="Times New Roman"/>
          <w:color w:val="auto"/>
          <w:kern w:val="2"/>
          <w:sz w:val="32"/>
          <w:szCs w:val="32"/>
          <w:shd w:val="clear" w:color="auto" w:fill="auto"/>
        </w:rPr>
        <w:t>向农用地排放重金属或者其他有毒有害物质含量超标的污水、污泥，以及可能造成土壤污染的清淤底泥、尾矿、矿渣等的</w:t>
      </w:r>
      <w:r>
        <w:rPr>
          <w:rFonts w:hint="eastAsia" w:ascii="Times New Roman" w:hAnsi="Times New Roman" w:eastAsia="方正仿宋_GBK" w:cs="Times New Roman"/>
          <w:color w:val="auto"/>
          <w:kern w:val="2"/>
          <w:sz w:val="32"/>
          <w:szCs w:val="32"/>
          <w:shd w:val="clear" w:color="auto" w:fill="auto"/>
          <w:lang w:eastAsia="zh-CN"/>
        </w:rPr>
        <w:t>；</w:t>
      </w:r>
    </w:p>
    <w:p>
      <w:pPr>
        <w:pStyle w:val="19"/>
        <w:widowControl w:val="0"/>
        <w:shd w:val="clear" w:color="auto" w:fill="auto"/>
        <w:snapToGrid w:val="0"/>
        <w:spacing w:before="0" w:beforeAutospacing="0" w:after="0" w:afterAutospacing="0" w:line="590" w:lineRule="exact"/>
        <w:ind w:firstLine="640" w:firstLineChars="200"/>
        <w:jc w:val="both"/>
        <w:rPr>
          <w:rFonts w:hint="eastAsia" w:ascii="Times New Roman" w:hAnsi="Times New Roman" w:eastAsia="方正仿宋_GBK" w:cs="Times New Roman"/>
          <w:color w:val="auto"/>
          <w:kern w:val="2"/>
          <w:sz w:val="32"/>
          <w:szCs w:val="32"/>
          <w:shd w:val="clear" w:color="auto" w:fill="auto"/>
        </w:rPr>
      </w:pPr>
      <w:r>
        <w:rPr>
          <w:rFonts w:ascii="Times New Roman" w:hAnsi="Times New Roman" w:eastAsia="方正仿宋_GBK" w:cs="Times New Roman"/>
          <w:color w:val="auto"/>
          <w:kern w:val="2"/>
          <w:sz w:val="32"/>
          <w:szCs w:val="32"/>
          <w:shd w:val="clear" w:color="auto" w:fill="auto"/>
        </w:rPr>
        <w:t>8.</w:t>
      </w:r>
      <w:r>
        <w:rPr>
          <w:rFonts w:hint="default" w:ascii="Times New Roman" w:hAnsi="Times New Roman" w:eastAsia="方正仿宋_GBK" w:cs="Times New Roman"/>
          <w:color w:val="auto"/>
          <w:kern w:val="2"/>
          <w:sz w:val="32"/>
          <w:szCs w:val="32"/>
          <w:shd w:val="clear" w:color="auto" w:fill="auto"/>
        </w:rPr>
        <w:t xml:space="preserve"> </w:t>
      </w:r>
      <w:r>
        <w:rPr>
          <w:rFonts w:ascii="Times New Roman" w:hAnsi="Times New Roman" w:eastAsia="方正仿宋_GBK" w:cs="Times New Roman"/>
          <w:color w:val="auto"/>
          <w:kern w:val="2"/>
          <w:sz w:val="32"/>
          <w:szCs w:val="32"/>
          <w:shd w:val="clear" w:color="auto" w:fill="auto"/>
        </w:rPr>
        <w:t>将重金属或者其他有毒有害物质含量超标的工业固体废物、生活垃圾或者污染土壤用于土地复垦的</w:t>
      </w:r>
      <w:r>
        <w:rPr>
          <w:rFonts w:hint="eastAsia" w:ascii="Times New Roman" w:hAnsi="Times New Roman" w:eastAsia="方正仿宋_GBK" w:cs="Times New Roman"/>
          <w:color w:val="auto"/>
          <w:kern w:val="2"/>
          <w:sz w:val="32"/>
          <w:szCs w:val="32"/>
          <w:shd w:val="clear" w:color="auto" w:fill="auto"/>
          <w:lang w:eastAsia="zh-CN"/>
        </w:rPr>
        <w:t>；</w:t>
      </w:r>
    </w:p>
    <w:p>
      <w:pPr>
        <w:pStyle w:val="19"/>
        <w:widowControl w:val="0"/>
        <w:shd w:val="clear" w:color="auto" w:fill="auto"/>
        <w:snapToGrid w:val="0"/>
        <w:spacing w:before="0" w:beforeAutospacing="0" w:after="0" w:afterAutospacing="0" w:line="590" w:lineRule="exact"/>
        <w:ind w:firstLine="640" w:firstLineChars="200"/>
        <w:jc w:val="both"/>
        <w:rPr>
          <w:rFonts w:hint="eastAsia" w:ascii="Times New Roman" w:hAnsi="Times New Roman" w:eastAsia="方正仿宋_GBK" w:cs="Times New Roman"/>
          <w:color w:val="auto"/>
          <w:kern w:val="2"/>
          <w:sz w:val="32"/>
          <w:szCs w:val="32"/>
          <w:shd w:val="clear" w:color="auto" w:fill="auto"/>
        </w:rPr>
      </w:pPr>
      <w:r>
        <w:rPr>
          <w:rFonts w:ascii="Times New Roman" w:hAnsi="Times New Roman" w:eastAsia="方正仿宋_GBK" w:cs="Times New Roman"/>
          <w:color w:val="auto"/>
          <w:kern w:val="2"/>
          <w:sz w:val="32"/>
          <w:szCs w:val="32"/>
          <w:shd w:val="clear" w:color="auto" w:fill="auto"/>
        </w:rPr>
        <w:t>9.</w:t>
      </w:r>
      <w:r>
        <w:rPr>
          <w:rFonts w:hint="default" w:ascii="Times New Roman" w:hAnsi="Times New Roman" w:eastAsia="方正仿宋_GBK" w:cs="Times New Roman"/>
          <w:color w:val="auto"/>
          <w:kern w:val="2"/>
          <w:sz w:val="32"/>
          <w:szCs w:val="32"/>
          <w:shd w:val="clear" w:color="auto" w:fill="auto"/>
        </w:rPr>
        <w:t xml:space="preserve"> </w:t>
      </w:r>
      <w:r>
        <w:rPr>
          <w:rFonts w:ascii="Times New Roman" w:hAnsi="Times New Roman" w:eastAsia="方正仿宋_GBK" w:cs="Times New Roman"/>
          <w:color w:val="auto"/>
          <w:kern w:val="2"/>
          <w:sz w:val="32"/>
          <w:szCs w:val="32"/>
          <w:shd w:val="clear" w:color="auto" w:fill="auto"/>
        </w:rPr>
        <w:t>出具虚假调查报告、风险评估报告、风险管控效果评估报告、修复效果评估报告的</w:t>
      </w:r>
      <w:r>
        <w:rPr>
          <w:rFonts w:hint="eastAsia" w:ascii="Times New Roman" w:hAnsi="Times New Roman" w:eastAsia="方正仿宋_GBK" w:cs="Times New Roman"/>
          <w:color w:val="auto"/>
          <w:kern w:val="2"/>
          <w:sz w:val="32"/>
          <w:szCs w:val="32"/>
          <w:shd w:val="clear" w:color="auto" w:fill="auto"/>
          <w:lang w:eastAsia="zh-CN"/>
        </w:rPr>
        <w:t>；</w:t>
      </w:r>
    </w:p>
    <w:p>
      <w:pPr>
        <w:pStyle w:val="19"/>
        <w:widowControl w:val="0"/>
        <w:shd w:val="clear" w:color="auto" w:fill="auto"/>
        <w:snapToGrid w:val="0"/>
        <w:spacing w:before="0" w:beforeAutospacing="0" w:after="0" w:afterAutospacing="0" w:line="590" w:lineRule="exact"/>
        <w:ind w:firstLine="640" w:firstLineChars="200"/>
        <w:jc w:val="both"/>
        <w:rPr>
          <w:rFonts w:hint="eastAsia" w:ascii="Times New Roman" w:hAnsi="Times New Roman" w:eastAsia="方正仿宋_GBK" w:cs="Times New Roman"/>
          <w:color w:val="auto"/>
          <w:kern w:val="2"/>
          <w:sz w:val="32"/>
          <w:szCs w:val="32"/>
          <w:shd w:val="clear" w:color="auto" w:fill="auto"/>
        </w:rPr>
      </w:pPr>
      <w:r>
        <w:rPr>
          <w:rFonts w:ascii="Times New Roman" w:hAnsi="Times New Roman" w:eastAsia="方正仿宋_GBK" w:cs="Times New Roman"/>
          <w:color w:val="auto"/>
          <w:kern w:val="2"/>
          <w:sz w:val="32"/>
          <w:szCs w:val="32"/>
          <w:shd w:val="clear" w:color="auto" w:fill="auto"/>
        </w:rPr>
        <w:t>10.</w:t>
      </w:r>
      <w:r>
        <w:rPr>
          <w:rFonts w:hint="default" w:ascii="Times New Roman" w:hAnsi="Times New Roman" w:eastAsia="方正仿宋_GBK" w:cs="Times New Roman"/>
          <w:color w:val="auto"/>
          <w:kern w:val="2"/>
          <w:sz w:val="32"/>
          <w:szCs w:val="32"/>
          <w:shd w:val="clear" w:color="auto" w:fill="auto"/>
        </w:rPr>
        <w:t xml:space="preserve"> </w:t>
      </w:r>
      <w:r>
        <w:rPr>
          <w:rFonts w:ascii="Times New Roman" w:hAnsi="Times New Roman" w:eastAsia="方正仿宋_GBK" w:cs="Times New Roman"/>
          <w:color w:val="auto"/>
          <w:kern w:val="2"/>
          <w:sz w:val="32"/>
          <w:szCs w:val="32"/>
          <w:shd w:val="clear" w:color="auto" w:fill="auto"/>
        </w:rPr>
        <w:t>未单独收集、存放开发建设过程中剥离的表土的</w:t>
      </w:r>
      <w:r>
        <w:rPr>
          <w:rFonts w:hint="eastAsia" w:ascii="Times New Roman" w:hAnsi="Times New Roman" w:eastAsia="方正仿宋_GBK" w:cs="Times New Roman"/>
          <w:color w:val="auto"/>
          <w:kern w:val="2"/>
          <w:sz w:val="32"/>
          <w:szCs w:val="32"/>
          <w:shd w:val="clear" w:color="auto" w:fill="auto"/>
          <w:lang w:eastAsia="zh-CN"/>
        </w:rPr>
        <w:t>；</w:t>
      </w:r>
    </w:p>
    <w:p>
      <w:pPr>
        <w:pStyle w:val="19"/>
        <w:widowControl w:val="0"/>
        <w:shd w:val="clear" w:color="auto" w:fill="auto"/>
        <w:snapToGrid w:val="0"/>
        <w:spacing w:before="0" w:beforeAutospacing="0" w:after="0" w:afterAutospacing="0" w:line="590" w:lineRule="exact"/>
        <w:ind w:firstLine="640" w:firstLineChars="200"/>
        <w:jc w:val="both"/>
        <w:rPr>
          <w:rFonts w:hint="eastAsia" w:ascii="Times New Roman" w:hAnsi="Times New Roman" w:eastAsia="方正仿宋_GBK" w:cs="Times New Roman"/>
          <w:color w:val="auto"/>
          <w:kern w:val="2"/>
          <w:sz w:val="32"/>
          <w:szCs w:val="32"/>
          <w:shd w:val="clear" w:color="auto" w:fill="auto"/>
        </w:rPr>
      </w:pPr>
      <w:r>
        <w:rPr>
          <w:rFonts w:ascii="Times New Roman" w:hAnsi="Times New Roman" w:eastAsia="方正仿宋_GBK" w:cs="Times New Roman"/>
          <w:color w:val="auto"/>
          <w:kern w:val="2"/>
          <w:sz w:val="32"/>
          <w:szCs w:val="32"/>
          <w:shd w:val="clear" w:color="auto" w:fill="auto"/>
        </w:rPr>
        <w:t>11.</w:t>
      </w:r>
      <w:r>
        <w:rPr>
          <w:rFonts w:hint="default" w:ascii="Times New Roman" w:hAnsi="Times New Roman" w:eastAsia="方正仿宋_GBK" w:cs="Times New Roman"/>
          <w:color w:val="auto"/>
          <w:kern w:val="2"/>
          <w:sz w:val="32"/>
          <w:szCs w:val="32"/>
          <w:shd w:val="clear" w:color="auto" w:fill="auto"/>
        </w:rPr>
        <w:t xml:space="preserve"> </w:t>
      </w:r>
      <w:r>
        <w:rPr>
          <w:rFonts w:ascii="Times New Roman" w:hAnsi="Times New Roman" w:eastAsia="方正仿宋_GBK" w:cs="Times New Roman"/>
          <w:color w:val="auto"/>
          <w:kern w:val="2"/>
          <w:sz w:val="32"/>
          <w:szCs w:val="32"/>
          <w:shd w:val="clear" w:color="auto" w:fill="auto"/>
        </w:rPr>
        <w:t>实施风险管控、修复活动对土壤、周边环境造成新的污染的</w:t>
      </w:r>
      <w:r>
        <w:rPr>
          <w:rFonts w:hint="eastAsia" w:ascii="Times New Roman" w:hAnsi="Times New Roman" w:eastAsia="方正仿宋_GBK" w:cs="Times New Roman"/>
          <w:color w:val="auto"/>
          <w:kern w:val="2"/>
          <w:sz w:val="32"/>
          <w:szCs w:val="32"/>
          <w:shd w:val="clear" w:color="auto" w:fill="auto"/>
          <w:lang w:eastAsia="zh-CN"/>
        </w:rPr>
        <w:t>；</w:t>
      </w:r>
    </w:p>
    <w:p>
      <w:pPr>
        <w:pStyle w:val="19"/>
        <w:widowControl w:val="0"/>
        <w:shd w:val="clear" w:color="auto" w:fill="auto"/>
        <w:snapToGrid w:val="0"/>
        <w:spacing w:before="0" w:beforeAutospacing="0" w:after="0" w:afterAutospacing="0" w:line="590" w:lineRule="exact"/>
        <w:ind w:firstLine="640" w:firstLineChars="200"/>
        <w:jc w:val="both"/>
        <w:rPr>
          <w:rFonts w:hint="eastAsia" w:ascii="Times New Roman" w:hAnsi="Times New Roman" w:eastAsia="方正仿宋_GBK" w:cs="Times New Roman"/>
          <w:color w:val="auto"/>
          <w:kern w:val="2"/>
          <w:sz w:val="32"/>
          <w:szCs w:val="32"/>
          <w:shd w:val="clear" w:color="auto" w:fill="auto"/>
        </w:rPr>
      </w:pPr>
      <w:r>
        <w:rPr>
          <w:rFonts w:ascii="Times New Roman" w:hAnsi="Times New Roman" w:eastAsia="方正仿宋_GBK" w:cs="Times New Roman"/>
          <w:color w:val="auto"/>
          <w:kern w:val="2"/>
          <w:sz w:val="32"/>
          <w:szCs w:val="32"/>
          <w:shd w:val="clear" w:color="auto" w:fill="auto"/>
        </w:rPr>
        <w:t>12.</w:t>
      </w:r>
      <w:r>
        <w:rPr>
          <w:rFonts w:hint="default" w:ascii="Times New Roman" w:hAnsi="Times New Roman" w:eastAsia="方正仿宋_GBK" w:cs="Times New Roman"/>
          <w:color w:val="auto"/>
          <w:kern w:val="2"/>
          <w:sz w:val="32"/>
          <w:szCs w:val="32"/>
          <w:shd w:val="clear" w:color="auto" w:fill="auto"/>
        </w:rPr>
        <w:t xml:space="preserve"> </w:t>
      </w:r>
      <w:r>
        <w:rPr>
          <w:rFonts w:ascii="Times New Roman" w:hAnsi="Times New Roman" w:eastAsia="方正仿宋_GBK" w:cs="Times New Roman"/>
          <w:color w:val="auto"/>
          <w:kern w:val="2"/>
          <w:sz w:val="32"/>
          <w:szCs w:val="32"/>
          <w:shd w:val="clear" w:color="auto" w:fill="auto"/>
        </w:rPr>
        <w:t>转运污染土壤，未将运输时间、方式、线路和污染土壤数量、去向、最终处置措施等提前报所在地和接收地生态环境主管部门的</w:t>
      </w:r>
      <w:r>
        <w:rPr>
          <w:rFonts w:hint="eastAsia" w:ascii="Times New Roman" w:hAnsi="Times New Roman" w:eastAsia="方正仿宋_GBK" w:cs="Times New Roman"/>
          <w:color w:val="auto"/>
          <w:kern w:val="2"/>
          <w:sz w:val="32"/>
          <w:szCs w:val="32"/>
          <w:shd w:val="clear" w:color="auto" w:fill="auto"/>
          <w:lang w:eastAsia="zh-CN"/>
        </w:rPr>
        <w:t>；</w:t>
      </w:r>
    </w:p>
    <w:p>
      <w:pPr>
        <w:pStyle w:val="19"/>
        <w:widowControl w:val="0"/>
        <w:shd w:val="clear" w:color="auto" w:fill="auto"/>
        <w:snapToGrid w:val="0"/>
        <w:spacing w:before="0" w:beforeAutospacing="0" w:after="0" w:afterAutospacing="0" w:line="590" w:lineRule="exact"/>
        <w:ind w:firstLine="640" w:firstLineChars="200"/>
        <w:jc w:val="both"/>
        <w:rPr>
          <w:rFonts w:hint="eastAsia" w:ascii="Times New Roman" w:hAnsi="Times New Roman" w:eastAsia="方正仿宋_GBK" w:cs="Times New Roman"/>
          <w:color w:val="auto"/>
          <w:kern w:val="2"/>
          <w:sz w:val="32"/>
          <w:szCs w:val="32"/>
          <w:shd w:val="clear" w:color="auto" w:fill="auto"/>
        </w:rPr>
      </w:pPr>
      <w:r>
        <w:rPr>
          <w:rFonts w:ascii="Times New Roman" w:hAnsi="Times New Roman" w:eastAsia="方正仿宋_GBK" w:cs="Times New Roman"/>
          <w:color w:val="auto"/>
          <w:kern w:val="2"/>
          <w:sz w:val="32"/>
          <w:szCs w:val="32"/>
          <w:shd w:val="clear" w:color="auto" w:fill="auto"/>
        </w:rPr>
        <w:t>13.</w:t>
      </w:r>
      <w:r>
        <w:rPr>
          <w:rFonts w:hint="default" w:ascii="Times New Roman" w:hAnsi="Times New Roman" w:eastAsia="方正仿宋_GBK" w:cs="Times New Roman"/>
          <w:color w:val="auto"/>
          <w:kern w:val="2"/>
          <w:sz w:val="32"/>
          <w:szCs w:val="32"/>
          <w:shd w:val="clear" w:color="auto" w:fill="auto"/>
        </w:rPr>
        <w:t xml:space="preserve"> </w:t>
      </w:r>
      <w:r>
        <w:rPr>
          <w:rFonts w:ascii="Times New Roman" w:hAnsi="Times New Roman" w:eastAsia="方正仿宋_GBK" w:cs="Times New Roman"/>
          <w:color w:val="auto"/>
          <w:kern w:val="2"/>
          <w:sz w:val="32"/>
          <w:szCs w:val="32"/>
          <w:shd w:val="clear" w:color="auto" w:fill="auto"/>
        </w:rPr>
        <w:t>未达到土壤污染风险评估报告确定的风险管控、修复目标的建设用地地块，开工建设与风险管控、修复无关的项目的</w:t>
      </w:r>
      <w:r>
        <w:rPr>
          <w:rFonts w:hint="eastAsia" w:ascii="Times New Roman" w:hAnsi="Times New Roman" w:eastAsia="方正仿宋_GBK" w:cs="Times New Roman"/>
          <w:color w:val="auto"/>
          <w:kern w:val="2"/>
          <w:sz w:val="32"/>
          <w:szCs w:val="32"/>
          <w:shd w:val="clear" w:color="auto" w:fill="auto"/>
          <w:lang w:eastAsia="zh-CN"/>
        </w:rPr>
        <w:t>；</w:t>
      </w:r>
    </w:p>
    <w:p>
      <w:pPr>
        <w:pStyle w:val="19"/>
        <w:widowControl w:val="0"/>
        <w:shd w:val="clear" w:color="auto" w:fill="auto"/>
        <w:snapToGrid w:val="0"/>
        <w:spacing w:before="0" w:beforeAutospacing="0" w:after="0" w:afterAutospacing="0" w:line="590" w:lineRule="exact"/>
        <w:ind w:firstLine="640" w:firstLineChars="200"/>
        <w:jc w:val="both"/>
        <w:rPr>
          <w:rFonts w:hint="eastAsia" w:ascii="Times New Roman" w:hAnsi="Times New Roman" w:eastAsia="方正仿宋_GBK" w:cs="Times New Roman"/>
          <w:color w:val="auto"/>
          <w:kern w:val="2"/>
          <w:sz w:val="32"/>
          <w:szCs w:val="32"/>
          <w:shd w:val="clear" w:color="auto" w:fill="auto"/>
        </w:rPr>
      </w:pPr>
      <w:r>
        <w:rPr>
          <w:rFonts w:ascii="Times New Roman" w:hAnsi="Times New Roman" w:eastAsia="方正仿宋_GBK" w:cs="Times New Roman"/>
          <w:color w:val="auto"/>
          <w:kern w:val="2"/>
          <w:sz w:val="32"/>
          <w:szCs w:val="32"/>
          <w:shd w:val="clear" w:color="auto" w:fill="auto"/>
        </w:rPr>
        <w:t>14.</w:t>
      </w:r>
      <w:r>
        <w:rPr>
          <w:rFonts w:hint="default" w:ascii="Times New Roman" w:hAnsi="Times New Roman" w:eastAsia="方正仿宋_GBK" w:cs="Times New Roman"/>
          <w:color w:val="auto"/>
          <w:kern w:val="2"/>
          <w:sz w:val="32"/>
          <w:szCs w:val="32"/>
          <w:shd w:val="clear" w:color="auto" w:fill="auto"/>
        </w:rPr>
        <w:t xml:space="preserve"> </w:t>
      </w:r>
      <w:r>
        <w:rPr>
          <w:rFonts w:ascii="Times New Roman" w:hAnsi="Times New Roman" w:eastAsia="方正仿宋_GBK" w:cs="Times New Roman"/>
          <w:color w:val="auto"/>
          <w:kern w:val="2"/>
          <w:sz w:val="32"/>
          <w:szCs w:val="32"/>
          <w:shd w:val="clear" w:color="auto" w:fill="auto"/>
        </w:rPr>
        <w:t>土壤污染责任人或者土地使用权人未按照规定实施后期管理的</w:t>
      </w:r>
      <w:r>
        <w:rPr>
          <w:rFonts w:hint="eastAsia" w:ascii="Times New Roman" w:hAnsi="Times New Roman" w:eastAsia="方正仿宋_GBK" w:cs="Times New Roman"/>
          <w:color w:val="auto"/>
          <w:kern w:val="2"/>
          <w:sz w:val="32"/>
          <w:szCs w:val="32"/>
          <w:shd w:val="clear" w:color="auto" w:fill="auto"/>
          <w:lang w:eastAsia="zh-CN"/>
        </w:rPr>
        <w:t>；</w:t>
      </w:r>
    </w:p>
    <w:p>
      <w:pPr>
        <w:pStyle w:val="19"/>
        <w:widowControl w:val="0"/>
        <w:shd w:val="clear" w:color="auto" w:fill="auto"/>
        <w:snapToGrid w:val="0"/>
        <w:spacing w:before="0" w:beforeAutospacing="0" w:after="0" w:afterAutospacing="0" w:line="590" w:lineRule="exact"/>
        <w:ind w:firstLine="640" w:firstLineChars="200"/>
        <w:jc w:val="both"/>
        <w:rPr>
          <w:rFonts w:hint="eastAsia" w:ascii="Times New Roman" w:hAnsi="Times New Roman" w:eastAsia="方正仿宋_GBK" w:cs="Times New Roman"/>
          <w:color w:val="auto"/>
          <w:kern w:val="2"/>
          <w:sz w:val="32"/>
          <w:szCs w:val="32"/>
          <w:shd w:val="clear" w:color="auto" w:fill="auto"/>
        </w:rPr>
      </w:pPr>
      <w:r>
        <w:rPr>
          <w:rFonts w:ascii="Times New Roman" w:hAnsi="Times New Roman" w:eastAsia="方正仿宋_GBK" w:cs="Times New Roman"/>
          <w:color w:val="auto"/>
          <w:kern w:val="2"/>
          <w:sz w:val="32"/>
          <w:szCs w:val="32"/>
          <w:shd w:val="clear" w:color="auto" w:fill="auto"/>
        </w:rPr>
        <w:t>15.</w:t>
      </w:r>
      <w:r>
        <w:rPr>
          <w:rFonts w:hint="default" w:ascii="Times New Roman" w:hAnsi="Times New Roman" w:eastAsia="方正仿宋_GBK" w:cs="Times New Roman"/>
          <w:color w:val="auto"/>
          <w:kern w:val="2"/>
          <w:sz w:val="32"/>
          <w:szCs w:val="32"/>
          <w:shd w:val="clear" w:color="auto" w:fill="auto"/>
        </w:rPr>
        <w:t xml:space="preserve"> </w:t>
      </w:r>
      <w:r>
        <w:rPr>
          <w:rFonts w:ascii="Times New Roman" w:hAnsi="Times New Roman" w:eastAsia="方正仿宋_GBK" w:cs="Times New Roman"/>
          <w:color w:val="auto"/>
          <w:kern w:val="2"/>
          <w:sz w:val="32"/>
          <w:szCs w:val="32"/>
          <w:shd w:val="clear" w:color="auto" w:fill="auto"/>
        </w:rPr>
        <w:t>被检查者拒不配合检查，或者在接受检查时弄虚作假的</w:t>
      </w:r>
      <w:r>
        <w:rPr>
          <w:rFonts w:hint="eastAsia" w:ascii="Times New Roman" w:hAnsi="Times New Roman" w:eastAsia="方正仿宋_GBK" w:cs="Times New Roman"/>
          <w:color w:val="auto"/>
          <w:kern w:val="2"/>
          <w:sz w:val="32"/>
          <w:szCs w:val="32"/>
          <w:shd w:val="clear" w:color="auto" w:fill="auto"/>
          <w:lang w:eastAsia="zh-CN"/>
        </w:rPr>
        <w:t>；</w:t>
      </w:r>
    </w:p>
    <w:p>
      <w:pPr>
        <w:pStyle w:val="19"/>
        <w:widowControl w:val="0"/>
        <w:shd w:val="clear" w:color="auto" w:fill="auto"/>
        <w:snapToGrid w:val="0"/>
        <w:spacing w:before="0" w:beforeAutospacing="0" w:after="0" w:afterAutospacing="0" w:line="590" w:lineRule="exact"/>
        <w:ind w:firstLine="640" w:firstLineChars="200"/>
        <w:jc w:val="both"/>
        <w:rPr>
          <w:rFonts w:hint="eastAsia" w:ascii="Times New Roman" w:hAnsi="Times New Roman" w:eastAsia="方正仿宋_GBK" w:cs="Times New Roman"/>
          <w:color w:val="auto"/>
          <w:kern w:val="2"/>
          <w:sz w:val="32"/>
          <w:szCs w:val="32"/>
          <w:shd w:val="clear" w:color="auto" w:fill="auto"/>
        </w:rPr>
      </w:pPr>
      <w:r>
        <w:rPr>
          <w:rFonts w:ascii="Times New Roman" w:hAnsi="Times New Roman" w:eastAsia="方正仿宋_GBK" w:cs="Times New Roman"/>
          <w:color w:val="auto"/>
          <w:kern w:val="2"/>
          <w:sz w:val="32"/>
          <w:szCs w:val="32"/>
          <w:shd w:val="clear" w:color="auto" w:fill="auto"/>
        </w:rPr>
        <w:t>16.</w:t>
      </w:r>
      <w:r>
        <w:rPr>
          <w:rFonts w:hint="default" w:ascii="Times New Roman" w:hAnsi="Times New Roman" w:eastAsia="方正仿宋_GBK" w:cs="Times New Roman"/>
          <w:color w:val="auto"/>
          <w:kern w:val="2"/>
          <w:sz w:val="32"/>
          <w:szCs w:val="32"/>
          <w:shd w:val="clear" w:color="auto" w:fill="auto"/>
        </w:rPr>
        <w:t xml:space="preserve"> </w:t>
      </w:r>
      <w:r>
        <w:rPr>
          <w:rFonts w:ascii="Times New Roman" w:hAnsi="Times New Roman" w:eastAsia="方正仿宋_GBK" w:cs="Times New Roman"/>
          <w:color w:val="auto"/>
          <w:kern w:val="2"/>
          <w:sz w:val="32"/>
          <w:szCs w:val="32"/>
          <w:shd w:val="clear" w:color="auto" w:fill="auto"/>
        </w:rPr>
        <w:t>土壤污染责任人或者土地使用权人未按照规定进行土壤污染状况调查的</w:t>
      </w:r>
      <w:r>
        <w:rPr>
          <w:rFonts w:hint="eastAsia" w:ascii="Times New Roman" w:hAnsi="Times New Roman" w:eastAsia="方正仿宋_GBK" w:cs="Times New Roman"/>
          <w:color w:val="auto"/>
          <w:kern w:val="2"/>
          <w:sz w:val="32"/>
          <w:szCs w:val="32"/>
          <w:shd w:val="clear" w:color="auto" w:fill="auto"/>
          <w:lang w:eastAsia="zh-CN"/>
        </w:rPr>
        <w:t>；</w:t>
      </w:r>
    </w:p>
    <w:p>
      <w:pPr>
        <w:pStyle w:val="19"/>
        <w:widowControl w:val="0"/>
        <w:shd w:val="clear" w:color="auto" w:fill="auto"/>
        <w:snapToGrid w:val="0"/>
        <w:spacing w:before="0" w:beforeAutospacing="0" w:after="0" w:afterAutospacing="0" w:line="590" w:lineRule="exact"/>
        <w:ind w:firstLine="640" w:firstLineChars="200"/>
        <w:jc w:val="both"/>
        <w:rPr>
          <w:rFonts w:hint="eastAsia" w:ascii="Times New Roman" w:hAnsi="Times New Roman" w:eastAsia="方正仿宋_GBK" w:cs="Times New Roman"/>
          <w:color w:val="auto"/>
          <w:kern w:val="2"/>
          <w:sz w:val="32"/>
          <w:szCs w:val="32"/>
          <w:shd w:val="clear" w:color="auto" w:fill="auto"/>
        </w:rPr>
      </w:pPr>
      <w:r>
        <w:rPr>
          <w:rFonts w:ascii="Times New Roman" w:hAnsi="Times New Roman" w:eastAsia="方正仿宋_GBK" w:cs="Times New Roman"/>
          <w:color w:val="auto"/>
          <w:kern w:val="2"/>
          <w:sz w:val="32"/>
          <w:szCs w:val="32"/>
          <w:shd w:val="clear" w:color="auto" w:fill="auto"/>
        </w:rPr>
        <w:t>17.</w:t>
      </w:r>
      <w:r>
        <w:rPr>
          <w:rFonts w:hint="default" w:ascii="Times New Roman" w:hAnsi="Times New Roman" w:eastAsia="方正仿宋_GBK" w:cs="Times New Roman"/>
          <w:color w:val="auto"/>
          <w:kern w:val="2"/>
          <w:sz w:val="32"/>
          <w:szCs w:val="32"/>
          <w:shd w:val="clear" w:color="auto" w:fill="auto"/>
        </w:rPr>
        <w:t xml:space="preserve"> </w:t>
      </w:r>
      <w:r>
        <w:rPr>
          <w:rFonts w:ascii="Times New Roman" w:hAnsi="Times New Roman" w:eastAsia="方正仿宋_GBK" w:cs="Times New Roman"/>
          <w:color w:val="auto"/>
          <w:kern w:val="2"/>
          <w:sz w:val="32"/>
          <w:szCs w:val="32"/>
          <w:shd w:val="clear" w:color="auto" w:fill="auto"/>
        </w:rPr>
        <w:t>土壤污染责任人或者土地使用权人未按照规定进行土壤污染风险评估的</w:t>
      </w:r>
      <w:r>
        <w:rPr>
          <w:rFonts w:hint="eastAsia" w:ascii="Times New Roman" w:hAnsi="Times New Roman" w:eastAsia="方正仿宋_GBK" w:cs="Times New Roman"/>
          <w:color w:val="auto"/>
          <w:kern w:val="2"/>
          <w:sz w:val="32"/>
          <w:szCs w:val="32"/>
          <w:shd w:val="clear" w:color="auto" w:fill="auto"/>
          <w:lang w:eastAsia="zh-CN"/>
        </w:rPr>
        <w:t>；</w:t>
      </w:r>
    </w:p>
    <w:p>
      <w:pPr>
        <w:pStyle w:val="19"/>
        <w:widowControl w:val="0"/>
        <w:shd w:val="clear" w:color="auto" w:fill="auto"/>
        <w:snapToGrid w:val="0"/>
        <w:spacing w:before="0" w:beforeAutospacing="0" w:after="0" w:afterAutospacing="0" w:line="590" w:lineRule="exact"/>
        <w:ind w:firstLine="640" w:firstLineChars="200"/>
        <w:jc w:val="both"/>
        <w:rPr>
          <w:rFonts w:hint="eastAsia" w:ascii="Times New Roman" w:hAnsi="Times New Roman" w:eastAsia="方正仿宋_GBK" w:cs="Times New Roman"/>
          <w:color w:val="auto"/>
          <w:kern w:val="2"/>
          <w:sz w:val="32"/>
          <w:szCs w:val="32"/>
          <w:shd w:val="clear" w:color="auto" w:fill="auto"/>
        </w:rPr>
      </w:pPr>
      <w:r>
        <w:rPr>
          <w:rFonts w:ascii="Times New Roman" w:hAnsi="Times New Roman" w:eastAsia="方正仿宋_GBK" w:cs="Times New Roman"/>
          <w:color w:val="auto"/>
          <w:kern w:val="2"/>
          <w:sz w:val="32"/>
          <w:szCs w:val="32"/>
          <w:shd w:val="clear" w:color="auto" w:fill="auto"/>
        </w:rPr>
        <w:t>18.</w:t>
      </w:r>
      <w:r>
        <w:rPr>
          <w:rFonts w:hint="default" w:ascii="Times New Roman" w:hAnsi="Times New Roman" w:eastAsia="方正仿宋_GBK" w:cs="Times New Roman"/>
          <w:color w:val="auto"/>
          <w:kern w:val="2"/>
          <w:sz w:val="32"/>
          <w:szCs w:val="32"/>
          <w:shd w:val="clear" w:color="auto" w:fill="auto"/>
        </w:rPr>
        <w:t xml:space="preserve"> </w:t>
      </w:r>
      <w:r>
        <w:rPr>
          <w:rFonts w:ascii="Times New Roman" w:hAnsi="Times New Roman" w:eastAsia="方正仿宋_GBK" w:cs="Times New Roman"/>
          <w:color w:val="auto"/>
          <w:kern w:val="2"/>
          <w:sz w:val="32"/>
          <w:szCs w:val="32"/>
          <w:shd w:val="clear" w:color="auto" w:fill="auto"/>
        </w:rPr>
        <w:t>土壤污染责任人或者土地使用权人未按照规定采取风险管控措施的</w:t>
      </w:r>
      <w:r>
        <w:rPr>
          <w:rFonts w:hint="eastAsia" w:ascii="Times New Roman" w:hAnsi="Times New Roman" w:eastAsia="方正仿宋_GBK" w:cs="Times New Roman"/>
          <w:color w:val="auto"/>
          <w:kern w:val="2"/>
          <w:sz w:val="32"/>
          <w:szCs w:val="32"/>
          <w:shd w:val="clear" w:color="auto" w:fill="auto"/>
          <w:lang w:eastAsia="zh-CN"/>
        </w:rPr>
        <w:t>；</w:t>
      </w:r>
    </w:p>
    <w:p>
      <w:pPr>
        <w:pStyle w:val="19"/>
        <w:widowControl w:val="0"/>
        <w:shd w:val="clear" w:color="auto" w:fill="auto"/>
        <w:snapToGrid w:val="0"/>
        <w:spacing w:before="0" w:beforeAutospacing="0" w:after="0" w:afterAutospacing="0" w:line="590" w:lineRule="exact"/>
        <w:ind w:firstLine="640" w:firstLineChars="200"/>
        <w:jc w:val="both"/>
        <w:rPr>
          <w:rFonts w:hint="eastAsia" w:ascii="Times New Roman" w:hAnsi="Times New Roman" w:eastAsia="方正仿宋_GBK" w:cs="Times New Roman"/>
          <w:color w:val="auto"/>
          <w:kern w:val="2"/>
          <w:sz w:val="32"/>
          <w:szCs w:val="32"/>
          <w:shd w:val="clear" w:color="auto" w:fill="auto"/>
        </w:rPr>
      </w:pPr>
      <w:r>
        <w:rPr>
          <w:rFonts w:ascii="Times New Roman" w:hAnsi="Times New Roman" w:eastAsia="方正仿宋_GBK" w:cs="Times New Roman"/>
          <w:color w:val="auto"/>
          <w:kern w:val="2"/>
          <w:sz w:val="32"/>
          <w:szCs w:val="32"/>
          <w:shd w:val="clear" w:color="auto" w:fill="auto"/>
        </w:rPr>
        <w:t>19.</w:t>
      </w:r>
      <w:r>
        <w:rPr>
          <w:rFonts w:hint="default" w:ascii="Times New Roman" w:hAnsi="Times New Roman" w:eastAsia="方正仿宋_GBK" w:cs="Times New Roman"/>
          <w:color w:val="auto"/>
          <w:kern w:val="2"/>
          <w:sz w:val="32"/>
          <w:szCs w:val="32"/>
          <w:shd w:val="clear" w:color="auto" w:fill="auto"/>
        </w:rPr>
        <w:t xml:space="preserve"> </w:t>
      </w:r>
      <w:r>
        <w:rPr>
          <w:rFonts w:ascii="Times New Roman" w:hAnsi="Times New Roman" w:eastAsia="方正仿宋_GBK" w:cs="Times New Roman"/>
          <w:color w:val="auto"/>
          <w:kern w:val="2"/>
          <w:sz w:val="32"/>
          <w:szCs w:val="32"/>
          <w:shd w:val="clear" w:color="auto" w:fill="auto"/>
        </w:rPr>
        <w:t>土壤污染责任人或者土地使用权人未按照规定实施修复的</w:t>
      </w:r>
      <w:r>
        <w:rPr>
          <w:rFonts w:hint="eastAsia" w:ascii="Times New Roman" w:hAnsi="Times New Roman" w:eastAsia="方正仿宋_GBK" w:cs="Times New Roman"/>
          <w:color w:val="auto"/>
          <w:kern w:val="2"/>
          <w:sz w:val="32"/>
          <w:szCs w:val="32"/>
          <w:shd w:val="clear" w:color="auto" w:fill="auto"/>
          <w:lang w:eastAsia="zh-CN"/>
        </w:rPr>
        <w:t>；</w:t>
      </w:r>
    </w:p>
    <w:p>
      <w:pPr>
        <w:pStyle w:val="19"/>
        <w:widowControl w:val="0"/>
        <w:shd w:val="clear" w:color="auto" w:fill="auto"/>
        <w:snapToGrid w:val="0"/>
        <w:spacing w:before="0" w:beforeAutospacing="0" w:after="0" w:afterAutospacing="0" w:line="590" w:lineRule="exact"/>
        <w:ind w:firstLine="640" w:firstLineChars="200"/>
        <w:jc w:val="both"/>
        <w:rPr>
          <w:rFonts w:hint="eastAsia" w:ascii="Times New Roman" w:hAnsi="Times New Roman" w:eastAsia="方正仿宋_GBK" w:cs="Times New Roman"/>
          <w:color w:val="auto"/>
          <w:kern w:val="2"/>
          <w:sz w:val="32"/>
          <w:szCs w:val="32"/>
          <w:shd w:val="clear" w:color="auto" w:fill="auto"/>
        </w:rPr>
      </w:pPr>
      <w:r>
        <w:rPr>
          <w:rFonts w:ascii="Times New Roman" w:hAnsi="Times New Roman" w:eastAsia="方正仿宋_GBK" w:cs="Times New Roman"/>
          <w:color w:val="auto"/>
          <w:kern w:val="2"/>
          <w:sz w:val="32"/>
          <w:szCs w:val="32"/>
          <w:shd w:val="clear" w:color="auto" w:fill="auto"/>
        </w:rPr>
        <w:t>20.</w:t>
      </w:r>
      <w:r>
        <w:rPr>
          <w:rFonts w:hint="default" w:ascii="Times New Roman" w:hAnsi="Times New Roman" w:eastAsia="方正仿宋_GBK" w:cs="Times New Roman"/>
          <w:color w:val="auto"/>
          <w:kern w:val="2"/>
          <w:sz w:val="32"/>
          <w:szCs w:val="32"/>
          <w:shd w:val="clear" w:color="auto" w:fill="auto"/>
        </w:rPr>
        <w:t xml:space="preserve"> </w:t>
      </w:r>
      <w:r>
        <w:rPr>
          <w:rFonts w:ascii="Times New Roman" w:hAnsi="Times New Roman" w:eastAsia="方正仿宋_GBK" w:cs="Times New Roman"/>
          <w:color w:val="auto"/>
          <w:kern w:val="2"/>
          <w:sz w:val="32"/>
          <w:szCs w:val="32"/>
          <w:shd w:val="clear" w:color="auto" w:fill="auto"/>
        </w:rPr>
        <w:t>风险管控、修复活动完成后，土壤污染责任人或者土地使用权人未另行委托有关单位对风险管控效果、修复效果进行评估的</w:t>
      </w:r>
      <w:r>
        <w:rPr>
          <w:rFonts w:hint="eastAsia" w:ascii="Times New Roman" w:hAnsi="Times New Roman" w:eastAsia="方正仿宋_GBK" w:cs="Times New Roman"/>
          <w:color w:val="auto"/>
          <w:kern w:val="2"/>
          <w:sz w:val="32"/>
          <w:szCs w:val="32"/>
          <w:shd w:val="clear" w:color="auto" w:fill="auto"/>
          <w:lang w:eastAsia="zh-CN"/>
        </w:rPr>
        <w:t>；</w:t>
      </w:r>
    </w:p>
    <w:p>
      <w:pPr>
        <w:pStyle w:val="19"/>
        <w:widowControl w:val="0"/>
        <w:shd w:val="clear" w:color="auto" w:fill="auto"/>
        <w:snapToGrid w:val="0"/>
        <w:spacing w:before="0" w:beforeAutospacing="0" w:after="0" w:afterAutospacing="0" w:line="590" w:lineRule="exact"/>
        <w:ind w:firstLine="640" w:firstLineChars="200"/>
        <w:jc w:val="both"/>
        <w:rPr>
          <w:rFonts w:hint="eastAsia" w:ascii="Times New Roman" w:hAnsi="Times New Roman" w:eastAsia="方正仿宋_GBK" w:cs="Times New Roman"/>
          <w:color w:val="auto"/>
          <w:kern w:val="2"/>
          <w:sz w:val="32"/>
          <w:szCs w:val="32"/>
          <w:shd w:val="clear" w:color="auto" w:fill="auto"/>
        </w:rPr>
      </w:pPr>
      <w:r>
        <w:rPr>
          <w:rFonts w:ascii="Times New Roman" w:hAnsi="Times New Roman" w:eastAsia="方正仿宋_GBK" w:cs="Times New Roman"/>
          <w:color w:val="auto"/>
          <w:kern w:val="2"/>
          <w:sz w:val="32"/>
          <w:szCs w:val="32"/>
          <w:shd w:val="clear" w:color="auto" w:fill="auto"/>
        </w:rPr>
        <w:t>21.</w:t>
      </w:r>
      <w:r>
        <w:rPr>
          <w:rFonts w:hint="default" w:ascii="Times New Roman" w:hAnsi="Times New Roman" w:eastAsia="方正仿宋_GBK" w:cs="Times New Roman"/>
          <w:color w:val="auto"/>
          <w:kern w:val="2"/>
          <w:sz w:val="32"/>
          <w:szCs w:val="32"/>
          <w:shd w:val="clear" w:color="auto" w:fill="auto"/>
        </w:rPr>
        <w:t xml:space="preserve"> </w:t>
      </w:r>
      <w:r>
        <w:rPr>
          <w:rFonts w:ascii="Times New Roman" w:hAnsi="Times New Roman" w:eastAsia="方正仿宋_GBK" w:cs="Times New Roman"/>
          <w:color w:val="auto"/>
          <w:kern w:val="2"/>
          <w:sz w:val="32"/>
          <w:szCs w:val="32"/>
          <w:shd w:val="clear" w:color="auto" w:fill="auto"/>
        </w:rPr>
        <w:t>土壤污染重点监管单位未按照规定将土壤污染防治工作方案报地方人民政府生态环境主管部门备案，责令改正拒不改正的</w:t>
      </w:r>
      <w:r>
        <w:rPr>
          <w:rFonts w:hint="eastAsia" w:ascii="Times New Roman" w:hAnsi="Times New Roman" w:eastAsia="方正仿宋_GBK" w:cs="Times New Roman"/>
          <w:color w:val="auto"/>
          <w:kern w:val="2"/>
          <w:sz w:val="32"/>
          <w:szCs w:val="32"/>
          <w:shd w:val="clear" w:color="auto" w:fill="auto"/>
          <w:lang w:eastAsia="zh-CN"/>
        </w:rPr>
        <w:t>；</w:t>
      </w:r>
    </w:p>
    <w:p>
      <w:pPr>
        <w:pStyle w:val="19"/>
        <w:widowControl w:val="0"/>
        <w:shd w:val="clear" w:color="auto" w:fill="auto"/>
        <w:snapToGrid w:val="0"/>
        <w:spacing w:before="0" w:beforeAutospacing="0" w:after="0" w:afterAutospacing="0" w:line="590" w:lineRule="exact"/>
        <w:ind w:firstLine="640" w:firstLineChars="200"/>
        <w:jc w:val="both"/>
        <w:rPr>
          <w:rFonts w:hint="eastAsia" w:ascii="Times New Roman" w:hAnsi="Times New Roman" w:eastAsia="方正仿宋_GBK" w:cs="Times New Roman"/>
          <w:color w:val="auto"/>
          <w:kern w:val="2"/>
          <w:sz w:val="32"/>
          <w:szCs w:val="32"/>
          <w:shd w:val="clear" w:color="auto" w:fill="auto"/>
        </w:rPr>
      </w:pPr>
      <w:r>
        <w:rPr>
          <w:rFonts w:ascii="Times New Roman" w:hAnsi="Times New Roman" w:eastAsia="方正仿宋_GBK" w:cs="Times New Roman"/>
          <w:color w:val="auto"/>
          <w:kern w:val="2"/>
          <w:sz w:val="32"/>
          <w:szCs w:val="32"/>
          <w:shd w:val="clear" w:color="auto" w:fill="auto"/>
        </w:rPr>
        <w:t>22.</w:t>
      </w:r>
      <w:r>
        <w:rPr>
          <w:rFonts w:hint="default" w:ascii="Times New Roman" w:hAnsi="Times New Roman" w:eastAsia="方正仿宋_GBK" w:cs="Times New Roman"/>
          <w:color w:val="auto"/>
          <w:kern w:val="2"/>
          <w:sz w:val="32"/>
          <w:szCs w:val="32"/>
          <w:shd w:val="clear" w:color="auto" w:fill="auto"/>
        </w:rPr>
        <w:t xml:space="preserve"> </w:t>
      </w:r>
      <w:r>
        <w:rPr>
          <w:rFonts w:ascii="Times New Roman" w:hAnsi="Times New Roman" w:eastAsia="方正仿宋_GBK" w:cs="Times New Roman"/>
          <w:color w:val="auto"/>
          <w:kern w:val="2"/>
          <w:sz w:val="32"/>
          <w:szCs w:val="32"/>
          <w:shd w:val="clear" w:color="auto" w:fill="auto"/>
        </w:rPr>
        <w:t>土壤污染责任人或者土地使用权人未按照规定将修复方案、效果评估报告报地方人民政府生态环境主管部门备案，责令改正拒不改正的</w:t>
      </w:r>
      <w:r>
        <w:rPr>
          <w:rFonts w:hint="eastAsia" w:ascii="Times New Roman" w:hAnsi="Times New Roman" w:eastAsia="方正仿宋_GBK" w:cs="Times New Roman"/>
          <w:color w:val="auto"/>
          <w:kern w:val="2"/>
          <w:sz w:val="32"/>
          <w:szCs w:val="32"/>
          <w:shd w:val="clear" w:color="auto" w:fill="auto"/>
          <w:lang w:eastAsia="zh-CN"/>
        </w:rPr>
        <w:t>；</w:t>
      </w:r>
    </w:p>
    <w:p>
      <w:pPr>
        <w:pStyle w:val="19"/>
        <w:widowControl w:val="0"/>
        <w:shd w:val="clear" w:color="auto" w:fill="auto"/>
        <w:snapToGrid w:val="0"/>
        <w:spacing w:before="0" w:beforeAutospacing="0" w:after="0" w:afterAutospacing="0" w:line="590" w:lineRule="exact"/>
        <w:ind w:firstLine="640" w:firstLineChars="200"/>
        <w:jc w:val="both"/>
        <w:rPr>
          <w:rFonts w:hint="eastAsia" w:ascii="Times New Roman" w:hAnsi="Times New Roman" w:eastAsia="方正仿宋_GBK" w:cs="Times New Roman"/>
          <w:color w:val="auto"/>
          <w:kern w:val="2"/>
          <w:sz w:val="32"/>
          <w:szCs w:val="32"/>
          <w:shd w:val="clear" w:color="auto" w:fill="auto"/>
        </w:rPr>
      </w:pPr>
      <w:r>
        <w:rPr>
          <w:rFonts w:ascii="Times New Roman" w:hAnsi="Times New Roman" w:eastAsia="方正仿宋_GBK" w:cs="Times New Roman"/>
          <w:color w:val="auto"/>
          <w:kern w:val="2"/>
          <w:sz w:val="32"/>
          <w:szCs w:val="32"/>
          <w:shd w:val="clear" w:color="auto" w:fill="auto"/>
        </w:rPr>
        <w:t>23.</w:t>
      </w:r>
      <w:r>
        <w:rPr>
          <w:rFonts w:hint="default" w:ascii="Times New Roman" w:hAnsi="Times New Roman" w:eastAsia="方正仿宋_GBK" w:cs="Times New Roman"/>
          <w:color w:val="auto"/>
          <w:kern w:val="2"/>
          <w:sz w:val="32"/>
          <w:szCs w:val="32"/>
          <w:shd w:val="clear" w:color="auto" w:fill="auto"/>
        </w:rPr>
        <w:t xml:space="preserve"> </w:t>
      </w:r>
      <w:r>
        <w:rPr>
          <w:rFonts w:ascii="Times New Roman" w:hAnsi="Times New Roman" w:eastAsia="方正仿宋_GBK" w:cs="Times New Roman"/>
          <w:color w:val="auto"/>
          <w:kern w:val="2"/>
          <w:sz w:val="32"/>
          <w:szCs w:val="32"/>
          <w:shd w:val="clear" w:color="auto" w:fill="auto"/>
        </w:rPr>
        <w:t>土地使用权人未按照规定将土壤污染状况调查报告报地方人民政府生态环境主管部门备案的</w:t>
      </w:r>
      <w:r>
        <w:rPr>
          <w:rFonts w:hint="eastAsia" w:ascii="Times New Roman" w:hAnsi="Times New Roman" w:eastAsia="方正仿宋_GBK" w:cs="Times New Roman"/>
          <w:color w:val="auto"/>
          <w:kern w:val="2"/>
          <w:sz w:val="32"/>
          <w:szCs w:val="32"/>
          <w:shd w:val="clear" w:color="auto" w:fill="auto"/>
          <w:lang w:eastAsia="zh-CN"/>
        </w:rPr>
        <w:t>；</w:t>
      </w:r>
    </w:p>
    <w:p>
      <w:pPr>
        <w:pStyle w:val="19"/>
        <w:widowControl w:val="0"/>
        <w:shd w:val="clear" w:color="auto" w:fill="auto"/>
        <w:snapToGrid w:val="0"/>
        <w:spacing w:before="0" w:beforeAutospacing="0" w:after="0" w:afterAutospacing="0" w:line="590" w:lineRule="exact"/>
        <w:ind w:firstLine="640" w:firstLineChars="200"/>
        <w:jc w:val="both"/>
        <w:rPr>
          <w:rFonts w:hint="eastAsia" w:ascii="Times New Roman" w:hAnsi="Times New Roman" w:eastAsia="方正仿宋_GBK" w:cs="Times New Roman"/>
          <w:color w:val="auto"/>
          <w:kern w:val="2"/>
          <w:sz w:val="32"/>
          <w:szCs w:val="32"/>
          <w:shd w:val="clear" w:color="auto" w:fill="auto"/>
        </w:rPr>
      </w:pPr>
      <w:r>
        <w:rPr>
          <w:rFonts w:ascii="Times New Roman" w:hAnsi="Times New Roman" w:eastAsia="方正仿宋_GBK" w:cs="Times New Roman"/>
          <w:color w:val="auto"/>
          <w:kern w:val="2"/>
          <w:sz w:val="32"/>
          <w:szCs w:val="32"/>
          <w:shd w:val="clear" w:color="auto" w:fill="auto"/>
        </w:rPr>
        <w:t>24</w:t>
      </w:r>
      <w:r>
        <w:rPr>
          <w:rFonts w:hint="default" w:ascii="Times New Roman" w:hAnsi="Times New Roman" w:eastAsia="方正仿宋_GBK" w:cs="Times New Roman"/>
          <w:color w:val="auto"/>
          <w:kern w:val="2"/>
          <w:sz w:val="32"/>
          <w:szCs w:val="32"/>
          <w:shd w:val="clear" w:color="auto" w:fill="auto"/>
          <w:lang w:val="en-US"/>
        </w:rPr>
        <w:t>.</w:t>
      </w:r>
      <w:r>
        <w:rPr>
          <w:rFonts w:hint="default" w:ascii="Times New Roman" w:hAnsi="Times New Roman" w:eastAsia="方正仿宋_GBK" w:cs="Times New Roman"/>
          <w:color w:val="auto"/>
          <w:kern w:val="2"/>
          <w:sz w:val="32"/>
          <w:szCs w:val="32"/>
          <w:shd w:val="clear" w:color="auto" w:fill="auto"/>
          <w:lang/>
        </w:rPr>
        <w:t xml:space="preserve"> </w:t>
      </w:r>
      <w:r>
        <w:rPr>
          <w:rFonts w:hint="default" w:ascii="Times New Roman" w:hAnsi="Times New Roman" w:eastAsia="方正仿宋_GBK" w:cs="Times New Roman"/>
          <w:color w:val="auto"/>
          <w:kern w:val="2"/>
          <w:sz w:val="32"/>
          <w:szCs w:val="32"/>
          <w:shd w:val="clear" w:color="auto" w:fill="auto"/>
        </w:rPr>
        <w:t>新建、改建、扩建有色金属选矿、有色金属冶炼、石油加工、化工、焦化、电镀、制革、危险废物处理处置等项目，未对建设厂区进行防渗处理，或者新建、改建、扩建加油站和储油库项目，未对地下油罐设施进行防渗处理的</w:t>
      </w:r>
      <w:r>
        <w:rPr>
          <w:rFonts w:hint="eastAsia" w:ascii="Times New Roman" w:hAnsi="Times New Roman" w:eastAsia="方正仿宋_GBK" w:cs="Times New Roman"/>
          <w:color w:val="auto"/>
          <w:kern w:val="2"/>
          <w:sz w:val="32"/>
          <w:szCs w:val="32"/>
          <w:shd w:val="clear" w:color="auto" w:fill="auto"/>
          <w:lang w:eastAsia="zh-CN"/>
        </w:rPr>
        <w:t>。</w:t>
      </w:r>
    </w:p>
    <w:p>
      <w:pPr>
        <w:pStyle w:val="19"/>
        <w:widowControl w:val="0"/>
        <w:shd w:val="clear" w:color="auto" w:fill="auto"/>
        <w:snapToGrid w:val="0"/>
        <w:spacing w:before="0" w:beforeAutospacing="0" w:after="0" w:afterAutospacing="0" w:line="590" w:lineRule="exact"/>
        <w:ind w:firstLine="640" w:firstLineChars="200"/>
        <w:jc w:val="both"/>
        <w:rPr>
          <w:rFonts w:hint="default" w:ascii="Times New Roman" w:hAnsi="Times New Roman" w:eastAsia="方正仿宋_GBK" w:cs="Times New Roman"/>
          <w:color w:val="auto"/>
          <w:kern w:val="2"/>
          <w:sz w:val="32"/>
          <w:szCs w:val="32"/>
          <w:shd w:val="clear" w:color="auto" w:fill="auto"/>
        </w:rPr>
      </w:pPr>
    </w:p>
    <w:p>
      <w:pPr>
        <w:pStyle w:val="19"/>
        <w:widowControl w:val="0"/>
        <w:shd w:val="clear" w:color="auto" w:fill="auto"/>
        <w:snapToGrid w:val="0"/>
        <w:spacing w:before="0" w:beforeAutospacing="0" w:after="0" w:afterAutospacing="0" w:line="240" w:lineRule="auto"/>
        <w:ind w:firstLine="640" w:firstLineChars="200"/>
        <w:jc w:val="both"/>
        <w:rPr>
          <w:rFonts w:hint="default" w:ascii="Times New Roman" w:hAnsi="Times New Roman" w:eastAsia="方正仿宋_GBK" w:cs="Times New Roman"/>
          <w:color w:val="auto"/>
          <w:kern w:val="2"/>
          <w:sz w:val="8"/>
          <w:szCs w:val="8"/>
          <w:shd w:val="clear" w:color="auto" w:fill="auto"/>
        </w:rPr>
      </w:pPr>
      <w:r>
        <w:rPr>
          <w:rFonts w:hint="default" w:ascii="Times New Roman" w:hAnsi="Times New Roman" w:eastAsia="方正仿宋_GBK" w:cs="Times New Roman"/>
          <w:color w:val="auto"/>
          <w:kern w:val="2"/>
          <w:sz w:val="32"/>
          <w:szCs w:val="32"/>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244"/>
        <w:gridCol w:w="2448"/>
      </w:tblGrid>
      <w:tr>
        <w:trPr>
          <w:trHeight w:val="369"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（五）土壤污染防治类</w:t>
            </w:r>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50" w:name="_Toc444"/>
            <w:r>
              <w:rPr>
                <w:rFonts w:hint="default" w:ascii="Times New Roman" w:hAnsi="Times New Roman" w:cs="Times New Roman"/>
                <w:color w:val="auto"/>
                <w:sz w:val="20"/>
                <w:szCs w:val="20"/>
                <w:shd w:val="clear" w:color="auto" w:fill="auto"/>
              </w:rPr>
              <w:t>1</w:t>
            </w:r>
            <w:bookmarkEnd w:id="250"/>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top"/>
          </w:tcPr>
          <w:p>
            <w:pPr>
              <w:pStyle w:val="18"/>
              <w:shd w:val="clear" w:color="auto" w:fill="auto"/>
              <w:spacing w:before="0" w:beforeAutospacing="0" w:after="0" w:afterAutospacing="0" w:line="320" w:lineRule="exact"/>
              <w:ind w:left="0" w:right="0" w:firstLine="420" w:firstLineChars="200"/>
              <w:jc w:val="both"/>
              <w:outlineLvl w:val="9"/>
              <w:rPr>
                <w:rFonts w:hint="default" w:ascii="Times New Roman" w:hAnsi="Times New Roman" w:cs="Times New Roman"/>
                <w:color w:val="auto"/>
                <w:sz w:val="21"/>
                <w:szCs w:val="21"/>
                <w:shd w:val="clear" w:color="auto" w:fill="auto"/>
              </w:rPr>
            </w:pPr>
            <w:bookmarkStart w:id="251" w:name="_Toc1216"/>
            <w:r>
              <w:rPr>
                <w:rFonts w:hint="default" w:ascii="Times New Roman" w:hAnsi="Times New Roman" w:cs="Times New Roman"/>
                <w:color w:val="auto"/>
                <w:sz w:val="21"/>
                <w:szCs w:val="21"/>
                <w:shd w:val="clear" w:color="auto" w:fill="auto"/>
              </w:rPr>
              <w:t>土壤污染重点监管单位未制定、实施自行监测方案，或者未将监测数据报生态环境主管部门的</w:t>
            </w:r>
            <w:bookmarkEnd w:id="251"/>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top"/>
          </w:tcPr>
          <w:p>
            <w:pPr>
              <w:pStyle w:val="18"/>
              <w:shd w:val="clear" w:color="auto" w:fill="auto"/>
              <w:spacing w:before="0" w:beforeAutospacing="0" w:after="0" w:afterAutospacing="0" w:line="320" w:lineRule="exact"/>
              <w:ind w:left="0" w:right="0" w:firstLine="422" w:firstLineChars="20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《中华人民共和国土壤污染防治法》第二十一条第二款第（三）项</w:t>
            </w:r>
            <w:r>
              <w:rPr>
                <w:rFonts w:hint="default" w:ascii="Times New Roman" w:hAnsi="Times New Roman" w:cs="Times New Roman"/>
                <w:color w:val="auto"/>
                <w:sz w:val="21"/>
                <w:szCs w:val="21"/>
                <w:shd w:val="clear" w:color="auto" w:fill="auto"/>
              </w:rPr>
              <w:t xml:space="preserve"> 土壤污染重点监管单位应当履行下列义务：</w:t>
            </w:r>
          </w:p>
          <w:p>
            <w:pPr>
              <w:pStyle w:val="18"/>
              <w:shd w:val="clear" w:color="auto" w:fill="auto"/>
              <w:spacing w:before="0" w:beforeAutospacing="0" w:after="0" w:afterAutospacing="0" w:line="320" w:lineRule="exact"/>
              <w:ind w:left="0" w:right="0" w:firstLine="420" w:firstLineChars="20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（三）制定、实施自行监测方案，并将监测数据报生态环境主管部门。</w:t>
            </w:r>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top"/>
          </w:tcPr>
          <w:p>
            <w:pPr>
              <w:pStyle w:val="18"/>
              <w:shd w:val="clear" w:color="auto" w:fill="auto"/>
              <w:spacing w:before="0" w:beforeAutospacing="0" w:after="0" w:afterAutospacing="0" w:line="320" w:lineRule="exact"/>
              <w:ind w:left="0" w:right="0" w:firstLine="422" w:firstLineChars="20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《中华人民共和国土壤污染防治法》第八十六条第一款第（一）项、第二款</w:t>
            </w:r>
            <w:r>
              <w:rPr>
                <w:rFonts w:hint="default" w:ascii="Times New Roman" w:hAnsi="Times New Roman" w:cs="Times New Roman"/>
                <w:color w:val="auto"/>
                <w:sz w:val="21"/>
                <w:szCs w:val="21"/>
                <w:shd w:val="clear" w:color="auto" w:fill="auto"/>
              </w:rPr>
              <w:t xml:space="preserve"> 违反本法规定，有下列行为之一的，由地方人民政府生态环境主管部门或者其他负有土壤污染防治监督管理职责的部门责令改正，处以罚款；拒不改正的，责令停产整治：</w:t>
            </w:r>
          </w:p>
          <w:p>
            <w:pPr>
              <w:pStyle w:val="18"/>
              <w:shd w:val="clear" w:color="auto" w:fill="auto"/>
              <w:spacing w:before="0" w:beforeAutospacing="0" w:after="0" w:afterAutospacing="0" w:line="320" w:lineRule="exact"/>
              <w:ind w:left="0" w:right="0" w:firstLine="420" w:firstLineChars="20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（一）土壤污染重点监管单位未制定、实施自行监测方案，或者未将监测数据报生态环境主管部门的。</w:t>
            </w:r>
          </w:p>
          <w:p>
            <w:pPr>
              <w:pStyle w:val="18"/>
              <w:shd w:val="clear" w:color="auto" w:fill="auto"/>
              <w:spacing w:before="0" w:beforeAutospacing="0" w:after="0" w:afterAutospacing="0" w:line="320" w:lineRule="exact"/>
              <w:ind w:left="0" w:right="0" w:firstLine="420" w:firstLineChars="20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有前款规定行为之一的，处二万元以上二十万元以下的罚款；有前款第二项、第四项、第五项、第七项规定行为之一，造成严重后果的，处二十万元以上二百万元以下的罚款。</w:t>
            </w:r>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2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4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244"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土壤污染重点监管单位制定、实施了自行监测方案，但未将监测数据报生态环境主管部门的</w:t>
            </w:r>
          </w:p>
        </w:tc>
        <w:tc>
          <w:tcPr>
            <w:tcW w:w="24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4"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土壤污染重点监管单位制定自行监测方案，但未实施的</w:t>
            </w:r>
          </w:p>
        </w:tc>
        <w:tc>
          <w:tcPr>
            <w:tcW w:w="24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4"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土壤污染重点监管单位未制定自行监测方案的</w:t>
            </w:r>
          </w:p>
        </w:tc>
        <w:tc>
          <w:tcPr>
            <w:tcW w:w="24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★土壤环境</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敏感度</w:t>
            </w:r>
          </w:p>
        </w:tc>
        <w:tc>
          <w:tcPr>
            <w:tcW w:w="5244"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第二类建设用地</w:t>
            </w:r>
          </w:p>
        </w:tc>
        <w:tc>
          <w:tcPr>
            <w:tcW w:w="24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2" w:firstLineChars="0"/>
              <w:jc w:val="center"/>
              <w:rPr>
                <w:rFonts w:hint="default" w:ascii="Times New Roman" w:hAnsi="Times New Roman" w:cs="Times New Roman"/>
                <w:b/>
                <w:bCs/>
                <w:color w:val="auto"/>
                <w:sz w:val="20"/>
                <w:szCs w:val="20"/>
                <w:shd w:val="clear" w:color="auto" w:fill="auto"/>
              </w:rPr>
            </w:pPr>
          </w:p>
        </w:tc>
        <w:tc>
          <w:tcPr>
            <w:tcW w:w="5244"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第一类建设用地</w:t>
            </w:r>
          </w:p>
        </w:tc>
        <w:tc>
          <w:tcPr>
            <w:tcW w:w="24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4"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严格管控类农用地</w:t>
            </w:r>
          </w:p>
        </w:tc>
        <w:tc>
          <w:tcPr>
            <w:tcW w:w="24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安全利用类农用地</w:t>
            </w:r>
          </w:p>
        </w:tc>
        <w:tc>
          <w:tcPr>
            <w:tcW w:w="24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优先保护类农用地</w:t>
            </w:r>
          </w:p>
        </w:tc>
        <w:tc>
          <w:tcPr>
            <w:tcW w:w="24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监测频次</w:t>
            </w:r>
          </w:p>
        </w:tc>
        <w:tc>
          <w:tcPr>
            <w:tcW w:w="5244"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由于突发事件，未监测或者未将监测数据报生态环境主管部门的</w:t>
            </w:r>
          </w:p>
        </w:tc>
        <w:tc>
          <w:tcPr>
            <w:tcW w:w="24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4"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未定期监测或者将监测数据报生态环境主管部门的</w:t>
            </w:r>
          </w:p>
        </w:tc>
        <w:tc>
          <w:tcPr>
            <w:tcW w:w="24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4"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从未监测过或者将监测数据报生态环境主管部门的</w:t>
            </w:r>
          </w:p>
        </w:tc>
        <w:tc>
          <w:tcPr>
            <w:tcW w:w="24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2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4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4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4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4"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4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污染物类别</w:t>
            </w:r>
          </w:p>
        </w:tc>
        <w:tc>
          <w:tcPr>
            <w:tcW w:w="52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一般工业废水/第</w:t>
            </w:r>
            <w:r>
              <w:rPr>
                <w:rFonts w:hint="default" w:ascii="Times New Roman" w:hAnsi="Times New Roman" w:eastAsia="宋体" w:cs="Times New Roman"/>
                <w:color w:val="auto"/>
                <w:sz w:val="20"/>
                <w:szCs w:val="20"/>
                <w:shd w:val="clear" w:color="auto" w:fill="auto"/>
              </w:rPr>
              <w:t>Ⅰ</w:t>
            </w:r>
            <w:r>
              <w:rPr>
                <w:rFonts w:hint="default" w:ascii="Times New Roman" w:hAnsi="Times New Roman" w:cs="Times New Roman"/>
                <w:color w:val="auto"/>
                <w:sz w:val="20"/>
                <w:szCs w:val="20"/>
                <w:shd w:val="clear" w:color="auto" w:fill="auto"/>
              </w:rPr>
              <w:t>类一般工业固体废物</w:t>
            </w:r>
          </w:p>
        </w:tc>
        <w:tc>
          <w:tcPr>
            <w:tcW w:w="24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4"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火电、钢铁、石化、水泥、炼焦、有色、化工废气、烟尘/含其他有毒有害物质的废水、医疗废水</w:t>
            </w:r>
          </w:p>
        </w:tc>
        <w:tc>
          <w:tcPr>
            <w:tcW w:w="24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4"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含一类污染物或重金属、病原体、放射性物质的废水/危险废物/Ⅱ类一般工业固体废物</w:t>
            </w:r>
          </w:p>
        </w:tc>
        <w:tc>
          <w:tcPr>
            <w:tcW w:w="24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97" w:hRule="atLeast"/>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bookmarkStart w:id="252" w:name="_Hlk22566015"/>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r>
              <w:rPr>
                <w:rFonts w:hint="default" w:ascii="Times New Roman" w:hAnsi="Times New Roman" w:cs="Times New Roman"/>
                <w:b/>
                <w:bCs/>
                <w:color w:val="auto"/>
                <w:sz w:val="20"/>
                <w:szCs w:val="20"/>
                <w:shd w:val="clear" w:color="auto" w:fill="auto"/>
                <w:lang w:val="en-US"/>
              </w:rPr>
              <w:t>改正时间</w:t>
            </w:r>
          </w:p>
        </w:tc>
        <w:tc>
          <w:tcPr>
            <w:tcW w:w="5244"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kern w:val="2"/>
                <w:sz w:val="21"/>
                <w:szCs w:val="21"/>
                <w:shd w:val="clear" w:color="auto" w:fill="auto"/>
                <w:lang w:eastAsia="zh-CN"/>
              </w:rPr>
              <w:t>限期改正</w:t>
            </w:r>
          </w:p>
        </w:tc>
        <w:tc>
          <w:tcPr>
            <w:tcW w:w="244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2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24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44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2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24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44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2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24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7天以上</w:t>
            </w:r>
          </w:p>
        </w:tc>
        <w:tc>
          <w:tcPr>
            <w:tcW w:w="244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97"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24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44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4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44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4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44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4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44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4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44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违法次数</w:t>
            </w:r>
          </w:p>
        </w:tc>
        <w:tc>
          <w:tcPr>
            <w:tcW w:w="52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4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4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4"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w:t>
            </w:r>
            <w:r>
              <w:rPr>
                <w:rFonts w:hint="eastAsia" w:ascii="Times New Roman" w:hAnsi="Times New Roman" w:cs="Times New Roman"/>
                <w:color w:val="auto"/>
                <w:sz w:val="20"/>
                <w:szCs w:val="20"/>
                <w:shd w:val="clear" w:color="auto" w:fill="auto"/>
                <w:lang w:eastAsia="zh-CN"/>
              </w:rPr>
              <w:t>以上</w:t>
            </w:r>
          </w:p>
        </w:tc>
        <w:tc>
          <w:tcPr>
            <w:tcW w:w="24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24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44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44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44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4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44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69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bookmarkEnd w:id="252"/>
          </w:p>
        </w:tc>
      </w:tr>
    </w:tbl>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649"/>
      </w:tblGrid>
      <w:tr>
        <w:trPr>
          <w:trHeight w:val="369" w:hRule="atLeast"/>
        </w:trPr>
        <w:tc>
          <w:tcPr>
            <w:tcW w:w="9060" w:type="dxa"/>
            <w:gridSpan w:val="3"/>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（五）土壤污染防治类</w:t>
            </w:r>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53" w:name="_Toc30411"/>
            <w:r>
              <w:rPr>
                <w:rFonts w:hint="default" w:ascii="Times New Roman" w:hAnsi="Times New Roman" w:cs="Times New Roman"/>
                <w:color w:val="auto"/>
                <w:sz w:val="20"/>
                <w:szCs w:val="20"/>
                <w:shd w:val="clear" w:color="auto" w:fill="auto"/>
              </w:rPr>
              <w:t>2</w:t>
            </w:r>
            <w:bookmarkEnd w:id="253"/>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54" w:name="_Toc2582"/>
            <w:r>
              <w:rPr>
                <w:rFonts w:hint="default" w:ascii="Times New Roman" w:hAnsi="Times New Roman" w:cs="Times New Roman"/>
                <w:color w:val="auto"/>
                <w:sz w:val="20"/>
                <w:szCs w:val="20"/>
                <w:shd w:val="clear" w:color="auto" w:fill="auto"/>
              </w:rPr>
              <w:t>土壤污染重点监管单位篡改、伪造监测数据的</w:t>
            </w:r>
            <w:bookmarkEnd w:id="254"/>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top"/>
          </w:tcPr>
          <w:p>
            <w:pPr>
              <w:pStyle w:val="19"/>
              <w:shd w:val="clear" w:color="auto" w:fill="auto"/>
              <w:spacing w:before="0" w:beforeAutospacing="0" w:after="0" w:afterAutospacing="0" w:line="320" w:lineRule="exact"/>
              <w:ind w:left="0" w:right="0" w:firstLine="420"/>
              <w:jc w:val="both"/>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《中华人民共和国土壤污染防治法》第二十一条第四款</w:t>
            </w:r>
            <w:r>
              <w:rPr>
                <w:rFonts w:hint="default" w:ascii="Times New Roman" w:hAnsi="Times New Roman" w:cs="Times New Roman"/>
                <w:color w:val="auto"/>
                <w:kern w:val="2"/>
                <w:sz w:val="21"/>
                <w:szCs w:val="21"/>
                <w:shd w:val="clear" w:color="auto" w:fill="auto"/>
              </w:rPr>
              <w:t xml:space="preserve"> 土壤污染重点监管单位应当对监测数据的真实性和准确性负责。生态环境主管部门发现土壤污染重点监管单位监测数据异常，应当及时进行调查。</w:t>
            </w:r>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top"/>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《中华人民共和国土壤污染防治法》第八十六条第一款第（二）项、第二款</w:t>
            </w:r>
            <w:r>
              <w:rPr>
                <w:rFonts w:hint="default" w:ascii="Times New Roman" w:hAnsi="Times New Roman" w:cs="Times New Roman"/>
                <w:color w:val="auto"/>
                <w:sz w:val="20"/>
                <w:szCs w:val="20"/>
                <w:shd w:val="clear" w:color="auto" w:fill="auto"/>
              </w:rPr>
              <w:t xml:space="preserve"> 违反本法规定，有下列行为之一的，由地方人民政府生态环境主管部门或者其他负有土壤污染防治监督管理职责的部门责令改正，处以罚款；拒不改正的，责令停产整治：</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（二）土壤污染重点监管单位篡改、伪造监测数据的。</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有前款规定行为之一的，处二万元以上二十万元以下的罚款；有前款第二项、第四项、第五项、第七项规定行为之一，造成严重后果的，处二十万元以上二百万元以下的罚款。</w:t>
            </w:r>
          </w:p>
        </w:tc>
      </w:tr>
      <w:tr>
        <w:trPr>
          <w:trHeight w:val="351"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未对监测因子造成影响的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对监测因子造成影响的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土壤环境</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rPr>
              <w:t>敏感度</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1"/>
                <w:szCs w:val="21"/>
                <w:shd w:val="clear" w:color="auto" w:fill="auto"/>
              </w:rPr>
              <w:t>第二类建设用地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2" w:firstLineChars="0"/>
              <w:jc w:val="center"/>
              <w:rPr>
                <w:rFonts w:hint="default" w:ascii="Times New Roman" w:hAnsi="Times New Roman" w:cs="Times New Roman"/>
                <w:b/>
                <w:bCs/>
                <w:color w:val="auto"/>
                <w:sz w:val="20"/>
                <w:szCs w:val="20"/>
                <w:shd w:val="clear" w:color="auto" w:fill="auto"/>
                <w:lang w:eastAsia="zh-CN"/>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1"/>
                <w:szCs w:val="21"/>
                <w:shd w:val="clear" w:color="auto" w:fill="auto"/>
              </w:rPr>
              <w:t>第一类建设用地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1"/>
                <w:szCs w:val="21"/>
                <w:shd w:val="clear" w:color="auto" w:fill="auto"/>
              </w:rPr>
              <w:t>严格管控类农用地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安全利用类农用地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优先保护类农用地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污染物类别</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一般工业废水/第</w:t>
            </w:r>
            <w:r>
              <w:rPr>
                <w:rFonts w:hint="default" w:ascii="Times New Roman" w:hAnsi="Times New Roman" w:eastAsia="宋体" w:cs="Times New Roman"/>
                <w:color w:val="auto"/>
                <w:sz w:val="20"/>
                <w:szCs w:val="20"/>
                <w:shd w:val="clear" w:color="auto" w:fill="auto"/>
              </w:rPr>
              <w:t>Ⅰ</w:t>
            </w:r>
            <w:r>
              <w:rPr>
                <w:rFonts w:hint="default" w:ascii="Times New Roman" w:hAnsi="Times New Roman" w:cs="Times New Roman"/>
                <w:color w:val="auto"/>
                <w:sz w:val="20"/>
                <w:szCs w:val="20"/>
                <w:shd w:val="clear" w:color="auto" w:fill="auto"/>
              </w:rPr>
              <w:t>类一般工业固体废物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火电、钢铁、石化、水泥、炼焦、有色、化工废气、烟尘/含其他有毒有害物质的废水、医疗废水</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含一类污染物或重金属、病原体、放射性物质的废水/危险废物/Ⅱ类一般工业固体废物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企业占地</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面积</w:t>
            </w: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以上5000m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5000m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以上10000m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10000m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以上20000m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20000m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4次</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eastAsia"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r>
              <w:rPr>
                <w:rFonts w:hint="default" w:ascii="Times New Roman" w:hAnsi="Times New Roman" w:eastAsia="宋体" w:cs="Times New Roman"/>
                <w:color w:val="auto"/>
                <w:kern w:val="2"/>
                <w:sz w:val="21"/>
                <w:szCs w:val="21"/>
                <w:shd w:val="clear" w:color="auto" w:fill="auto"/>
                <w:lang w:val="en-US"/>
              </w:rPr>
              <w:t>次</w:t>
            </w:r>
            <w:r>
              <w:rPr>
                <w:rFonts w:hint="eastAsia" w:ascii="Times New Roman" w:hAnsi="Times New Roman" w:cs="Times New Roman"/>
                <w:color w:val="auto"/>
                <w:kern w:val="2"/>
                <w:sz w:val="21"/>
                <w:szCs w:val="21"/>
                <w:shd w:val="clear" w:color="auto" w:fill="auto"/>
                <w:lang w:val="en-US" w:eastAsia="zh-CN"/>
              </w:rPr>
              <w:t>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eastAsia" w:ascii="Times New Roman" w:hAnsi="Times New Roman" w:cs="Times New Roman"/>
                <w:b/>
                <w:bCs/>
                <w:color w:val="auto"/>
                <w:sz w:val="20"/>
                <w:szCs w:val="20"/>
                <w:shd w:val="clear" w:color="auto" w:fill="auto"/>
                <w:lang w:val="en-US" w:eastAsia="zh-CN"/>
              </w:rPr>
              <w:t>受处罚</w:t>
            </w:r>
            <w:r>
              <w:rPr>
                <w:rFonts w:hint="default" w:ascii="Times New Roman" w:hAnsi="Times New Roman" w:cs="Times New Roman"/>
                <w:b/>
                <w:bCs/>
                <w:color w:val="auto"/>
                <w:sz w:val="20"/>
                <w:szCs w:val="20"/>
                <w:shd w:val="clear" w:color="auto" w:fill="auto"/>
              </w:rPr>
              <w:t>次数</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649"/>
      </w:tblGrid>
      <w:tr>
        <w:trPr>
          <w:trHeight w:val="369" w:hRule="atLeast"/>
        </w:trPr>
        <w:tc>
          <w:tcPr>
            <w:tcW w:w="9060" w:type="dxa"/>
            <w:gridSpan w:val="3"/>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（五）土壤污染防治类</w:t>
            </w:r>
          </w:p>
        </w:tc>
      </w:tr>
      <w:tr>
        <w:trPr>
          <w:trHeight w:val="369" w:hRule="atLeast"/>
        </w:trPr>
        <w:tc>
          <w:tcPr>
            <w:tcW w:w="1368"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wordWrap/>
              <w:adjustRightInd/>
              <w:snapToGrid w:val="0"/>
              <w:spacing w:before="0" w:beforeAutospacing="0" w:after="0" w:afterAutospacing="0" w:line="31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255" w:name="_Toc17378"/>
            <w:r>
              <w:rPr>
                <w:rFonts w:hint="default" w:ascii="Times New Roman" w:hAnsi="Times New Roman" w:cs="Times New Roman"/>
                <w:color w:val="auto"/>
                <w:sz w:val="20"/>
                <w:szCs w:val="20"/>
                <w:shd w:val="clear" w:color="auto" w:fill="auto"/>
              </w:rPr>
              <w:t>3</w:t>
            </w:r>
            <w:bookmarkEnd w:id="255"/>
          </w:p>
        </w:tc>
      </w:tr>
      <w:tr>
        <w:trPr>
          <w:trHeight w:val="369" w:hRule="atLeast"/>
        </w:trPr>
        <w:tc>
          <w:tcPr>
            <w:tcW w:w="1368"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top"/>
          </w:tcPr>
          <w:p>
            <w:pPr>
              <w:shd w:val="clear" w:color="auto" w:fill="auto"/>
              <w:wordWrap/>
              <w:adjustRightInd/>
              <w:snapToGrid w:val="0"/>
              <w:spacing w:before="0" w:beforeAutospacing="0" w:after="0" w:afterAutospacing="0" w:line="310" w:lineRule="exact"/>
              <w:ind w:left="0" w:right="0" w:firstLine="420"/>
              <w:textAlignment w:val="auto"/>
              <w:outlineLvl w:val="9"/>
              <w:rPr>
                <w:rFonts w:hint="default" w:ascii="Times New Roman" w:hAnsi="Times New Roman" w:cs="Times New Roman"/>
                <w:color w:val="auto"/>
                <w:sz w:val="20"/>
                <w:szCs w:val="20"/>
                <w:shd w:val="clear" w:color="auto" w:fill="auto"/>
              </w:rPr>
            </w:pPr>
            <w:bookmarkStart w:id="256" w:name="_Toc27557"/>
            <w:r>
              <w:rPr>
                <w:rFonts w:hint="default" w:ascii="Times New Roman" w:hAnsi="Times New Roman" w:cs="Times New Roman"/>
                <w:color w:val="auto"/>
                <w:sz w:val="20"/>
                <w:szCs w:val="20"/>
                <w:shd w:val="clear" w:color="auto" w:fill="auto"/>
              </w:rPr>
              <w:t>土壤污染重点监管单位未按年度报告有毒有害物质排放情况，或者未建立土壤污染隐患排查制度的</w:t>
            </w:r>
            <w:bookmarkEnd w:id="256"/>
          </w:p>
        </w:tc>
      </w:tr>
      <w:tr>
        <w:trPr>
          <w:trHeight w:val="369" w:hRule="atLeast"/>
        </w:trPr>
        <w:tc>
          <w:tcPr>
            <w:tcW w:w="1368"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top"/>
          </w:tcPr>
          <w:p>
            <w:pPr>
              <w:pStyle w:val="19"/>
              <w:shd w:val="clear" w:color="auto" w:fill="auto"/>
              <w:wordWrap/>
              <w:adjustRightInd/>
              <w:snapToGrid w:val="0"/>
              <w:spacing w:before="0" w:beforeAutospacing="0" w:after="0" w:afterAutospacing="0" w:line="31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《中华人民共和国土壤污染防治法》第二十一条第二款第（一）项、第（二）项</w:t>
            </w:r>
            <w:r>
              <w:rPr>
                <w:rFonts w:hint="default" w:ascii="Times New Roman" w:hAnsi="Times New Roman" w:cs="Times New Roman"/>
                <w:color w:val="auto"/>
                <w:sz w:val="21"/>
                <w:szCs w:val="21"/>
                <w:shd w:val="clear" w:color="auto" w:fill="auto"/>
              </w:rPr>
              <w:t>土壤污染重点监管单位应当履行下列义务：</w:t>
            </w:r>
          </w:p>
          <w:p>
            <w:pPr>
              <w:pStyle w:val="19"/>
              <w:shd w:val="clear" w:color="auto" w:fill="auto"/>
              <w:wordWrap/>
              <w:adjustRightInd/>
              <w:snapToGrid w:val="0"/>
              <w:spacing w:before="0" w:beforeAutospacing="0" w:after="0" w:afterAutospacing="0" w:line="31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 xml:space="preserve">（一）严格控制有毒有害物质排放，并按年度向生态环境主管部门报告排放情况； </w:t>
            </w:r>
          </w:p>
          <w:p>
            <w:pPr>
              <w:pStyle w:val="19"/>
              <w:shd w:val="clear" w:color="auto" w:fill="auto"/>
              <w:wordWrap/>
              <w:adjustRightInd/>
              <w:snapToGrid w:val="0"/>
              <w:spacing w:before="0" w:beforeAutospacing="0" w:after="0" w:afterAutospacing="0" w:line="31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（二）建立土壤污染隐患排查制度，保证持续有效防止有毒有害物质渗漏、流失、扬散。</w:t>
            </w:r>
          </w:p>
        </w:tc>
      </w:tr>
      <w:tr>
        <w:trPr>
          <w:trHeight w:val="369" w:hRule="atLeast"/>
        </w:trPr>
        <w:tc>
          <w:tcPr>
            <w:tcW w:w="1368"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top"/>
          </w:tcPr>
          <w:p>
            <w:pPr>
              <w:shd w:val="clear" w:color="auto" w:fill="auto"/>
              <w:wordWrap/>
              <w:adjustRightInd/>
              <w:snapToGrid w:val="0"/>
              <w:spacing w:before="0" w:beforeAutospacing="0" w:after="0" w:afterAutospacing="0" w:line="310" w:lineRule="exact"/>
              <w:ind w:left="0" w:right="0" w:firstLine="420"/>
              <w:jc w:val="left"/>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《中华人民共和国土壤污染防治法》第八十六条第一款第（三）项、第二款</w:t>
            </w:r>
            <w:r>
              <w:rPr>
                <w:rFonts w:hint="default" w:ascii="Times New Roman" w:hAnsi="Times New Roman" w:cs="Times New Roman"/>
                <w:color w:val="auto"/>
                <w:sz w:val="20"/>
                <w:szCs w:val="20"/>
                <w:shd w:val="clear" w:color="auto" w:fill="auto"/>
              </w:rPr>
              <w:t xml:space="preserve"> 违反本法规定，有下列行为之一的，由地方人民政府生态环境主管部门或者其他负有土壤污染防治监督管理职责的部门责令改正，处以罚款；拒不改正的，责令停产整治：</w:t>
            </w:r>
          </w:p>
          <w:p>
            <w:pPr>
              <w:shd w:val="clear" w:color="auto" w:fill="auto"/>
              <w:wordWrap/>
              <w:adjustRightInd/>
              <w:snapToGrid w:val="0"/>
              <w:spacing w:before="0" w:beforeAutospacing="0" w:after="0" w:afterAutospacing="0" w:line="310" w:lineRule="exact"/>
              <w:ind w:left="0" w:right="0" w:firstLine="420"/>
              <w:jc w:val="left"/>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（三）土壤污染重点监管单位未按年度报告有毒有害物质排放情况，或者未建立土壤污染隐患排查制度的。</w:t>
            </w:r>
          </w:p>
          <w:p>
            <w:pPr>
              <w:shd w:val="clear" w:color="auto" w:fill="auto"/>
              <w:wordWrap/>
              <w:adjustRightInd/>
              <w:snapToGrid w:val="0"/>
              <w:spacing w:before="0" w:beforeAutospacing="0" w:after="0" w:afterAutospacing="0" w:line="310" w:lineRule="exact"/>
              <w:ind w:left="0" w:right="0" w:firstLine="420"/>
              <w:jc w:val="left"/>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有前款规定行为之一的，处二万元以上二十万元以下的罚款；有前款第二项、第四项、第五项、第七项规定行为之一，造成严重后果的，处二十万元以上二百万元以下的罚款。</w:t>
            </w:r>
          </w:p>
        </w:tc>
      </w:tr>
      <w:tr>
        <w:trPr>
          <w:trHeight w:val="369" w:hRule="atLeast"/>
        </w:trPr>
        <w:tc>
          <w:tcPr>
            <w:tcW w:w="1368"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trPr>
        <w:tc>
          <w:tcPr>
            <w:tcW w:w="1368" w:type="dxa"/>
            <w:vMerge w:val="restart"/>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5043"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未按年度规范报告有毒有害物质排放情况，或者未规范建立土壤污染隐患排查制度</w:t>
            </w:r>
          </w:p>
        </w:tc>
        <w:tc>
          <w:tcPr>
            <w:tcW w:w="2649"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pStyle w:val="18"/>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1"/>
                <w:szCs w:val="21"/>
                <w:shd w:val="clear" w:color="auto" w:fill="auto"/>
              </w:rPr>
            </w:pPr>
          </w:p>
        </w:tc>
        <w:tc>
          <w:tcPr>
            <w:tcW w:w="5043" w:type="dxa"/>
            <w:vAlign w:val="center"/>
          </w:tcPr>
          <w:p>
            <w:pPr>
              <w:pStyle w:val="18"/>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按年度报告有毒有害物质排放情况，但是有缺漏项或者建立土壤污染隐患排查制度，但不</w:t>
            </w:r>
            <w:r>
              <w:rPr>
                <w:rFonts w:hint="default" w:ascii="Times New Roman" w:hAnsi="Times New Roman" w:cs="Times New Roman"/>
                <w:color w:val="auto"/>
                <w:sz w:val="21"/>
                <w:szCs w:val="21"/>
                <w:shd w:val="clear" w:color="auto" w:fill="auto"/>
                <w:lang w:eastAsia="zh-CN"/>
              </w:rPr>
              <w:t>健全</w:t>
            </w:r>
            <w:r>
              <w:rPr>
                <w:rFonts w:hint="default" w:ascii="Times New Roman" w:hAnsi="Times New Roman" w:cs="Times New Roman"/>
                <w:color w:val="auto"/>
                <w:sz w:val="21"/>
                <w:szCs w:val="21"/>
                <w:shd w:val="clear" w:color="auto" w:fill="auto"/>
              </w:rPr>
              <w:t>的</w:t>
            </w:r>
          </w:p>
        </w:tc>
        <w:tc>
          <w:tcPr>
            <w:tcW w:w="2649"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2</w:t>
            </w:r>
          </w:p>
        </w:tc>
      </w:tr>
      <w:tr>
        <w:trPr>
          <w:trHeight w:val="369" w:hRule="atLeast"/>
        </w:trPr>
        <w:tc>
          <w:tcPr>
            <w:tcW w:w="1368" w:type="dxa"/>
            <w:vMerge w:val="continue"/>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pStyle w:val="19"/>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eastAsia="宋体" w:cs="Times New Roman"/>
                <w:color w:val="auto"/>
                <w:sz w:val="21"/>
                <w:szCs w:val="21"/>
                <w:shd w:val="clear" w:color="auto" w:fill="auto"/>
                <w:lang w:eastAsia="zh-CN"/>
              </w:rPr>
            </w:pPr>
            <w:r>
              <w:rPr>
                <w:rFonts w:hint="default" w:ascii="Times New Roman" w:hAnsi="Times New Roman" w:cs="Times New Roman"/>
                <w:color w:val="auto"/>
                <w:sz w:val="21"/>
                <w:szCs w:val="21"/>
                <w:shd w:val="clear" w:color="auto" w:fill="auto"/>
              </w:rPr>
              <w:t>未按年度报告有毒有害物质排放情况，或者未建立土壤污染隐患排查制度的</w:t>
            </w:r>
          </w:p>
        </w:tc>
        <w:tc>
          <w:tcPr>
            <w:tcW w:w="2649"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4</w:t>
            </w:r>
          </w:p>
        </w:tc>
      </w:tr>
      <w:tr>
        <w:trPr>
          <w:trHeight w:val="369" w:hRule="atLeast"/>
        </w:trPr>
        <w:tc>
          <w:tcPr>
            <w:tcW w:w="1368" w:type="dxa"/>
            <w:vMerge w:val="continue"/>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pStyle w:val="19"/>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lang w:eastAsia="zh-CN"/>
              </w:rPr>
              <w:t>年度报告有毒有害物质排放情况弄虚作假的</w:t>
            </w:r>
          </w:p>
        </w:tc>
        <w:tc>
          <w:tcPr>
            <w:tcW w:w="2649"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68" w:type="dxa"/>
            <w:vMerge w:val="restart"/>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违法行为</w:t>
            </w:r>
          </w:p>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持续时间</w:t>
            </w:r>
          </w:p>
        </w:tc>
        <w:tc>
          <w:tcPr>
            <w:tcW w:w="5043"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1年以上2年</w:t>
            </w:r>
            <w:r>
              <w:rPr>
                <w:rFonts w:hint="default" w:ascii="Times New Roman" w:hAnsi="Times New Roman" w:cs="Times New Roman"/>
                <w:color w:val="auto"/>
                <w:sz w:val="21"/>
                <w:szCs w:val="21"/>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649"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2年以上3年</w:t>
            </w:r>
            <w:r>
              <w:rPr>
                <w:rFonts w:hint="default" w:ascii="Times New Roman" w:hAnsi="Times New Roman" w:cs="Times New Roman"/>
                <w:color w:val="auto"/>
                <w:sz w:val="21"/>
                <w:szCs w:val="21"/>
                <w:shd w:val="clear" w:color="auto" w:fill="auto"/>
                <w:lang w:eastAsia="zh-CN"/>
              </w:rPr>
              <w:t>以下</w:t>
            </w:r>
            <w:r>
              <w:rPr>
                <w:rFonts w:hint="default" w:ascii="Times New Roman" w:hAnsi="Times New Roman" w:cs="Times New Roman"/>
                <w:color w:val="auto"/>
                <w:sz w:val="21"/>
                <w:szCs w:val="21"/>
                <w:shd w:val="clear" w:color="auto" w:fill="auto"/>
              </w:rPr>
              <w:t>的</w:t>
            </w:r>
          </w:p>
        </w:tc>
        <w:tc>
          <w:tcPr>
            <w:tcW w:w="2649"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69" w:hRule="atLeast"/>
        </w:trPr>
        <w:tc>
          <w:tcPr>
            <w:tcW w:w="1368" w:type="dxa"/>
            <w:vMerge w:val="continue"/>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3年以上的</w:t>
            </w:r>
          </w:p>
        </w:tc>
        <w:tc>
          <w:tcPr>
            <w:tcW w:w="2649"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69" w:hRule="atLeast"/>
        </w:trPr>
        <w:tc>
          <w:tcPr>
            <w:tcW w:w="1368" w:type="dxa"/>
            <w:vMerge w:val="restart"/>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土壤环境</w:t>
            </w:r>
          </w:p>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rPr>
              <w:t>敏感度</w:t>
            </w:r>
          </w:p>
        </w:tc>
        <w:tc>
          <w:tcPr>
            <w:tcW w:w="5043" w:type="dxa"/>
            <w:vAlign w:val="center"/>
          </w:tcPr>
          <w:p>
            <w:pPr>
              <w:pStyle w:val="18"/>
              <w:shd w:val="clear" w:color="auto" w:fill="auto"/>
              <w:wordWrap/>
              <w:adjustRightInd/>
              <w:spacing w:before="0" w:beforeAutospacing="0" w:after="0" w:afterAutospacing="0" w:line="31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第二类建设用地</w:t>
            </w:r>
          </w:p>
        </w:tc>
        <w:tc>
          <w:tcPr>
            <w:tcW w:w="2649"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wordWrap/>
              <w:adjustRightInd/>
              <w:snapToGrid w:val="0"/>
              <w:spacing w:before="0" w:beforeAutospacing="0" w:after="0" w:afterAutospacing="0" w:line="310" w:lineRule="exact"/>
              <w:ind w:left="0" w:right="0" w:firstLine="422" w:firstLineChars="0"/>
              <w:jc w:val="center"/>
              <w:textAlignment w:val="auto"/>
              <w:rPr>
                <w:rFonts w:hint="default" w:ascii="Times New Roman" w:hAnsi="Times New Roman" w:cs="Times New Roman"/>
                <w:b/>
                <w:bCs/>
                <w:color w:val="auto"/>
                <w:sz w:val="20"/>
                <w:szCs w:val="20"/>
                <w:shd w:val="clear" w:color="auto" w:fill="auto"/>
                <w:lang w:eastAsia="zh-CN"/>
              </w:rPr>
            </w:pPr>
          </w:p>
        </w:tc>
        <w:tc>
          <w:tcPr>
            <w:tcW w:w="5043" w:type="dxa"/>
            <w:vAlign w:val="center"/>
          </w:tcPr>
          <w:p>
            <w:pPr>
              <w:pStyle w:val="18"/>
              <w:shd w:val="clear" w:color="auto" w:fill="auto"/>
              <w:wordWrap/>
              <w:adjustRightInd/>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第一类建设用地</w:t>
            </w:r>
          </w:p>
        </w:tc>
        <w:tc>
          <w:tcPr>
            <w:tcW w:w="2649"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trPr>
        <w:tc>
          <w:tcPr>
            <w:tcW w:w="1368" w:type="dxa"/>
            <w:vMerge w:val="continue"/>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043" w:type="dxa"/>
            <w:vAlign w:val="center"/>
          </w:tcPr>
          <w:p>
            <w:pPr>
              <w:pStyle w:val="18"/>
              <w:shd w:val="clear" w:color="auto" w:fill="auto"/>
              <w:wordWrap/>
              <w:adjustRightInd/>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严格管控类农用地</w:t>
            </w:r>
          </w:p>
        </w:tc>
        <w:tc>
          <w:tcPr>
            <w:tcW w:w="2649"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68" w:type="dxa"/>
            <w:vMerge w:val="continue"/>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043"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安全利用类农用地</w:t>
            </w:r>
          </w:p>
        </w:tc>
        <w:tc>
          <w:tcPr>
            <w:tcW w:w="2649"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4</w:t>
            </w:r>
          </w:p>
        </w:tc>
      </w:tr>
      <w:tr>
        <w:trPr>
          <w:trHeight w:val="369" w:hRule="atLeast"/>
        </w:trPr>
        <w:tc>
          <w:tcPr>
            <w:tcW w:w="1368" w:type="dxa"/>
            <w:vMerge w:val="continue"/>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043"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优先保护类农用地</w:t>
            </w:r>
          </w:p>
        </w:tc>
        <w:tc>
          <w:tcPr>
            <w:tcW w:w="2649"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69" w:hRule="atLeast"/>
        </w:trPr>
        <w:tc>
          <w:tcPr>
            <w:tcW w:w="1368" w:type="dxa"/>
            <w:vMerge w:val="restart"/>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val="en-US"/>
              </w:rPr>
              <w:t>改正时间</w:t>
            </w:r>
          </w:p>
        </w:tc>
        <w:tc>
          <w:tcPr>
            <w:tcW w:w="5043" w:type="dxa"/>
            <w:vAlign w:val="center"/>
          </w:tcPr>
          <w:p>
            <w:pPr>
              <w:widowControl w:val="0"/>
              <w:shd w:val="clear" w:color="auto" w:fill="auto"/>
              <w:wordWrap/>
              <w:adjustRightInd/>
              <w:snapToGrid w:val="0"/>
              <w:spacing w:before="0" w:beforeAutospacing="0" w:after="0" w:afterAutospacing="0" w:line="31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kern w:val="2"/>
                <w:sz w:val="21"/>
                <w:szCs w:val="21"/>
                <w:shd w:val="clear" w:color="auto" w:fill="auto"/>
                <w:lang w:eastAsia="zh-CN"/>
              </w:rPr>
              <w:t>限期改正</w:t>
            </w:r>
          </w:p>
        </w:tc>
        <w:tc>
          <w:tcPr>
            <w:tcW w:w="2649"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69" w:hRule="atLeast"/>
        </w:trPr>
        <w:tc>
          <w:tcPr>
            <w:tcW w:w="1368" w:type="dxa"/>
            <w:vMerge w:val="continue"/>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043"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9"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69" w:hRule="atLeast"/>
        </w:trPr>
        <w:tc>
          <w:tcPr>
            <w:tcW w:w="1368" w:type="dxa"/>
            <w:vMerge w:val="continue"/>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043"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649"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69" w:hRule="atLeast"/>
        </w:trPr>
        <w:tc>
          <w:tcPr>
            <w:tcW w:w="1368" w:type="dxa"/>
            <w:vMerge w:val="continue"/>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043" w:type="dxa"/>
            <w:vAlign w:val="center"/>
          </w:tcPr>
          <w:p>
            <w:pPr>
              <w:pStyle w:val="19"/>
              <w:widowControl/>
              <w:wordWrap/>
              <w:adjustRightInd/>
              <w:snapToGrid w:val="0"/>
              <w:spacing w:line="31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kern w:val="2"/>
                <w:sz w:val="21"/>
                <w:szCs w:val="21"/>
                <w:shd w:val="clear" w:color="auto" w:fill="auto"/>
                <w:lang w:val="en-US" w:eastAsia="zh-CN"/>
              </w:rPr>
              <w:t>7天以上</w:t>
            </w:r>
          </w:p>
        </w:tc>
        <w:tc>
          <w:tcPr>
            <w:tcW w:w="2649" w:type="dxa"/>
            <w:vAlign w:val="center"/>
          </w:tcPr>
          <w:p>
            <w:pPr>
              <w:widowControl/>
              <w:shd w:val="clear" w:color="auto" w:fill="auto"/>
              <w:wordWrap/>
              <w:adjustRightInd/>
              <w:snapToGrid w:val="0"/>
              <w:spacing w:before="0" w:beforeAutospacing="0" w:after="0" w:afterAutospacing="0" w:line="31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企业占地</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面积</w:t>
            </w: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以上5000m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9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5000m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以上10000m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9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10000m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以上20000m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9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043"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69"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649"/>
      </w:tblGrid>
      <w:tr>
        <w:trPr>
          <w:trHeight w:val="284" w:hRule="atLeast"/>
        </w:trPr>
        <w:tc>
          <w:tcPr>
            <w:tcW w:w="9060" w:type="dxa"/>
            <w:gridSpan w:val="3"/>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（五）土壤污染防治类</w:t>
            </w:r>
          </w:p>
        </w:tc>
      </w:tr>
      <w:tr>
        <w:trPr>
          <w:trHeight w:val="284" w:hRule="atLeast"/>
        </w:trPr>
        <w:tc>
          <w:tcPr>
            <w:tcW w:w="1368"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284" w:hRule="atLeast"/>
        </w:trPr>
        <w:tc>
          <w:tcPr>
            <w:tcW w:w="1368"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top"/>
          </w:tcPr>
          <w:p>
            <w:pPr>
              <w:shd w:val="clear" w:color="auto" w:fill="auto"/>
              <w:snapToGrid/>
              <w:spacing w:before="0" w:beforeAutospacing="0" w:after="0" w:afterAutospacing="0" w:line="320" w:lineRule="exact"/>
              <w:ind w:left="0" w:right="0" w:firstLine="420"/>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拆除设施、设备或者建筑物、构筑物，企业事业单位未采取相应的土壤污染防治措施或者土壤污染重点监管单位未制定、实施土壤污染防治工作方案的</w:t>
            </w:r>
          </w:p>
        </w:tc>
      </w:tr>
      <w:tr>
        <w:trPr>
          <w:trHeight w:val="284" w:hRule="atLeast"/>
        </w:trPr>
        <w:tc>
          <w:tcPr>
            <w:tcW w:w="1368"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top"/>
          </w:tcPr>
          <w:p>
            <w:pPr>
              <w:pStyle w:val="19"/>
              <w:shd w:val="clear" w:color="auto" w:fill="auto"/>
              <w:snapToGrid/>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《中华人民共和国土壤污染防治法》第二十二条</w:t>
            </w:r>
            <w:r>
              <w:rPr>
                <w:rFonts w:hint="default" w:ascii="Times New Roman" w:hAnsi="Times New Roman" w:cs="Times New Roman"/>
                <w:color w:val="auto"/>
                <w:sz w:val="21"/>
                <w:szCs w:val="21"/>
                <w:shd w:val="clear" w:color="auto" w:fill="auto"/>
              </w:rPr>
              <w:t xml:space="preserve"> 企业事业单位拆除设施、设备或者建筑物、构筑物的，应当采取相应的土壤污染防治措施。</w:t>
            </w:r>
          </w:p>
          <w:p>
            <w:pPr>
              <w:pStyle w:val="19"/>
              <w:shd w:val="clear" w:color="auto" w:fill="auto"/>
              <w:snapToGrid/>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土壤污染重点监管单位拆除设施、设备或者建筑物、构筑物的，应当制定包括应急措施在内的土壤污染防治工作方案，报地方人民政府生态环境、工业和信息化主管部门备案并实施。</w:t>
            </w:r>
          </w:p>
        </w:tc>
      </w:tr>
      <w:tr>
        <w:trPr>
          <w:trHeight w:val="284" w:hRule="atLeast"/>
        </w:trPr>
        <w:tc>
          <w:tcPr>
            <w:tcW w:w="1368"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top"/>
          </w:tcPr>
          <w:p>
            <w:pPr>
              <w:shd w:val="clear" w:color="auto" w:fill="auto"/>
              <w:snapToGrid/>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《中华人民共和国土壤污染防治法》第八十六条第一款第（四）项、第二款</w:t>
            </w:r>
            <w:r>
              <w:rPr>
                <w:rFonts w:hint="default" w:ascii="Times New Roman" w:hAnsi="Times New Roman" w:cs="Times New Roman"/>
                <w:color w:val="auto"/>
                <w:sz w:val="20"/>
                <w:szCs w:val="20"/>
                <w:shd w:val="clear" w:color="auto" w:fill="auto"/>
              </w:rPr>
              <w:t xml:space="preserve"> 违反本法规定，有下列行为之一的，由地方人民政府生态环境主管部门或者其他负有土壤污染防治监督管理职责的部门责令改正，处以罚款；拒不改正的，责令停产整治：</w:t>
            </w:r>
          </w:p>
          <w:p>
            <w:pPr>
              <w:shd w:val="clear" w:color="auto" w:fill="auto"/>
              <w:snapToGrid/>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 xml:space="preserve">（四）拆除设施、设备或者建筑物、构筑物，企业事业单位未采取相应的土壤污染防治措施或者土壤污染重点监管单位未制定、实施土壤污染防治工作方案的。 </w:t>
            </w:r>
          </w:p>
          <w:p>
            <w:pPr>
              <w:shd w:val="clear" w:color="auto" w:fill="auto"/>
              <w:snapToGrid/>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有前款规定行为之一的，处二万元以上二十万元以下的罚款；有前款第二项、第四项、第五项、第七项规定行为之一，造成严重后果的，处二十万元以上二百万元以下的罚款。</w:t>
            </w:r>
          </w:p>
        </w:tc>
      </w:tr>
      <w:tr>
        <w:trPr>
          <w:trHeight w:val="454" w:hRule="atLeast"/>
        </w:trPr>
        <w:tc>
          <w:tcPr>
            <w:tcW w:w="1368"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54" w:hRule="atLeast"/>
        </w:trPr>
        <w:tc>
          <w:tcPr>
            <w:tcW w:w="1368" w:type="dxa"/>
            <w:vMerge w:val="restart"/>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color w:val="auto"/>
                <w:sz w:val="20"/>
                <w:szCs w:val="20"/>
                <w:shd w:val="clear" w:color="auto" w:fill="auto"/>
              </w:rPr>
              <w:t>违法事实</w:t>
            </w:r>
          </w:p>
        </w:tc>
        <w:tc>
          <w:tcPr>
            <w:tcW w:w="5043" w:type="dxa"/>
            <w:vAlign w:val="top"/>
          </w:tcPr>
          <w:p>
            <w:pPr>
              <w:pStyle w:val="18"/>
              <w:shd w:val="clear" w:color="auto" w:fill="auto"/>
              <w:spacing w:before="0" w:beforeAutospacing="0" w:after="0" w:afterAutospacing="0" w:line="320" w:lineRule="exact"/>
              <w:ind w:left="0" w:right="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土壤污染重点监管单位拆除工作已开始，未制定土壤污染防治工作方案，但是采取了相应的土壤污染防治措施的</w:t>
            </w:r>
          </w:p>
        </w:tc>
        <w:tc>
          <w:tcPr>
            <w:tcW w:w="2649"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54" w:hRule="atLeast"/>
        </w:trPr>
        <w:tc>
          <w:tcPr>
            <w:tcW w:w="1368" w:type="dxa"/>
            <w:vMerge w:val="continue"/>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43" w:type="dxa"/>
            <w:vAlign w:val="top"/>
          </w:tcPr>
          <w:p>
            <w:pPr>
              <w:pStyle w:val="18"/>
              <w:shd w:val="clear" w:color="auto" w:fill="auto"/>
              <w:spacing w:before="0" w:beforeAutospacing="0" w:after="0" w:afterAutospacing="0" w:line="320" w:lineRule="exact"/>
              <w:ind w:left="0" w:right="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企业事业单位拆除设施、设备或者建筑物、构筑物，未采取相应的土壤污染防治措施或土壤污染重点监管单位设施、设备或者建筑物、构筑物拆除工作尚未完成，未按照工作方案规定规范采取相应的土壤污染防治措施的</w:t>
            </w:r>
          </w:p>
        </w:tc>
        <w:tc>
          <w:tcPr>
            <w:tcW w:w="2649"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54" w:hRule="atLeast"/>
        </w:trPr>
        <w:tc>
          <w:tcPr>
            <w:tcW w:w="1368" w:type="dxa"/>
            <w:vMerge w:val="continue"/>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43" w:type="dxa"/>
            <w:vAlign w:val="top"/>
          </w:tcPr>
          <w:p>
            <w:pPr>
              <w:pStyle w:val="18"/>
              <w:shd w:val="clear" w:color="auto" w:fill="auto"/>
              <w:spacing w:before="0" w:beforeAutospacing="0" w:after="0" w:afterAutospacing="0" w:line="320" w:lineRule="exact"/>
              <w:ind w:left="0" w:right="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土壤污染重点监管单位设施、设备或者建筑物、构筑物拆除工作尚未完成，未采取相应的土壤污染防治措施的</w:t>
            </w:r>
          </w:p>
        </w:tc>
        <w:tc>
          <w:tcPr>
            <w:tcW w:w="2649"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54" w:hRule="atLeast"/>
        </w:trPr>
        <w:tc>
          <w:tcPr>
            <w:tcW w:w="1368" w:type="dxa"/>
            <w:vMerge w:val="continue"/>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43" w:type="dxa"/>
            <w:vAlign w:val="top"/>
          </w:tcPr>
          <w:p>
            <w:pPr>
              <w:pStyle w:val="18"/>
              <w:shd w:val="clear" w:color="auto" w:fill="auto"/>
              <w:spacing w:before="0" w:beforeAutospacing="0" w:after="0" w:afterAutospacing="0" w:line="320" w:lineRule="exact"/>
              <w:ind w:left="0" w:right="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土壤污染重点监管单位拆除工作已完成，未按照工作方案规定规范采取相应的土壤污染防治措施的</w:t>
            </w:r>
          </w:p>
        </w:tc>
        <w:tc>
          <w:tcPr>
            <w:tcW w:w="2649"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54" w:hRule="atLeast"/>
        </w:trPr>
        <w:tc>
          <w:tcPr>
            <w:tcW w:w="1368" w:type="dxa"/>
            <w:vMerge w:val="continue"/>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43" w:type="dxa"/>
            <w:vAlign w:val="top"/>
          </w:tcPr>
          <w:p>
            <w:pPr>
              <w:shd w:val="clear" w:color="auto" w:fill="auto"/>
              <w:snapToGrid/>
              <w:spacing w:before="0" w:beforeAutospacing="0" w:after="0" w:afterAutospacing="0" w:line="320" w:lineRule="exact"/>
              <w:ind w:left="0" w:right="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土壤污染重点监管单位拆除工作已完成，未采取相应的土壤污染防治措施的</w:t>
            </w:r>
          </w:p>
        </w:tc>
        <w:tc>
          <w:tcPr>
            <w:tcW w:w="2649"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54" w:hRule="atLeast"/>
        </w:trPr>
        <w:tc>
          <w:tcPr>
            <w:tcW w:w="1368" w:type="dxa"/>
            <w:vMerge w:val="restart"/>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土壤环境</w:t>
            </w:r>
          </w:p>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敏感度</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第二类建设用地</w:t>
            </w:r>
          </w:p>
        </w:tc>
        <w:tc>
          <w:tcPr>
            <w:tcW w:w="2649"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54" w:hRule="atLeast"/>
        </w:trPr>
        <w:tc>
          <w:tcPr>
            <w:tcW w:w="1368" w:type="dxa"/>
            <w:vMerge w:val="continue"/>
            <w:vAlign w:val="center"/>
          </w:tcPr>
          <w:p>
            <w:pPr>
              <w:shd w:val="clear" w:color="auto" w:fill="auto"/>
              <w:snapToGrid/>
              <w:spacing w:before="0" w:beforeAutospacing="0" w:after="0" w:afterAutospacing="0" w:line="320" w:lineRule="exact"/>
              <w:ind w:left="0" w:right="0" w:firstLine="422" w:firstLineChars="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第一类建设用地</w:t>
            </w:r>
          </w:p>
        </w:tc>
        <w:tc>
          <w:tcPr>
            <w:tcW w:w="2649"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54" w:hRule="atLeast"/>
        </w:trPr>
        <w:tc>
          <w:tcPr>
            <w:tcW w:w="1368" w:type="dxa"/>
            <w:vMerge w:val="continue"/>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严格管控类农用地</w:t>
            </w:r>
          </w:p>
        </w:tc>
        <w:tc>
          <w:tcPr>
            <w:tcW w:w="2649"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54" w:hRule="atLeast"/>
        </w:trPr>
        <w:tc>
          <w:tcPr>
            <w:tcW w:w="1368" w:type="dxa"/>
            <w:vMerge w:val="continue"/>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安全利用类农用地</w:t>
            </w:r>
          </w:p>
        </w:tc>
        <w:tc>
          <w:tcPr>
            <w:tcW w:w="2649"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54" w:hRule="atLeast"/>
        </w:trPr>
        <w:tc>
          <w:tcPr>
            <w:tcW w:w="1368" w:type="dxa"/>
            <w:vMerge w:val="continue"/>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优先保护类农用地</w:t>
            </w:r>
          </w:p>
        </w:tc>
        <w:tc>
          <w:tcPr>
            <w:tcW w:w="2649"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val="en-US"/>
              </w:rPr>
              <w:t>改正时间</w:t>
            </w:r>
          </w:p>
        </w:tc>
        <w:tc>
          <w:tcPr>
            <w:tcW w:w="504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kern w:val="2"/>
                <w:sz w:val="21"/>
                <w:szCs w:val="21"/>
                <w:shd w:val="clear" w:color="auto" w:fill="auto"/>
                <w:lang w:eastAsia="zh-CN"/>
              </w:rPr>
              <w:t>限期改正</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7天以上</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97" w:hRule="atLeast"/>
        </w:trPr>
        <w:tc>
          <w:tcPr>
            <w:tcW w:w="1368" w:type="dxa"/>
            <w:vMerge w:val="restart"/>
            <w:vAlign w:val="center"/>
          </w:tcPr>
          <w:p>
            <w:pPr>
              <w:shd w:val="clear" w:color="auto" w:fill="auto"/>
              <w:snapToGrid/>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043"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368" w:type="dxa"/>
            <w:vMerge w:val="continue"/>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spacing w:before="0" w:beforeAutospacing="0" w:after="0" w:afterAutospacing="0" w:line="320" w:lineRule="exact"/>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9"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restart"/>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已造成土壤环境污染</w:t>
            </w:r>
          </w:p>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面积</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500m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以上1000m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以下</w:t>
            </w:r>
          </w:p>
        </w:tc>
        <w:tc>
          <w:tcPr>
            <w:tcW w:w="2649"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1000m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以上</w:t>
            </w:r>
          </w:p>
        </w:tc>
        <w:tc>
          <w:tcPr>
            <w:tcW w:w="2649"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043" w:type="dxa"/>
            <w:vAlign w:val="center"/>
          </w:tcPr>
          <w:p>
            <w:pPr>
              <w:shd w:val="clear" w:color="auto" w:fill="auto"/>
              <w:snapToGrid/>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9"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9"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widowControl/>
        <w:shd w:val="clear" w:color="auto" w:fill="auto"/>
        <w:snapToGrid w:val="0"/>
        <w:spacing w:line="20" w:lineRule="exact"/>
        <w:jc w:val="left"/>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649"/>
      </w:tblGrid>
      <w:tr>
        <w:trPr>
          <w:trHeight w:val="397" w:hRule="atLeast"/>
        </w:trPr>
        <w:tc>
          <w:tcPr>
            <w:tcW w:w="9060" w:type="dxa"/>
            <w:gridSpan w:val="3"/>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（五）土壤污染防治类</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57" w:name="_Toc31544"/>
            <w:r>
              <w:rPr>
                <w:rFonts w:hint="default" w:ascii="Times New Roman" w:hAnsi="Times New Roman" w:cs="Times New Roman"/>
                <w:color w:val="auto"/>
                <w:sz w:val="20"/>
                <w:szCs w:val="20"/>
                <w:shd w:val="clear" w:color="auto" w:fill="auto"/>
              </w:rPr>
              <w:t>5</w:t>
            </w:r>
            <w:bookmarkEnd w:id="257"/>
          </w:p>
        </w:tc>
      </w:tr>
      <w:tr>
        <w:trPr>
          <w:trHeight w:val="9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58" w:name="_Toc19124"/>
            <w:r>
              <w:rPr>
                <w:rFonts w:hint="default" w:ascii="Times New Roman" w:hAnsi="Times New Roman" w:cs="Times New Roman"/>
                <w:color w:val="auto"/>
                <w:sz w:val="20"/>
                <w:szCs w:val="20"/>
                <w:shd w:val="clear" w:color="auto" w:fill="auto"/>
              </w:rPr>
              <w:t>尾矿库运营、管理单位未按照规定进行土壤污染状况监测的</w:t>
            </w:r>
            <w:bookmarkEnd w:id="258"/>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top"/>
          </w:tcPr>
          <w:p>
            <w:pPr>
              <w:pStyle w:val="19"/>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《中华人民共和国土壤污染防治法》第二十三条第二款</w:t>
            </w:r>
            <w:r>
              <w:rPr>
                <w:rFonts w:hint="default" w:ascii="Times New Roman" w:hAnsi="Times New Roman" w:cs="Times New Roman"/>
                <w:color w:val="auto"/>
                <w:sz w:val="21"/>
                <w:szCs w:val="21"/>
                <w:shd w:val="clear" w:color="auto" w:fill="auto"/>
              </w:rPr>
              <w:t xml:space="preserve"> 尾矿库运营、管理单位应当按照规定，加强尾矿库的安全管理，采取措施防止土壤污染。危库、险库、病库以及其他需要重点监管的尾矿库的运营、管理单位应当按照规定，进行土壤污染状况监测和定期评估。</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top"/>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《中华人民共和国土壤污染防治法》第八十六条第一款第（六）项、第二款</w:t>
            </w:r>
            <w:r>
              <w:rPr>
                <w:rFonts w:hint="default" w:ascii="Times New Roman" w:hAnsi="Times New Roman" w:cs="Times New Roman"/>
                <w:color w:val="auto"/>
                <w:sz w:val="21"/>
                <w:szCs w:val="21"/>
                <w:shd w:val="clear" w:color="auto" w:fill="auto"/>
              </w:rPr>
              <w:t xml:space="preserve"> 违反本法规定，有下列行为之一的，由地方人民政府生态环境主管部门或者其他负有土壤污染防治监督管理职责的部门责令改正，处以罚款；拒不改正的，责令停产整治：</w:t>
            </w:r>
          </w:p>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（六）尾矿库运营、管理单位未按照规定进行土壤污染状况监测的。</w:t>
            </w:r>
          </w:p>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有前款规定行为之一的，处二万元以上二十万元以下的罚款；有前款第二项、第四项、第五项、第七项规定行为之一，造成严重后果的，处二十万元以上二百万元以下的罚款。</w:t>
            </w:r>
          </w:p>
        </w:tc>
      </w:tr>
      <w:tr>
        <w:trPr>
          <w:trHeight w:val="425"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对土壤污染状况进行了监测，但不规范的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未定期对土壤进行监测或者遗漏重要监测数据的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eastAsia="宋体" w:cs="Times New Roman"/>
                <w:color w:val="auto"/>
                <w:sz w:val="21"/>
                <w:szCs w:val="21"/>
                <w:shd w:val="clear" w:color="auto" w:fill="auto"/>
                <w:lang w:eastAsia="zh-CN"/>
              </w:rPr>
            </w:pPr>
            <w:r>
              <w:rPr>
                <w:rFonts w:hint="default" w:ascii="Times New Roman" w:hAnsi="Times New Roman" w:cs="Times New Roman"/>
                <w:color w:val="auto"/>
                <w:sz w:val="21"/>
                <w:szCs w:val="21"/>
                <w:shd w:val="clear" w:color="auto" w:fill="auto"/>
              </w:rPr>
              <w:t>未对土壤进行监测的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lang w:eastAsia="zh-CN"/>
              </w:rPr>
              <w:t>监测数据弄虚作假的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widowControl/>
              <w:shd w:val="clear" w:color="auto" w:fill="auto"/>
              <w:spacing w:before="0" w:beforeAutospacing="0" w:after="0" w:afterAutospacing="0" w:line="320" w:lineRule="exact"/>
              <w:ind w:left="0" w:right="0"/>
              <w:jc w:val="center"/>
              <w:textAlignment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25" w:hRule="atLeast"/>
        </w:trPr>
        <w:tc>
          <w:tcPr>
            <w:tcW w:w="1368" w:type="dxa"/>
            <w:vMerge w:val="continue"/>
            <w:vAlign w:val="center"/>
          </w:tcPr>
          <w:p>
            <w:pPr>
              <w:widowControl/>
              <w:shd w:val="clear" w:color="auto" w:fill="auto"/>
              <w:spacing w:before="0" w:beforeAutospacing="0" w:after="0" w:afterAutospacing="0" w:line="320" w:lineRule="exact"/>
              <w:ind w:left="0" w:right="0"/>
              <w:jc w:val="center"/>
              <w:textAlignment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25" w:hRule="atLeast"/>
        </w:trPr>
        <w:tc>
          <w:tcPr>
            <w:tcW w:w="1368" w:type="dxa"/>
            <w:vMerge w:val="continue"/>
            <w:vAlign w:val="center"/>
          </w:tcPr>
          <w:p>
            <w:pPr>
              <w:widowControl/>
              <w:shd w:val="clear" w:color="auto" w:fill="auto"/>
              <w:spacing w:before="0" w:beforeAutospacing="0" w:after="0" w:afterAutospacing="0" w:line="320" w:lineRule="exact"/>
              <w:ind w:left="0" w:right="0"/>
              <w:jc w:val="center"/>
              <w:textAlignment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土壤环境</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敏感度</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1"/>
                <w:szCs w:val="21"/>
                <w:shd w:val="clear" w:color="auto" w:fill="auto"/>
              </w:rPr>
              <w:t>第二类建设用地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2" w:firstLineChars="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1"/>
                <w:szCs w:val="21"/>
                <w:shd w:val="clear" w:color="auto" w:fill="auto"/>
              </w:rPr>
              <w:t>第一类建设用地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1"/>
                <w:szCs w:val="21"/>
                <w:shd w:val="clear" w:color="auto" w:fill="auto"/>
              </w:rPr>
              <w:t>严格管控类农用地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安全利用类农用地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优先保护类农用地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Merge w:val="restart"/>
            <w:vAlign w:val="center"/>
          </w:tcPr>
          <w:p>
            <w:pPr>
              <w:widowControl/>
              <w:shd w:val="clear" w:color="auto" w:fill="auto"/>
              <w:spacing w:before="0" w:beforeAutospacing="0" w:after="0" w:afterAutospacing="0" w:line="320" w:lineRule="exact"/>
              <w:ind w:left="0" w:right="0"/>
              <w:jc w:val="center"/>
              <w:textAlignment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sz w:val="20"/>
                <w:szCs w:val="20"/>
                <w:shd w:val="clear" w:color="auto" w:fill="auto"/>
              </w:rPr>
              <w:t>尾矿库类型</w:t>
            </w:r>
          </w:p>
        </w:tc>
        <w:tc>
          <w:tcPr>
            <w:tcW w:w="5043" w:type="dxa"/>
            <w:vAlign w:val="center"/>
          </w:tcPr>
          <w:p>
            <w:pPr>
              <w:widowControl/>
              <w:shd w:val="clear" w:color="auto" w:fill="auto"/>
              <w:spacing w:before="0" w:beforeAutospacing="0" w:after="0" w:afterAutospacing="0" w:line="320" w:lineRule="exact"/>
              <w:ind w:left="0" w:right="0"/>
              <w:jc w:val="center"/>
              <w:textAlignment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正常库</w:t>
            </w:r>
          </w:p>
        </w:tc>
        <w:tc>
          <w:tcPr>
            <w:tcW w:w="2649" w:type="dxa"/>
            <w:vAlign w:val="center"/>
          </w:tcPr>
          <w:p>
            <w:pPr>
              <w:widowControl/>
              <w:shd w:val="clear" w:color="auto" w:fill="auto"/>
              <w:spacing w:before="0" w:beforeAutospacing="0" w:after="0" w:afterAutospacing="0" w:line="320" w:lineRule="exact"/>
              <w:ind w:left="0" w:right="0"/>
              <w:jc w:val="center"/>
              <w:textAlignment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病库</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2</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险库/居民集中区相关联的尾矿库</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与二级管控区相关联的尾矿库</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4</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危库/与一级管控区相关联的尾矿库</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尾矿库规模</w:t>
            </w:r>
          </w:p>
        </w:tc>
        <w:tc>
          <w:tcPr>
            <w:tcW w:w="5043" w:type="dxa"/>
            <w:vAlign w:val="center"/>
          </w:tcPr>
          <w:p>
            <w:pPr>
              <w:widowControl/>
              <w:shd w:val="clear" w:color="auto" w:fill="auto"/>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全库容V小于100万m</w:t>
            </w:r>
            <w:r>
              <w:rPr>
                <w:rFonts w:hint="default" w:ascii="Times New Roman" w:hAnsi="Times New Roman" w:cs="Times New Roman"/>
                <w:color w:val="auto"/>
                <w:kern w:val="0"/>
                <w:sz w:val="20"/>
                <w:szCs w:val="20"/>
                <w:shd w:val="clear" w:color="auto" w:fill="auto"/>
                <w:vertAlign w:val="superscript"/>
              </w:rPr>
              <w:t>3</w:t>
            </w:r>
            <w:r>
              <w:rPr>
                <w:rFonts w:hint="default" w:ascii="Times New Roman" w:hAnsi="Times New Roman" w:cs="Times New Roman"/>
                <w:color w:val="auto"/>
                <w:kern w:val="0"/>
                <w:sz w:val="20"/>
                <w:szCs w:val="20"/>
                <w:shd w:val="clear" w:color="auto" w:fill="auto"/>
              </w:rPr>
              <w:t>，坝高H小于30m</w:t>
            </w:r>
          </w:p>
        </w:tc>
        <w:tc>
          <w:tcPr>
            <w:tcW w:w="2649" w:type="dxa"/>
            <w:vAlign w:val="center"/>
          </w:tcPr>
          <w:p>
            <w:pPr>
              <w:widowControl/>
              <w:shd w:val="clear" w:color="auto" w:fill="auto"/>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shd w:val="clear" w:color="auto" w:fill="auto"/>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lang w:eastAsia="zh-CN"/>
              </w:rPr>
            </w:pPr>
            <w:r>
              <w:rPr>
                <w:rFonts w:hint="default" w:ascii="Times New Roman" w:hAnsi="Times New Roman" w:cs="Times New Roman"/>
                <w:color w:val="auto"/>
                <w:kern w:val="0"/>
                <w:sz w:val="20"/>
                <w:szCs w:val="20"/>
                <w:shd w:val="clear" w:color="auto" w:fill="auto"/>
              </w:rPr>
              <w:t>全库容V100万m</w:t>
            </w:r>
            <w:r>
              <w:rPr>
                <w:rFonts w:hint="default" w:ascii="Times New Roman" w:hAnsi="Times New Roman" w:cs="Times New Roman"/>
                <w:color w:val="auto"/>
                <w:kern w:val="0"/>
                <w:sz w:val="20"/>
                <w:szCs w:val="20"/>
                <w:shd w:val="clear" w:color="auto" w:fill="auto"/>
                <w:vertAlign w:val="superscript"/>
              </w:rPr>
              <w:t>3</w:t>
            </w:r>
            <w:r>
              <w:rPr>
                <w:rFonts w:hint="default" w:ascii="Times New Roman" w:hAnsi="Times New Roman" w:cs="Times New Roman"/>
                <w:color w:val="auto"/>
                <w:kern w:val="0"/>
                <w:sz w:val="20"/>
                <w:szCs w:val="20"/>
                <w:shd w:val="clear" w:color="auto" w:fill="auto"/>
                <w:lang w:eastAsia="zh-CN"/>
              </w:rPr>
              <w:t>以上</w:t>
            </w:r>
            <w:r>
              <w:rPr>
                <w:rFonts w:hint="default" w:ascii="Times New Roman" w:hAnsi="Times New Roman" w:cs="Times New Roman"/>
                <w:color w:val="auto"/>
                <w:kern w:val="0"/>
                <w:sz w:val="20"/>
                <w:szCs w:val="20"/>
                <w:shd w:val="clear" w:color="auto" w:fill="auto"/>
              </w:rPr>
              <w:t>1000万m</w:t>
            </w:r>
            <w:r>
              <w:rPr>
                <w:rFonts w:hint="default" w:ascii="Times New Roman" w:hAnsi="Times New Roman" w:cs="Times New Roman"/>
                <w:color w:val="auto"/>
                <w:kern w:val="0"/>
                <w:sz w:val="20"/>
                <w:szCs w:val="20"/>
                <w:shd w:val="clear" w:color="auto" w:fill="auto"/>
                <w:vertAlign w:val="superscript"/>
              </w:rPr>
              <w:t>3</w:t>
            </w:r>
            <w:r>
              <w:rPr>
                <w:rFonts w:hint="default" w:ascii="Times New Roman" w:hAnsi="Times New Roman" w:cs="Times New Roman"/>
                <w:color w:val="auto"/>
                <w:kern w:val="0"/>
                <w:sz w:val="20"/>
                <w:szCs w:val="20"/>
                <w:shd w:val="clear" w:color="auto" w:fill="auto"/>
                <w:lang w:eastAsia="zh-CN"/>
              </w:rPr>
              <w:t>以下</w:t>
            </w:r>
            <w:r>
              <w:rPr>
                <w:rFonts w:hint="default" w:ascii="Times New Roman" w:hAnsi="Times New Roman" w:cs="Times New Roman"/>
                <w:color w:val="auto"/>
                <w:kern w:val="0"/>
                <w:sz w:val="20"/>
                <w:szCs w:val="20"/>
                <w:shd w:val="clear" w:color="auto" w:fill="auto"/>
                <w:lang w:eastAsia="zh-CN"/>
              </w:rPr>
              <w:t>，</w:t>
            </w:r>
          </w:p>
          <w:p>
            <w:pPr>
              <w:widowControl/>
              <w:shd w:val="clear" w:color="auto" w:fill="auto"/>
              <w:spacing w:before="0" w:beforeAutospacing="0" w:after="0" w:afterAutospacing="0" w:line="320" w:lineRule="exact"/>
              <w:ind w:left="0" w:right="0"/>
              <w:jc w:val="center"/>
              <w:rPr>
                <w:rFonts w:hint="default" w:ascii="Times New Roman" w:hAnsi="Times New Roman" w:eastAsia="宋体" w:cs="Times New Roman"/>
                <w:color w:val="auto"/>
                <w:kern w:val="0"/>
                <w:sz w:val="20"/>
                <w:szCs w:val="20"/>
                <w:shd w:val="clear" w:color="auto" w:fill="auto"/>
                <w:lang w:eastAsia="zh-CN"/>
              </w:rPr>
            </w:pPr>
            <w:r>
              <w:rPr>
                <w:rFonts w:hint="default" w:ascii="Times New Roman" w:hAnsi="Times New Roman" w:cs="Times New Roman"/>
                <w:color w:val="auto"/>
                <w:kern w:val="0"/>
                <w:sz w:val="20"/>
                <w:szCs w:val="20"/>
                <w:shd w:val="clear" w:color="auto" w:fill="auto"/>
              </w:rPr>
              <w:t>坝高H30m</w:t>
            </w:r>
            <w:r>
              <w:rPr>
                <w:rFonts w:hint="default" w:ascii="Times New Roman" w:hAnsi="Times New Roman" w:cs="Times New Roman"/>
                <w:color w:val="auto"/>
                <w:kern w:val="0"/>
                <w:sz w:val="20"/>
                <w:szCs w:val="20"/>
                <w:shd w:val="clear" w:color="auto" w:fill="auto"/>
                <w:lang w:eastAsia="zh-CN"/>
              </w:rPr>
              <w:t>以上</w:t>
            </w:r>
            <w:r>
              <w:rPr>
                <w:rFonts w:hint="default" w:ascii="Times New Roman" w:hAnsi="Times New Roman" w:cs="Times New Roman"/>
                <w:color w:val="auto"/>
                <w:kern w:val="0"/>
                <w:sz w:val="20"/>
                <w:szCs w:val="20"/>
                <w:shd w:val="clear" w:color="auto" w:fill="auto"/>
              </w:rPr>
              <w:t>60m</w:t>
            </w:r>
            <w:r>
              <w:rPr>
                <w:rFonts w:hint="default" w:ascii="Times New Roman" w:hAnsi="Times New Roman" w:cs="Times New Roman"/>
                <w:color w:val="auto"/>
                <w:kern w:val="0"/>
                <w:sz w:val="20"/>
                <w:szCs w:val="20"/>
                <w:shd w:val="clear" w:color="auto" w:fill="auto"/>
                <w:lang w:eastAsia="zh-CN"/>
              </w:rPr>
              <w:t>以下</w:t>
            </w:r>
          </w:p>
        </w:tc>
        <w:tc>
          <w:tcPr>
            <w:tcW w:w="2649" w:type="dxa"/>
            <w:vAlign w:val="center"/>
          </w:tcPr>
          <w:p>
            <w:pPr>
              <w:widowControl/>
              <w:shd w:val="clear" w:color="auto" w:fill="auto"/>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shd w:val="clear" w:color="auto" w:fill="auto"/>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lang w:eastAsia="zh-CN"/>
              </w:rPr>
            </w:pPr>
            <w:r>
              <w:rPr>
                <w:rFonts w:hint="default" w:ascii="Times New Roman" w:hAnsi="Times New Roman" w:cs="Times New Roman"/>
                <w:color w:val="auto"/>
                <w:kern w:val="0"/>
                <w:sz w:val="20"/>
                <w:szCs w:val="20"/>
                <w:shd w:val="clear" w:color="auto" w:fill="auto"/>
              </w:rPr>
              <w:t>全库容V1000万m</w:t>
            </w:r>
            <w:r>
              <w:rPr>
                <w:rFonts w:hint="default" w:ascii="Times New Roman" w:hAnsi="Times New Roman" w:cs="Times New Roman"/>
                <w:color w:val="auto"/>
                <w:kern w:val="0"/>
                <w:sz w:val="20"/>
                <w:szCs w:val="20"/>
                <w:shd w:val="clear" w:color="auto" w:fill="auto"/>
                <w:vertAlign w:val="superscript"/>
              </w:rPr>
              <w:t>3</w:t>
            </w:r>
            <w:r>
              <w:rPr>
                <w:rFonts w:hint="default" w:ascii="Times New Roman" w:hAnsi="Times New Roman" w:cs="Times New Roman"/>
                <w:color w:val="auto"/>
                <w:kern w:val="0"/>
                <w:sz w:val="20"/>
                <w:szCs w:val="20"/>
                <w:shd w:val="clear" w:color="auto" w:fill="auto"/>
                <w:lang w:eastAsia="zh-CN"/>
              </w:rPr>
              <w:t>以上</w:t>
            </w:r>
            <w:r>
              <w:rPr>
                <w:rFonts w:hint="default" w:ascii="Times New Roman" w:hAnsi="Times New Roman" w:cs="Times New Roman"/>
                <w:color w:val="auto"/>
                <w:kern w:val="0"/>
                <w:sz w:val="20"/>
                <w:szCs w:val="20"/>
                <w:shd w:val="clear" w:color="auto" w:fill="auto"/>
              </w:rPr>
              <w:t>10000万m</w:t>
            </w:r>
            <w:r>
              <w:rPr>
                <w:rFonts w:hint="default" w:ascii="Times New Roman" w:hAnsi="Times New Roman" w:cs="Times New Roman"/>
                <w:color w:val="auto"/>
                <w:kern w:val="0"/>
                <w:sz w:val="20"/>
                <w:szCs w:val="20"/>
                <w:shd w:val="clear" w:color="auto" w:fill="auto"/>
                <w:vertAlign w:val="superscript"/>
              </w:rPr>
              <w:t>3</w:t>
            </w:r>
            <w:r>
              <w:rPr>
                <w:rFonts w:hint="default" w:ascii="Times New Roman" w:hAnsi="Times New Roman" w:cs="Times New Roman"/>
                <w:color w:val="auto"/>
                <w:kern w:val="0"/>
                <w:sz w:val="20"/>
                <w:szCs w:val="20"/>
                <w:shd w:val="clear" w:color="auto" w:fill="auto"/>
                <w:lang w:eastAsia="zh-CN"/>
              </w:rPr>
              <w:t>以下</w:t>
            </w:r>
            <w:r>
              <w:rPr>
                <w:rFonts w:hint="default" w:ascii="Times New Roman" w:hAnsi="Times New Roman" w:cs="Times New Roman"/>
                <w:color w:val="auto"/>
                <w:kern w:val="0"/>
                <w:sz w:val="20"/>
                <w:szCs w:val="20"/>
                <w:shd w:val="clear" w:color="auto" w:fill="auto"/>
                <w:lang w:eastAsia="zh-CN"/>
              </w:rPr>
              <w:t>，</w:t>
            </w:r>
          </w:p>
          <w:p>
            <w:pPr>
              <w:widowControl/>
              <w:shd w:val="clear" w:color="auto" w:fill="auto"/>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坝高H60m</w:t>
            </w:r>
            <w:r>
              <w:rPr>
                <w:rFonts w:hint="default" w:ascii="Times New Roman" w:hAnsi="Times New Roman" w:cs="Times New Roman"/>
                <w:color w:val="auto"/>
                <w:kern w:val="0"/>
                <w:sz w:val="20"/>
                <w:szCs w:val="20"/>
                <w:shd w:val="clear" w:color="auto" w:fill="auto"/>
                <w:lang w:eastAsia="zh-CN"/>
              </w:rPr>
              <w:t>以上</w:t>
            </w:r>
            <w:r>
              <w:rPr>
                <w:rFonts w:hint="default" w:ascii="Times New Roman" w:hAnsi="Times New Roman" w:cs="Times New Roman"/>
                <w:color w:val="auto"/>
                <w:kern w:val="0"/>
                <w:sz w:val="20"/>
                <w:szCs w:val="20"/>
                <w:shd w:val="clear" w:color="auto" w:fill="auto"/>
              </w:rPr>
              <w:t>100m</w:t>
            </w:r>
            <w:r>
              <w:rPr>
                <w:rFonts w:hint="default" w:ascii="Times New Roman" w:hAnsi="Times New Roman" w:cs="Times New Roman"/>
                <w:color w:val="auto"/>
                <w:kern w:val="0"/>
                <w:sz w:val="20"/>
                <w:szCs w:val="20"/>
                <w:shd w:val="clear" w:color="auto" w:fill="auto"/>
                <w:lang w:eastAsia="zh-CN"/>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shd w:val="clear" w:color="auto" w:fill="auto"/>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lang w:eastAsia="zh-CN"/>
              </w:rPr>
            </w:pPr>
            <w:r>
              <w:rPr>
                <w:rFonts w:hint="default" w:ascii="Times New Roman" w:hAnsi="Times New Roman" w:cs="Times New Roman"/>
                <w:color w:val="auto"/>
                <w:kern w:val="0"/>
                <w:sz w:val="20"/>
                <w:szCs w:val="20"/>
                <w:shd w:val="clear" w:color="auto" w:fill="auto"/>
              </w:rPr>
              <w:t>全库容V10000万m</w:t>
            </w:r>
            <w:r>
              <w:rPr>
                <w:rFonts w:hint="default" w:ascii="Times New Roman" w:hAnsi="Times New Roman" w:cs="Times New Roman"/>
                <w:color w:val="auto"/>
                <w:kern w:val="0"/>
                <w:sz w:val="20"/>
                <w:szCs w:val="20"/>
                <w:shd w:val="clear" w:color="auto" w:fill="auto"/>
                <w:vertAlign w:val="superscript"/>
              </w:rPr>
              <w:t>3</w:t>
            </w:r>
            <w:r>
              <w:rPr>
                <w:rFonts w:hint="default" w:ascii="Times New Roman" w:hAnsi="Times New Roman" w:cs="Times New Roman"/>
                <w:color w:val="auto"/>
                <w:kern w:val="0"/>
                <w:sz w:val="20"/>
                <w:szCs w:val="20"/>
                <w:shd w:val="clear" w:color="auto" w:fill="auto"/>
                <w:lang w:eastAsia="zh-CN"/>
              </w:rPr>
              <w:t>以上</w:t>
            </w:r>
            <w:r>
              <w:rPr>
                <w:rFonts w:hint="default" w:ascii="Times New Roman" w:hAnsi="Times New Roman" w:cs="Times New Roman"/>
                <w:color w:val="auto"/>
                <w:kern w:val="0"/>
                <w:sz w:val="20"/>
                <w:szCs w:val="20"/>
                <w:shd w:val="clear" w:color="auto" w:fill="auto"/>
                <w:lang w:eastAsia="zh-CN"/>
              </w:rPr>
              <w:t>，</w:t>
            </w:r>
          </w:p>
          <w:p>
            <w:pPr>
              <w:widowControl/>
              <w:shd w:val="clear" w:color="auto" w:fill="auto"/>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kern w:val="0"/>
                <w:sz w:val="20"/>
                <w:szCs w:val="20"/>
                <w:shd w:val="clear" w:color="auto" w:fill="auto"/>
              </w:rPr>
              <w:t>坝高H100m</w:t>
            </w:r>
            <w:r>
              <w:rPr>
                <w:rFonts w:hint="default" w:ascii="Times New Roman" w:hAnsi="Times New Roman" w:cs="Times New Roman"/>
                <w:color w:val="auto"/>
                <w:kern w:val="0"/>
                <w:sz w:val="20"/>
                <w:szCs w:val="20"/>
                <w:shd w:val="clear" w:color="auto" w:fill="auto"/>
                <w:lang w:eastAsia="zh-CN"/>
              </w:rPr>
              <w:t>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二等库具备提高等别条件者</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val="en-US"/>
              </w:rPr>
              <w:t>改正时间</w:t>
            </w:r>
          </w:p>
        </w:tc>
        <w:tc>
          <w:tcPr>
            <w:tcW w:w="504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kern w:val="2"/>
                <w:sz w:val="21"/>
                <w:szCs w:val="21"/>
                <w:shd w:val="clear" w:color="auto" w:fill="auto"/>
                <w:lang w:eastAsia="zh-CN"/>
              </w:rPr>
              <w:t>限期改正</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7天以上</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97"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043"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69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spacing w:line="20" w:lineRule="exact"/>
        <w:jc w:val="left"/>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649"/>
      </w:tblGrid>
      <w:tr>
        <w:trPr>
          <w:trHeight w:val="397" w:hRule="atLeast"/>
        </w:trPr>
        <w:tc>
          <w:tcPr>
            <w:tcW w:w="9060" w:type="dxa"/>
            <w:gridSpan w:val="3"/>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（五）土壤污染防治类</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59" w:name="_Toc5688"/>
            <w:r>
              <w:rPr>
                <w:rFonts w:hint="default" w:ascii="Times New Roman" w:hAnsi="Times New Roman" w:cs="Times New Roman"/>
                <w:color w:val="auto"/>
                <w:sz w:val="20"/>
                <w:szCs w:val="20"/>
                <w:shd w:val="clear" w:color="auto" w:fill="auto"/>
              </w:rPr>
              <w:t>6</w:t>
            </w:r>
            <w:bookmarkEnd w:id="259"/>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top"/>
          </w:tcPr>
          <w:p>
            <w:pPr>
              <w:shd w:val="clear" w:color="auto" w:fill="auto"/>
              <w:snapToGrid w:val="0"/>
              <w:spacing w:before="0" w:beforeAutospacing="0" w:after="0" w:afterAutospacing="0" w:line="320" w:lineRule="exact"/>
              <w:ind w:left="0" w:right="0" w:firstLine="420"/>
              <w:outlineLvl w:val="9"/>
              <w:rPr>
                <w:rFonts w:hint="default" w:ascii="Times New Roman" w:hAnsi="Times New Roman" w:cs="Times New Roman"/>
                <w:color w:val="auto"/>
                <w:sz w:val="20"/>
                <w:szCs w:val="20"/>
                <w:shd w:val="clear" w:color="auto" w:fill="auto"/>
              </w:rPr>
            </w:pPr>
            <w:bookmarkStart w:id="260" w:name="_Toc15991"/>
            <w:r>
              <w:rPr>
                <w:rFonts w:hint="default" w:ascii="Times New Roman" w:hAnsi="Times New Roman" w:cs="Times New Roman"/>
                <w:color w:val="auto"/>
                <w:sz w:val="20"/>
                <w:szCs w:val="20"/>
                <w:shd w:val="clear" w:color="auto" w:fill="auto"/>
              </w:rPr>
              <w:t>建设和运行污水集中处理设施、固体废物处置设施，未依照法律法规和相关标准的要求采取措施防止土壤污染的</w:t>
            </w:r>
            <w:bookmarkEnd w:id="260"/>
          </w:p>
        </w:tc>
      </w:tr>
      <w:tr>
        <w:trPr>
          <w:trHeight w:val="113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pStyle w:val="19"/>
              <w:shd w:val="clear" w:color="auto" w:fill="auto"/>
              <w:spacing w:before="0" w:beforeAutospacing="0" w:after="0" w:afterAutospacing="0" w:line="320" w:lineRule="exact"/>
              <w:ind w:left="0" w:right="0" w:firstLine="420"/>
              <w:jc w:val="both"/>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《中华人民共和国土壤污染防治法》第二十五条第一款</w:t>
            </w:r>
            <w:r>
              <w:rPr>
                <w:rFonts w:hint="default" w:ascii="Times New Roman" w:hAnsi="Times New Roman" w:cs="Times New Roman"/>
                <w:color w:val="auto"/>
                <w:kern w:val="2"/>
                <w:sz w:val="21"/>
                <w:szCs w:val="21"/>
                <w:shd w:val="clear" w:color="auto" w:fill="auto"/>
              </w:rPr>
              <w:t xml:space="preserve"> 建设和运行污水集中处理设施、固体废物处置设施，应当依照法律法规和相关标准的要求，采取措施防止土壤污染。</w:t>
            </w:r>
          </w:p>
        </w:tc>
      </w:tr>
      <w:tr>
        <w:trPr>
          <w:trHeight w:val="305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pStyle w:val="19"/>
              <w:shd w:val="clear" w:color="auto" w:fill="auto"/>
              <w:adjustRightInd w:val="0"/>
              <w:snapToGrid w:val="0"/>
              <w:spacing w:before="0" w:beforeAutospacing="0" w:after="0" w:afterAutospacing="0" w:line="320" w:lineRule="exact"/>
              <w:ind w:left="0" w:right="0" w:firstLine="420"/>
              <w:jc w:val="both"/>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《中华人民共和国土壤污染防治法》第八十六条第一款第（七）项、第二款</w:t>
            </w:r>
            <w:r>
              <w:rPr>
                <w:rFonts w:hint="default" w:ascii="Times New Roman" w:hAnsi="Times New Roman" w:cs="Times New Roman"/>
                <w:color w:val="auto"/>
                <w:kern w:val="2"/>
                <w:sz w:val="21"/>
                <w:szCs w:val="21"/>
                <w:shd w:val="clear" w:color="auto" w:fill="auto"/>
              </w:rPr>
              <w:t xml:space="preserve"> 违反本法规定，有下列行为之一的，由地方人民政府生态环境主管部门或者其他负有土壤污染防治监督管理职责的部门责令改正，处以罚款；拒不改正的，责令停产整治：</w:t>
            </w:r>
          </w:p>
          <w:p>
            <w:pPr>
              <w:pStyle w:val="19"/>
              <w:shd w:val="clear" w:color="auto" w:fill="auto"/>
              <w:adjustRightInd w:val="0"/>
              <w:snapToGrid w:val="0"/>
              <w:spacing w:before="0" w:beforeAutospacing="0" w:after="0" w:afterAutospacing="0" w:line="320" w:lineRule="exact"/>
              <w:ind w:left="0" w:right="0" w:firstLine="420"/>
              <w:jc w:val="both"/>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（七）建设和运行污水集中处理设施、固体废物处置设施，未依照法律法规和相关标准的要求采取措施防止土壤污染的。</w:t>
            </w:r>
          </w:p>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有前款规定行为之一的，处二万元以上二十万元以下的罚款；有前款第二项、第四项、第五项、第七项规定行为之一，造成严重后果的，处二十万元以上二百万元以下的罚款。</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污水集中处理设施、固体废物处置设施主体工程尚未建设，采取措施防止土壤污染，但是不符合要求</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污水集中处理设施、固体废物处置设施主体工程尚未建设，未采取措施防止土壤污染</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污水集中处理设施、固体废物处置设施主体工程已建成，采取措施防止土壤污染，但是不符合要求</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highlight w:val="none"/>
                <w:shd w:val="clear" w:color="auto" w:fill="auto"/>
              </w:rPr>
            </w:pPr>
            <w:r>
              <w:rPr>
                <w:rFonts w:hint="default" w:ascii="Times New Roman" w:hAnsi="Times New Roman" w:cs="Times New Roman"/>
                <w:color w:val="auto"/>
                <w:sz w:val="21"/>
                <w:szCs w:val="21"/>
                <w:highlight w:val="none"/>
                <w:shd w:val="clear" w:color="auto" w:fill="auto"/>
              </w:rPr>
              <w:t>污水集中处理设施、固体废物处置设施主体工程已建成，未采取措施防止土壤污染</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highlight w:val="none"/>
                <w:shd w:val="clear" w:color="auto" w:fill="auto"/>
              </w:rPr>
            </w:pPr>
            <w:r>
              <w:rPr>
                <w:rFonts w:hint="default" w:ascii="Times New Roman" w:hAnsi="Times New Roman" w:cs="Times New Roman"/>
                <w:color w:val="auto"/>
                <w:sz w:val="21"/>
                <w:szCs w:val="21"/>
                <w:highlight w:val="none"/>
                <w:shd w:val="clear" w:color="auto" w:fill="auto"/>
              </w:rPr>
              <w:t>污水集中处理设施、固体废物处置设施已建成或者正在运行，未采取措施防止土壤污染</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土壤环境</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rPr>
              <w:t>敏感度</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1"/>
                <w:szCs w:val="21"/>
                <w:shd w:val="clear" w:color="auto" w:fill="auto"/>
              </w:rPr>
              <w:t>第二类建设用地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2" w:firstLineChars="0"/>
              <w:jc w:val="center"/>
              <w:rPr>
                <w:rFonts w:hint="default" w:ascii="Times New Roman" w:hAnsi="Times New Roman" w:cs="Times New Roman"/>
                <w:b/>
                <w:bCs/>
                <w:color w:val="auto"/>
                <w:sz w:val="20"/>
                <w:szCs w:val="20"/>
                <w:shd w:val="clear" w:color="auto" w:fill="auto"/>
                <w:lang w:eastAsia="zh-CN"/>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1"/>
                <w:szCs w:val="21"/>
                <w:shd w:val="clear" w:color="auto" w:fill="auto"/>
              </w:rPr>
              <w:t>第一类建设用地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1"/>
                <w:szCs w:val="21"/>
                <w:shd w:val="clear" w:color="auto" w:fill="auto"/>
              </w:rPr>
              <w:t>严格管控类农用地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安全利用类农用地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优先保护类农用地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43" w:type="dxa"/>
            <w:vAlign w:val="center"/>
          </w:tcPr>
          <w:p>
            <w:pPr>
              <w:shd w:val="clear" w:color="auto" w:fill="auto"/>
              <w:snapToGrid w:val="0"/>
              <w:spacing w:before="0" w:beforeAutospacing="0" w:after="0" w:afterAutospacing="0" w:line="320" w:lineRule="exact"/>
              <w:ind w:left="0" w:right="0" w:firstLine="2100" w:firstLineChars="1000"/>
              <w:rPr>
                <w:rFonts w:hint="default" w:ascii="Times New Roman" w:hAnsi="Times New Roman" w:eastAsia="宋体" w:cs="Times New Roman"/>
                <w:color w:val="auto"/>
                <w:sz w:val="21"/>
                <w:szCs w:val="21"/>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1890" w:firstLineChars="900"/>
              <w:rPr>
                <w:rFonts w:hint="default" w:ascii="Times New Roman" w:hAnsi="Times New Roman" w:eastAsia="宋体" w:cs="Times New Roman"/>
                <w:color w:val="auto"/>
                <w:sz w:val="21"/>
                <w:szCs w:val="21"/>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已造成土壤环境污染</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面积</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500m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以上1000m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val="en-US"/>
              </w:rPr>
              <w:t>改正时间</w:t>
            </w:r>
          </w:p>
        </w:tc>
        <w:tc>
          <w:tcPr>
            <w:tcW w:w="504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kern w:val="2"/>
                <w:sz w:val="21"/>
                <w:szCs w:val="21"/>
                <w:shd w:val="clear" w:color="auto" w:fill="auto"/>
                <w:lang w:eastAsia="zh-CN"/>
              </w:rPr>
              <w:t>限期改正</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eastAsia"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4</w:t>
            </w:r>
          </w:p>
        </w:tc>
      </w:tr>
      <w:tr>
        <w:trPr>
          <w:trHeight w:val="425"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7天以上</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1"/>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1"/>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4863"/>
        <w:gridCol w:w="2649"/>
      </w:tblGrid>
      <w:tr>
        <w:trPr>
          <w:trHeight w:val="312" w:hRule="atLeast"/>
        </w:trPr>
        <w:tc>
          <w:tcPr>
            <w:tcW w:w="9060" w:type="dxa"/>
            <w:gridSpan w:val="3"/>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（五）土壤污染防治类</w:t>
            </w:r>
          </w:p>
        </w:tc>
      </w:tr>
      <w:tr>
        <w:trPr>
          <w:trHeight w:val="312"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51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61" w:name="_Toc15171"/>
            <w:r>
              <w:rPr>
                <w:rFonts w:hint="default" w:ascii="Times New Roman" w:hAnsi="Times New Roman" w:cs="Times New Roman"/>
                <w:color w:val="auto"/>
                <w:sz w:val="20"/>
                <w:szCs w:val="20"/>
                <w:shd w:val="clear" w:color="auto" w:fill="auto"/>
              </w:rPr>
              <w:t>7</w:t>
            </w:r>
            <w:bookmarkEnd w:id="261"/>
          </w:p>
        </w:tc>
      </w:tr>
      <w:tr>
        <w:trPr>
          <w:trHeight w:val="810"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512" w:type="dxa"/>
            <w:gridSpan w:val="2"/>
            <w:vAlign w:val="center"/>
          </w:tcPr>
          <w:p>
            <w:pPr>
              <w:shd w:val="clear" w:color="auto" w:fill="auto"/>
              <w:snapToGrid w:val="0"/>
              <w:spacing w:before="0" w:beforeAutospacing="0" w:after="0" w:afterAutospacing="0" w:line="320" w:lineRule="exact"/>
              <w:ind w:left="0" w:right="0" w:firstLine="420"/>
              <w:outlineLvl w:val="9"/>
              <w:rPr>
                <w:rFonts w:hint="default" w:ascii="Times New Roman" w:hAnsi="Times New Roman" w:cs="Times New Roman"/>
                <w:color w:val="auto"/>
                <w:sz w:val="20"/>
                <w:szCs w:val="20"/>
                <w:shd w:val="clear" w:color="auto" w:fill="auto"/>
              </w:rPr>
            </w:pPr>
            <w:bookmarkStart w:id="262" w:name="_Toc25203"/>
            <w:r>
              <w:rPr>
                <w:rFonts w:hint="default" w:ascii="Times New Roman" w:hAnsi="Times New Roman" w:cs="Times New Roman"/>
                <w:color w:val="auto"/>
                <w:sz w:val="20"/>
                <w:szCs w:val="20"/>
                <w:shd w:val="clear" w:color="auto" w:fill="auto"/>
              </w:rPr>
              <w:t>向农用地排放重金属或者其他有毒有害物质含量超标的污水、污泥，以及可能造成土壤污染的清淤底泥、尾矿、矿渣等的</w:t>
            </w:r>
            <w:bookmarkEnd w:id="262"/>
          </w:p>
        </w:tc>
      </w:tr>
      <w:tr>
        <w:trPr>
          <w:trHeight w:val="1210"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512" w:type="dxa"/>
            <w:gridSpan w:val="2"/>
            <w:vAlign w:val="center"/>
          </w:tcPr>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《中华人民共和国土壤污染防治法》第二十八条第一款</w:t>
            </w:r>
            <w:r>
              <w:rPr>
                <w:rFonts w:hint="default" w:ascii="Times New Roman" w:hAnsi="Times New Roman" w:cs="Times New Roman"/>
                <w:color w:val="auto"/>
                <w:sz w:val="21"/>
                <w:szCs w:val="21"/>
                <w:shd w:val="clear" w:color="auto" w:fill="auto"/>
              </w:rPr>
              <w:t xml:space="preserve"> 禁止向农用地排放重金属或者其他有毒有害物质含量超标的污水、污泥，以及可能造成土壤污染的清淤底泥、尾矿、矿渣等。</w:t>
            </w:r>
          </w:p>
        </w:tc>
      </w:tr>
      <w:tr>
        <w:trPr>
          <w:trHeight w:val="2250"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512" w:type="dxa"/>
            <w:gridSpan w:val="2"/>
            <w:vAlign w:val="center"/>
          </w:tcPr>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《中华人民共和国土壤污染防治法》第八十七条</w:t>
            </w:r>
            <w:r>
              <w:rPr>
                <w:rFonts w:hint="default" w:ascii="Times New Roman" w:hAnsi="Times New Roman" w:cs="Times New Roman"/>
                <w:color w:val="auto"/>
                <w:sz w:val="21"/>
                <w:szCs w:val="21"/>
                <w:shd w:val="clear" w:color="auto" w:fill="auto"/>
              </w:rPr>
              <w:t xml:space="preserve"> 违反本法规定，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tc>
      </w:tr>
      <w:tr>
        <w:trPr>
          <w:trHeight w:val="329"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48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54"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1"/>
                <w:szCs w:val="21"/>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违法事实</w:t>
            </w:r>
          </w:p>
        </w:tc>
        <w:tc>
          <w:tcPr>
            <w:tcW w:w="486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可能造成土壤污染的清淤底泥、尾矿、矿渣</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1"/>
                <w:szCs w:val="21"/>
                <w:shd w:val="clear" w:color="auto" w:fill="auto"/>
              </w:rPr>
            </w:pPr>
          </w:p>
        </w:tc>
        <w:tc>
          <w:tcPr>
            <w:tcW w:w="486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重金属或者其他有毒有害物质含量超标10%以</w:t>
            </w:r>
            <w:r>
              <w:rPr>
                <w:rFonts w:hint="default" w:ascii="Times New Roman" w:hAnsi="Times New Roman" w:cs="Times New Roman"/>
                <w:color w:val="auto"/>
                <w:sz w:val="21"/>
                <w:szCs w:val="21"/>
                <w:shd w:val="clear" w:color="auto" w:fill="auto"/>
                <w:lang w:eastAsia="zh-CN"/>
              </w:rPr>
              <w:t>下</w:t>
            </w:r>
            <w:r>
              <w:rPr>
                <w:rFonts w:hint="default" w:ascii="Times New Roman" w:hAnsi="Times New Roman" w:cs="Times New Roman"/>
                <w:color w:val="auto"/>
                <w:sz w:val="21"/>
                <w:szCs w:val="21"/>
                <w:shd w:val="clear" w:color="auto" w:fill="auto"/>
              </w:rPr>
              <w:t>的污水、污泥</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2</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1"/>
                <w:szCs w:val="21"/>
                <w:shd w:val="clear" w:color="auto" w:fill="auto"/>
              </w:rPr>
            </w:pPr>
          </w:p>
        </w:tc>
        <w:tc>
          <w:tcPr>
            <w:tcW w:w="4863" w:type="dxa"/>
            <w:vAlign w:val="center"/>
          </w:tcPr>
          <w:p>
            <w:pPr>
              <w:shd w:val="clear" w:color="auto" w:fill="auto"/>
              <w:adjustRightInd w:val="0"/>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重金属或者其他有毒有害物质含量超标10%以上50%</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的污水、污泥</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1"/>
                <w:szCs w:val="21"/>
                <w:shd w:val="clear" w:color="auto" w:fill="auto"/>
              </w:rPr>
            </w:pPr>
          </w:p>
        </w:tc>
        <w:tc>
          <w:tcPr>
            <w:tcW w:w="4863" w:type="dxa"/>
            <w:vAlign w:val="center"/>
          </w:tcPr>
          <w:p>
            <w:pPr>
              <w:shd w:val="clear" w:color="auto" w:fill="auto"/>
              <w:adjustRightInd w:val="0"/>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重金属或者其他有毒有害物质含量超标50%以上100%</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的污水、污泥</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4</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1"/>
                <w:szCs w:val="21"/>
                <w:shd w:val="clear" w:color="auto" w:fill="auto"/>
              </w:rPr>
            </w:pPr>
          </w:p>
        </w:tc>
        <w:tc>
          <w:tcPr>
            <w:tcW w:w="4863" w:type="dxa"/>
            <w:vAlign w:val="center"/>
          </w:tcPr>
          <w:p>
            <w:pPr>
              <w:shd w:val="clear" w:color="auto" w:fill="auto"/>
              <w:adjustRightInd w:val="0"/>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重金属或者其他有毒有害物质含量超标100%以上的污水、污泥</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454"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val="0"/>
                <w:bCs w:val="0"/>
                <w:color w:val="auto"/>
                <w:kern w:val="0"/>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企业规模</w:t>
            </w:r>
          </w:p>
        </w:tc>
        <w:tc>
          <w:tcPr>
            <w:tcW w:w="48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i w:val="0"/>
                <w:iCs w:val="0"/>
                <w:caps w:val="0"/>
                <w:color w:val="auto"/>
                <w:spacing w:val="0"/>
                <w:sz w:val="21"/>
                <w:szCs w:val="21"/>
                <w:shd w:val="clear" w:color="auto" w:fill="auto"/>
                <w:lang w:val="en-US" w:eastAsia="zh-CN"/>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1</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val="0"/>
                <w:bCs w:val="0"/>
                <w:color w:val="auto"/>
                <w:kern w:val="0"/>
                <w:sz w:val="20"/>
                <w:szCs w:val="20"/>
                <w:shd w:val="clear" w:color="auto" w:fill="auto"/>
                <w:lang w:eastAsia="zh-CN"/>
              </w:rPr>
            </w:pPr>
          </w:p>
        </w:tc>
        <w:tc>
          <w:tcPr>
            <w:tcW w:w="48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i w:val="0"/>
                <w:iCs w:val="0"/>
                <w:caps w:val="0"/>
                <w:color w:val="auto"/>
                <w:spacing w:val="0"/>
                <w:sz w:val="21"/>
                <w:szCs w:val="21"/>
                <w:shd w:val="clear" w:color="auto" w:fill="auto"/>
                <w:lang w:val="en-US" w:eastAsia="zh-CN"/>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val="0"/>
                <w:bCs w:val="0"/>
                <w:color w:val="auto"/>
                <w:kern w:val="0"/>
                <w:sz w:val="20"/>
                <w:szCs w:val="20"/>
                <w:shd w:val="clear" w:color="auto" w:fill="auto"/>
                <w:lang w:eastAsia="zh-CN"/>
              </w:rPr>
            </w:pPr>
          </w:p>
        </w:tc>
        <w:tc>
          <w:tcPr>
            <w:tcW w:w="48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i w:val="0"/>
                <w:iCs w:val="0"/>
                <w:caps w:val="0"/>
                <w:color w:val="auto"/>
                <w:spacing w:val="0"/>
                <w:sz w:val="21"/>
                <w:szCs w:val="21"/>
                <w:shd w:val="clear" w:color="auto" w:fill="auto"/>
                <w:lang w:val="en-US" w:eastAsia="zh-CN"/>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val="0"/>
                <w:bCs w:val="0"/>
                <w:color w:val="auto"/>
                <w:kern w:val="0"/>
                <w:sz w:val="20"/>
                <w:szCs w:val="20"/>
                <w:shd w:val="clear" w:color="auto" w:fill="auto"/>
                <w:lang w:eastAsia="zh-CN"/>
              </w:rPr>
            </w:pPr>
          </w:p>
        </w:tc>
        <w:tc>
          <w:tcPr>
            <w:tcW w:w="4863"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cs="Times New Roman"/>
                <w:i w:val="0"/>
                <w:iCs w:val="0"/>
                <w:caps w:val="0"/>
                <w:color w:val="auto"/>
                <w:spacing w:val="0"/>
                <w:sz w:val="21"/>
                <w:szCs w:val="21"/>
                <w:shd w:val="clear" w:color="auto" w:fill="auto"/>
                <w:lang w:val="en-US" w:eastAsia="zh-CN"/>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4</w:t>
            </w:r>
          </w:p>
        </w:tc>
      </w:tr>
      <w:tr>
        <w:trPr>
          <w:trHeight w:val="454"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kern w:val="0"/>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管理类别</w:t>
            </w:r>
          </w:p>
        </w:tc>
        <w:tc>
          <w:tcPr>
            <w:tcW w:w="4863" w:type="dxa"/>
            <w:vAlign w:val="center"/>
          </w:tcPr>
          <w:p>
            <w:pPr>
              <w:shd w:val="clear" w:color="auto" w:fill="auto"/>
              <w:snapToGrid w:val="0"/>
              <w:spacing w:before="0" w:beforeAutospacing="0" w:after="0" w:afterAutospacing="0" w:line="320" w:lineRule="exact"/>
              <w:ind w:left="0" w:right="0" w:firstLine="1890" w:firstLineChars="900"/>
              <w:rPr>
                <w:rFonts w:hint="default" w:ascii="Times New Roman" w:hAnsi="Times New Roman" w:cs="Times New Roman"/>
                <w:i w:val="0"/>
                <w:iCs w:val="0"/>
                <w:caps w:val="0"/>
                <w:color w:val="auto"/>
                <w:spacing w:val="0"/>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登记管理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1</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kern w:val="0"/>
                <w:sz w:val="20"/>
                <w:szCs w:val="20"/>
                <w:shd w:val="clear" w:color="auto" w:fill="auto"/>
                <w:lang w:eastAsia="zh-CN"/>
              </w:rPr>
            </w:pPr>
          </w:p>
        </w:tc>
        <w:tc>
          <w:tcPr>
            <w:tcW w:w="48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kern w:val="0"/>
                <w:sz w:val="20"/>
                <w:szCs w:val="20"/>
                <w:shd w:val="clear" w:color="auto" w:fill="auto"/>
                <w:lang w:eastAsia="zh-CN"/>
              </w:rPr>
            </w:pPr>
          </w:p>
        </w:tc>
        <w:tc>
          <w:tcPr>
            <w:tcW w:w="4863" w:type="dxa"/>
            <w:vAlign w:val="center"/>
          </w:tcPr>
          <w:p>
            <w:pPr>
              <w:shd w:val="clear" w:color="auto" w:fill="auto"/>
              <w:snapToGrid w:val="0"/>
              <w:spacing w:before="0" w:beforeAutospacing="0" w:after="0" w:afterAutospacing="0" w:line="320" w:lineRule="exact"/>
              <w:ind w:left="0" w:right="0" w:firstLine="1890" w:firstLineChars="900"/>
              <w:rPr>
                <w:rFonts w:hint="default" w:ascii="Times New Roman" w:hAnsi="Times New Roman" w:cs="Times New Roman"/>
                <w:i w:val="0"/>
                <w:iCs w:val="0"/>
                <w:caps w:val="0"/>
                <w:color w:val="auto"/>
                <w:spacing w:val="0"/>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rPr>
              <w:t>重点管理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3</w:t>
            </w:r>
          </w:p>
        </w:tc>
      </w:tr>
      <w:tr>
        <w:trPr>
          <w:trHeight w:val="454"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kern w:val="0"/>
                <w:sz w:val="20"/>
                <w:szCs w:val="20"/>
                <w:shd w:val="clear" w:color="auto" w:fill="auto"/>
                <w:lang w:eastAsia="zh-CN"/>
              </w:rPr>
            </w:pPr>
            <w:r>
              <w:rPr>
                <w:rFonts w:hint="default" w:ascii="Times New Roman" w:hAnsi="Times New Roman" w:cs="Times New Roman"/>
                <w:b/>
                <w:bCs/>
                <w:color w:val="auto"/>
                <w:kern w:val="0"/>
                <w:sz w:val="20"/>
                <w:szCs w:val="20"/>
                <w:shd w:val="clear" w:color="auto" w:fill="auto"/>
                <w:lang w:eastAsia="zh-CN"/>
              </w:rPr>
              <w:t>超标污染物</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kern w:val="0"/>
                <w:sz w:val="20"/>
                <w:szCs w:val="20"/>
                <w:shd w:val="clear" w:color="auto" w:fill="auto"/>
                <w:lang w:val="en-US"/>
              </w:rPr>
              <w:t>个数</w:t>
            </w:r>
          </w:p>
        </w:tc>
        <w:tc>
          <w:tcPr>
            <w:tcW w:w="48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21"/>
                <w:szCs w:val="21"/>
                <w:shd w:val="clear" w:color="auto" w:fill="auto"/>
                <w:lang w:val="en-US" w:eastAsia="zh-CN"/>
              </w:rPr>
            </w:pPr>
            <w:r>
              <w:rPr>
                <w:rFonts w:hint="default" w:ascii="Times New Roman" w:hAnsi="Times New Roman" w:cs="Times New Roman"/>
                <w:i w:val="0"/>
                <w:iCs w:val="0"/>
                <w:caps w:val="0"/>
                <w:color w:val="auto"/>
                <w:spacing w:val="0"/>
                <w:sz w:val="21"/>
                <w:szCs w:val="21"/>
                <w:shd w:val="clear" w:color="auto" w:fill="auto"/>
                <w:lang w:val="en-US" w:eastAsia="zh-CN"/>
              </w:rPr>
              <w:t>1个</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48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21"/>
                <w:szCs w:val="21"/>
                <w:shd w:val="clear" w:color="auto" w:fill="auto"/>
                <w:lang w:val="en-US" w:eastAsia="zh-CN"/>
              </w:rPr>
            </w:pPr>
            <w:r>
              <w:rPr>
                <w:rFonts w:hint="default" w:ascii="Times New Roman" w:hAnsi="Times New Roman" w:cs="Times New Roman"/>
                <w:i w:val="0"/>
                <w:iCs w:val="0"/>
                <w:caps w:val="0"/>
                <w:color w:val="auto"/>
                <w:spacing w:val="0"/>
                <w:sz w:val="21"/>
                <w:szCs w:val="21"/>
                <w:shd w:val="clear" w:color="auto" w:fill="auto"/>
                <w:lang w:val="en-US" w:eastAsia="zh-CN"/>
              </w:rPr>
              <w:t>2个</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48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21"/>
                <w:szCs w:val="21"/>
                <w:shd w:val="clear" w:color="auto" w:fill="auto"/>
                <w:lang w:val="en-US" w:eastAsia="zh-CN"/>
              </w:rPr>
            </w:pPr>
            <w:r>
              <w:rPr>
                <w:rFonts w:hint="default" w:ascii="Times New Roman" w:hAnsi="Times New Roman" w:cs="Times New Roman"/>
                <w:i w:val="0"/>
                <w:iCs w:val="0"/>
                <w:caps w:val="0"/>
                <w:color w:val="auto"/>
                <w:spacing w:val="0"/>
                <w:sz w:val="21"/>
                <w:szCs w:val="21"/>
                <w:shd w:val="clear" w:color="auto" w:fill="auto"/>
                <w:lang w:val="en-US" w:eastAsia="zh-CN"/>
              </w:rPr>
              <w:t>3个以上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5</w:t>
            </w:r>
          </w:p>
        </w:tc>
      </w:tr>
      <w:tr>
        <w:trPr>
          <w:trHeight w:val="454"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污染物</w:t>
            </w:r>
            <w:r>
              <w:rPr>
                <w:rFonts w:hint="default" w:ascii="Times New Roman" w:hAnsi="Times New Roman" w:cs="Times New Roman"/>
                <w:b/>
                <w:bCs/>
                <w:color w:val="auto"/>
                <w:sz w:val="20"/>
                <w:szCs w:val="20"/>
                <w:shd w:val="clear" w:color="auto" w:fill="auto"/>
                <w:lang w:eastAsia="zh-CN"/>
              </w:rPr>
              <w:t>排放</w:t>
            </w:r>
            <w:r>
              <w:rPr>
                <w:rFonts w:hint="default" w:ascii="Times New Roman" w:hAnsi="Times New Roman" w:cs="Times New Roman"/>
                <w:b/>
                <w:bCs/>
                <w:color w:val="auto"/>
                <w:sz w:val="20"/>
                <w:szCs w:val="20"/>
                <w:shd w:val="clear" w:color="auto" w:fill="auto"/>
              </w:rPr>
              <w:t>量</w:t>
            </w:r>
          </w:p>
        </w:tc>
        <w:tc>
          <w:tcPr>
            <w:tcW w:w="486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2吨以下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2吨以上5吨以下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5吨以上10吨以下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10吨以上20吨以下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20吨以上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54"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农用地类型</w:t>
            </w:r>
          </w:p>
        </w:tc>
        <w:tc>
          <w:tcPr>
            <w:tcW w:w="486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严格管控类农用地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安全利用类农用地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优先保护类农用地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54"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已造成土壤</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环境污染面积</w:t>
            </w:r>
          </w:p>
        </w:tc>
        <w:tc>
          <w:tcPr>
            <w:tcW w:w="486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以上1000m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54" w:hRule="atLeast"/>
        </w:trPr>
        <w:tc>
          <w:tcPr>
            <w:tcW w:w="154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val="en-US"/>
              </w:rPr>
              <w:t>改正时间</w:t>
            </w:r>
          </w:p>
        </w:tc>
        <w:tc>
          <w:tcPr>
            <w:tcW w:w="486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kern w:val="2"/>
                <w:sz w:val="21"/>
                <w:szCs w:val="21"/>
                <w:shd w:val="clear" w:color="auto" w:fill="auto"/>
                <w:lang w:eastAsia="zh-CN"/>
              </w:rPr>
              <w:t>限期改正</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454" w:hRule="atLeast"/>
        </w:trPr>
        <w:tc>
          <w:tcPr>
            <w:tcW w:w="154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454" w:hRule="atLeast"/>
        </w:trPr>
        <w:tc>
          <w:tcPr>
            <w:tcW w:w="154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eastAsia"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4</w:t>
            </w:r>
          </w:p>
        </w:tc>
      </w:tr>
      <w:tr>
        <w:trPr>
          <w:trHeight w:val="454" w:hRule="atLeast"/>
        </w:trPr>
        <w:tc>
          <w:tcPr>
            <w:tcW w:w="154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7天以上</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454"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48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1"/>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1"/>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54"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48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454"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51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widowControl/>
        <w:shd w:val="clear" w:color="auto" w:fill="auto"/>
        <w:snapToGrid w:val="0"/>
        <w:spacing w:line="20" w:lineRule="exact"/>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649"/>
      </w:tblGrid>
      <w:tr>
        <w:trPr>
          <w:trHeight w:val="340"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（五）土壤污染防治类</w:t>
            </w:r>
          </w:p>
        </w:tc>
      </w:tr>
      <w:tr>
        <w:trPr>
          <w:trHeight w:val="34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8</w:t>
            </w:r>
          </w:p>
        </w:tc>
      </w:tr>
      <w:tr>
        <w:trPr>
          <w:trHeight w:val="9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top"/>
          </w:tcPr>
          <w:p>
            <w:pPr>
              <w:shd w:val="clear" w:color="auto" w:fill="auto"/>
              <w:snapToGrid w:val="0"/>
              <w:spacing w:before="0" w:beforeAutospacing="0" w:after="0" w:afterAutospacing="0" w:line="320" w:lineRule="exact"/>
              <w:ind w:left="0" w:right="0" w:firstLine="420"/>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将重金属或者其他有毒有害物质含量超标的工业固体废物、生活垃圾或者污染土壤用于土地复垦的</w:t>
            </w:r>
          </w:p>
        </w:tc>
      </w:tr>
      <w:tr>
        <w:trPr>
          <w:trHeight w:val="34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top"/>
          </w:tcPr>
          <w:p>
            <w:pPr>
              <w:pStyle w:val="19"/>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《中华人民共和国土壤污染防治法》第三十三条第二款</w:t>
            </w:r>
            <w:r>
              <w:rPr>
                <w:rFonts w:hint="default" w:ascii="Times New Roman" w:hAnsi="Times New Roman" w:cs="Times New Roman"/>
                <w:color w:val="auto"/>
                <w:sz w:val="21"/>
                <w:szCs w:val="21"/>
                <w:shd w:val="clear" w:color="auto" w:fill="auto"/>
              </w:rPr>
              <w:t xml:space="preserve"> 禁止将重金属或者其他有毒有害物质含量超标的工业固体废物、生活垃圾或者污染土壤用于土地复垦。</w:t>
            </w:r>
          </w:p>
        </w:tc>
      </w:tr>
      <w:tr>
        <w:trPr>
          <w:trHeight w:val="34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top"/>
          </w:tcPr>
          <w:p>
            <w:pPr>
              <w:pStyle w:val="19"/>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《中华人民共和国土壤污染防治法》第八十九条</w:t>
            </w:r>
            <w:r>
              <w:rPr>
                <w:rFonts w:hint="default" w:ascii="Times New Roman" w:hAnsi="Times New Roman" w:cs="Times New Roman"/>
                <w:color w:val="auto"/>
                <w:sz w:val="21"/>
                <w:szCs w:val="21"/>
                <w:shd w:val="clear" w:color="auto" w:fill="auto"/>
              </w:rPr>
              <w:t xml:space="preserve"> 违反本法规定，将重金属或者其他有毒有害物质含量超标的工业固体废物、生活垃圾或者污染土壤用于土地复垦的，由地方人民政府生态环境主管部门责令改正，处十万元以上一百万元以下的罚款；有违法所得的，没收违法所得。</w:t>
            </w:r>
          </w:p>
        </w:tc>
      </w:tr>
      <w:tr>
        <w:trPr>
          <w:trHeight w:val="351"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51"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将生活垃圾用于土地复垦的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51"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将污染土壤用于土地复垦的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51"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将重金属或者其他有毒有害物质含量超标的工业固体废物用于土地复垦的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51"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超标倍数</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51"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10%以上20%</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51"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adjustRightInd w:val="0"/>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20%以上50%</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51"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adjustRightInd w:val="0"/>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50%以上100%</w:t>
            </w:r>
            <w:r>
              <w:rPr>
                <w:rFonts w:hint="default" w:ascii="Times New Roman" w:hAnsi="Times New Roman" w:cs="Times New Roman"/>
                <w:color w:val="auto"/>
                <w:sz w:val="21"/>
                <w:szCs w:val="21"/>
                <w:shd w:val="clear" w:color="auto" w:fill="auto"/>
                <w:lang w:eastAsia="zh-CN"/>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51"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adjustRightInd w:val="0"/>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51"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复垦面积</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51"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以上5000m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51"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以上10000m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51"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以上20000m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51"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51"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用于土地复垦的数量</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50吨以下的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51"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50吨以上100吨以下的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51"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100吨以上的200吨以下的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51"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200吨以上的500吨以下的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51"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500吨以上的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51"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危害后果</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危害后果轻微的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51"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对耕地或地下水造成污染的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51"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复垦土地用于农业种植的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51"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土壤环境</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敏感度</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第二类建设用地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51"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2" w:firstLineChars="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第一类建设用地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51"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严格管控类农用地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51"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安全利用类农用地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51"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优先保护类农用地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cs="Times New Roman"/>
                <w:color w:val="auto"/>
                <w:sz w:val="20"/>
                <w:szCs w:val="20"/>
                <w:shd w:val="clear" w:color="auto" w:fill="auto"/>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40"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043" w:type="dxa"/>
            <w:vAlign w:val="center"/>
          </w:tcPr>
          <w:p>
            <w:pPr>
              <w:shd w:val="clear" w:color="auto" w:fill="auto"/>
              <w:snapToGrid w:val="0"/>
              <w:spacing w:before="0" w:beforeAutospacing="0" w:after="0" w:afterAutospacing="0" w:line="320" w:lineRule="exact"/>
              <w:ind w:left="0" w:right="0" w:firstLine="2100" w:firstLineChars="1000"/>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登记管理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2100" w:firstLineChars="100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重点管理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40"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40"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40"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40"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40"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043"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4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r>
    </w:tbl>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649"/>
      </w:tblGrid>
      <w:t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（五）土壤污染防治类</w:t>
            </w:r>
          </w:p>
        </w:tc>
      </w:tr>
      <w:t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63" w:name="_Toc17887"/>
            <w:r>
              <w:rPr>
                <w:rFonts w:hint="default" w:ascii="Times New Roman" w:hAnsi="Times New Roman" w:cs="Times New Roman"/>
                <w:color w:val="auto"/>
                <w:sz w:val="20"/>
                <w:szCs w:val="20"/>
                <w:shd w:val="clear" w:color="auto" w:fill="auto"/>
              </w:rPr>
              <w:t>9</w:t>
            </w:r>
            <w:bookmarkEnd w:id="263"/>
          </w:p>
        </w:tc>
      </w:tr>
      <w:t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top"/>
          </w:tcPr>
          <w:p>
            <w:pPr>
              <w:shd w:val="clear" w:color="auto" w:fill="auto"/>
              <w:snapToGrid w:val="0"/>
              <w:spacing w:before="0" w:beforeAutospacing="0" w:after="0" w:afterAutospacing="0" w:line="300" w:lineRule="exact"/>
              <w:ind w:left="0" w:right="0" w:firstLine="420"/>
              <w:outlineLvl w:val="9"/>
              <w:rPr>
                <w:rFonts w:hint="default" w:ascii="Times New Roman" w:hAnsi="Times New Roman" w:cs="Times New Roman"/>
                <w:color w:val="auto"/>
                <w:sz w:val="20"/>
                <w:szCs w:val="20"/>
                <w:shd w:val="clear" w:color="auto" w:fill="auto"/>
              </w:rPr>
            </w:pPr>
            <w:bookmarkStart w:id="264" w:name="_Toc23900"/>
            <w:r>
              <w:rPr>
                <w:rFonts w:hint="default" w:ascii="Times New Roman" w:hAnsi="Times New Roman" w:cs="Times New Roman"/>
                <w:color w:val="auto"/>
                <w:sz w:val="20"/>
                <w:szCs w:val="20"/>
                <w:shd w:val="clear" w:color="auto" w:fill="auto"/>
              </w:rPr>
              <w:t>出具虚假调查报告、风险评估报告、风险管控效果评估报告、修复效果评估报告的</w:t>
            </w:r>
            <w:bookmarkEnd w:id="264"/>
          </w:p>
        </w:tc>
      </w:tr>
      <w:t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top"/>
          </w:tcPr>
          <w:p>
            <w:pPr>
              <w:pStyle w:val="19"/>
              <w:shd w:val="clear" w:color="auto" w:fill="auto"/>
              <w:spacing w:before="0" w:beforeAutospacing="0" w:after="0" w:afterAutospacing="0" w:line="30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《中华人民共和国土壤污染防治法》第四十三条第二款</w:t>
            </w:r>
            <w:r>
              <w:rPr>
                <w:rFonts w:hint="default" w:ascii="Times New Roman" w:hAnsi="Times New Roman" w:cs="Times New Roman"/>
                <w:color w:val="auto"/>
                <w:kern w:val="2"/>
                <w:sz w:val="21"/>
                <w:szCs w:val="21"/>
                <w:shd w:val="clear" w:color="auto" w:fill="auto"/>
              </w:rPr>
              <w:t xml:space="preserve"> 受委托从事前款活动的单位对其出具的调查报告、风险评估报告、风险管控效果评估报告、修复效果评估报告的真实性、准确性、完整性负责，并按照约定 对风险管控、修复、后期管理等活动结果负责。</w:t>
            </w:r>
          </w:p>
          <w:p>
            <w:pPr>
              <w:pStyle w:val="19"/>
              <w:shd w:val="clear" w:color="auto" w:fill="auto"/>
              <w:spacing w:before="0" w:beforeAutospacing="0" w:after="0" w:afterAutospacing="0" w:line="30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《河南省土壤污染防治条例》第三十五条</w:t>
            </w:r>
            <w:r>
              <w:rPr>
                <w:rFonts w:hint="default" w:ascii="Times New Roman" w:hAnsi="Times New Roman" w:cs="Times New Roman"/>
                <w:color w:val="auto"/>
                <w:sz w:val="21"/>
                <w:szCs w:val="21"/>
                <w:shd w:val="clear" w:color="auto" w:fill="auto"/>
              </w:rPr>
              <w:t xml:space="preserve"> 从事土壤污染状况调查和土壤污染风险评估、风险管控、修复、风险管控效果评估、修复效果评估、后期管理等活动的单位，应当具备相应的专业能力。受委托从事上述活动的单位应当对相关报告的真实性、准确性、完整性负责，并按照约定对风险管控、修复、后期管理等活动结果负责。</w:t>
            </w:r>
          </w:p>
        </w:tc>
      </w:tr>
      <w:t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top"/>
          </w:tcPr>
          <w:p>
            <w:pPr>
              <w:pStyle w:val="19"/>
              <w:shd w:val="clear" w:color="auto" w:fill="auto"/>
              <w:snapToGrid w:val="0"/>
              <w:spacing w:before="0" w:beforeAutospacing="0" w:after="0" w:afterAutospacing="0" w:line="30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《中华人民共和国土壤污染防治法》第九十条第一款、第二款</w:t>
            </w:r>
            <w:r>
              <w:rPr>
                <w:rFonts w:hint="default" w:ascii="Times New Roman" w:hAnsi="Times New Roman" w:cs="Times New Roman"/>
                <w:color w:val="auto"/>
                <w:kern w:val="2"/>
                <w:sz w:val="21"/>
                <w:szCs w:val="21"/>
                <w:shd w:val="clear" w:color="auto" w:fill="auto"/>
              </w:rPr>
              <w:t xml:space="preserve"> 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p>
          <w:p>
            <w:pPr>
              <w:pStyle w:val="19"/>
              <w:shd w:val="clear" w:color="auto" w:fill="auto"/>
              <w:snapToGrid w:val="0"/>
              <w:spacing w:before="0" w:beforeAutospacing="0" w:after="0" w:afterAutospacing="0" w:line="30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前款规定的单位出具虚假报告的，由地方人民政府生态环境主管部门对直接负责的主管人员和其他直接责任人员处一万元以上五万元以下的罚款；情节严重的，十年内禁止从事前款规定的业务；构成犯罪的，终身禁止从事前款规定的业务。</w:t>
            </w:r>
          </w:p>
          <w:p>
            <w:pPr>
              <w:widowControl/>
              <w:shd w:val="clear" w:color="auto" w:fill="auto"/>
              <w:wordWrap/>
              <w:adjustRightInd/>
              <w:snapToGrid w:val="0"/>
              <w:spacing w:before="0" w:beforeAutospacing="0" w:after="0" w:afterAutospacing="0" w:line="300" w:lineRule="exact"/>
              <w:ind w:left="0" w:right="0" w:firstLine="420"/>
              <w:jc w:val="left"/>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《河南省土壤污染防治条例》第六十五第一款、第二款、第三款</w:t>
            </w:r>
            <w:r>
              <w:rPr>
                <w:rFonts w:hint="default" w:ascii="Times New Roman" w:hAnsi="Times New Roman" w:cs="Times New Roman"/>
                <w:color w:val="auto"/>
                <w:sz w:val="20"/>
                <w:szCs w:val="20"/>
                <w:shd w:val="clear" w:color="auto" w:fill="auto"/>
              </w:rPr>
              <w:t xml:space="preserve"> 违反本条例规定，受委托从事土壤污染状况调查和土壤污染风险评估、风险管控效果评估、修复效果评估活动的单位，出具虚假调查报告、风险评估报告、风险管控效果评估报告、修复效果评估报告的，由生态环境主管部门处十万元以上五十万元以下的罚款；情节严重的，禁止从事上述业务，并处五十万元以上一百万元以下的罚款；有违法所得的，没收违法所得。</w:t>
            </w:r>
          </w:p>
          <w:p>
            <w:pPr>
              <w:widowControl/>
              <w:shd w:val="clear" w:color="auto" w:fill="auto"/>
              <w:wordWrap/>
              <w:adjustRightInd/>
              <w:snapToGrid w:val="0"/>
              <w:spacing w:before="0" w:beforeAutospacing="0" w:after="0" w:afterAutospacing="0" w:line="300" w:lineRule="exact"/>
              <w:ind w:left="0" w:right="0" w:firstLine="420"/>
              <w:jc w:val="left"/>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前款规定的单位出具虚假报告的，由生态环境主管部门对直接负责的主管人员和其他直接责任人员处一万元以上五万元以下的罚款；情节严重的，十年内禁止从事前款规定的业务；构成犯罪的，终身禁止从事前款规定的业务。</w:t>
            </w:r>
          </w:p>
          <w:p>
            <w:pPr>
              <w:pStyle w:val="19"/>
              <w:shd w:val="clear" w:color="auto" w:fill="auto"/>
              <w:snapToGrid w:val="0"/>
              <w:spacing w:before="0" w:beforeAutospacing="0" w:after="0" w:afterAutospacing="0" w:line="30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1"/>
                <w:shd w:val="clear" w:color="auto" w:fill="auto"/>
              </w:rPr>
              <w:t>本条第一款规定的单位和委托人恶意串通，出具虚假报告，造成他人人身或者财产损害的，应当与委托人承担连带责任。</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3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出具虚假报告，无不良后果的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出具虚假报告，造成不良后果的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9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出具虚假报告，造成严重后果的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涉案面积</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以上5000m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以上10000m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以上20000m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土壤环境</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敏感程度</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第二类建设用地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第一类建设用地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严格管控类农用地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安全利用类农用地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优先保护类农用地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043"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3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3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3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0"/>
              <w:jc w:val="left"/>
              <w:rPr>
                <w:rFonts w:hint="default" w:ascii="Times New Roman" w:hAnsi="Times New Roman" w:eastAsia="宋体" w:cs="Times New Roman"/>
                <w:color w:val="auto"/>
                <w:sz w:val="20"/>
                <w:szCs w:val="20"/>
                <w:shd w:val="clear" w:color="auto" w:fill="auto"/>
                <w:lang w:eastAsia="zh-CN"/>
              </w:rPr>
            </w:pPr>
          </w:p>
        </w:tc>
      </w:tr>
    </w:tbl>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649"/>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firstLine="643"/>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（五）土壤污染防治类</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65" w:name="_Toc24300"/>
            <w:r>
              <w:rPr>
                <w:rFonts w:hint="default" w:ascii="Times New Roman" w:hAnsi="Times New Roman" w:cs="Times New Roman"/>
                <w:color w:val="auto"/>
                <w:sz w:val="20"/>
                <w:szCs w:val="20"/>
                <w:shd w:val="clear" w:color="auto" w:fill="auto"/>
              </w:rPr>
              <w:t>10</w:t>
            </w:r>
            <w:bookmarkEnd w:id="265"/>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66" w:name="_Toc22745"/>
            <w:r>
              <w:rPr>
                <w:rFonts w:hint="default" w:ascii="Times New Roman" w:hAnsi="Times New Roman" w:cs="Times New Roman"/>
                <w:color w:val="auto"/>
                <w:sz w:val="20"/>
                <w:szCs w:val="20"/>
                <w:shd w:val="clear" w:color="auto" w:fill="auto"/>
              </w:rPr>
              <w:t>未单独收集、存放开发建设过程中剥离的表土的</w:t>
            </w:r>
            <w:bookmarkEnd w:id="266"/>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pStyle w:val="19"/>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《中华人民共和国土壤污染防治法》第三十三条第一款 </w:t>
            </w:r>
            <w:r>
              <w:rPr>
                <w:rFonts w:hint="default" w:ascii="Times New Roman" w:hAnsi="Times New Roman" w:cs="Times New Roman"/>
                <w:color w:val="auto"/>
                <w:sz w:val="21"/>
                <w:szCs w:val="21"/>
                <w:shd w:val="clear" w:color="auto" w:fill="auto"/>
              </w:rPr>
              <w:t>国家加强对土壤资源的保护和合理利用。对开发建设过程中剥离的表土，应当单独收集和存放，符合条件的应当优先用于土地复垦、土壤改良、造地和绿化等。</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pStyle w:val="19"/>
              <w:shd w:val="clear" w:color="auto" w:fill="auto"/>
              <w:snapToGrid w:val="0"/>
              <w:spacing w:before="0" w:beforeAutospacing="0" w:after="0" w:afterAutospacing="0" w:line="320" w:lineRule="exact"/>
              <w:ind w:left="0" w:right="0" w:firstLine="422"/>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《中华人民共和国土壤污染防治法》第九十一条第（一）项</w:t>
            </w:r>
            <w:r>
              <w:rPr>
                <w:rFonts w:hint="default" w:ascii="Times New Roman" w:hAnsi="Times New Roman" w:cs="Times New Roman"/>
                <w:color w:val="auto"/>
                <w:sz w:val="21"/>
                <w:szCs w:val="21"/>
                <w:shd w:val="clear" w:color="auto" w:fill="auto"/>
              </w:rPr>
              <w:t xml:space="preserve"> 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w:t>
            </w:r>
          </w:p>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（一）未单独收集、存放开发建设过程中剥离的表土的；</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未单独收集、存放开发建设过程中剥离的表土的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未单独收集、存放建设过程中剥离的表土，</w:t>
            </w:r>
            <w:r>
              <w:rPr>
                <w:rFonts w:hint="default" w:ascii="Times New Roman" w:hAnsi="Times New Roman" w:cs="Times New Roman"/>
                <w:color w:val="auto"/>
                <w:sz w:val="21"/>
                <w:szCs w:val="21"/>
                <w:shd w:val="clear" w:color="auto" w:fill="auto"/>
                <w:lang w:val="en-US"/>
              </w:rPr>
              <w:t>表土</w:t>
            </w:r>
            <w:r>
              <w:rPr>
                <w:rFonts w:hint="default" w:ascii="Times New Roman" w:hAnsi="Times New Roman" w:cs="Times New Roman"/>
                <w:color w:val="auto"/>
                <w:sz w:val="21"/>
                <w:szCs w:val="21"/>
                <w:shd w:val="clear" w:color="auto" w:fill="auto"/>
              </w:rPr>
              <w:t>与固体废物、生活垃圾混存的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未单独收集、存放建设过程中剥离的表土，</w:t>
            </w:r>
            <w:r>
              <w:rPr>
                <w:rFonts w:hint="default" w:ascii="Times New Roman" w:hAnsi="Times New Roman" w:cs="Times New Roman"/>
                <w:color w:val="auto"/>
                <w:sz w:val="21"/>
                <w:szCs w:val="21"/>
                <w:shd w:val="clear" w:color="auto" w:fill="auto"/>
                <w:lang w:val="en-US"/>
              </w:rPr>
              <w:t>表土中</w:t>
            </w:r>
            <w:r>
              <w:rPr>
                <w:rFonts w:hint="default" w:ascii="Times New Roman" w:hAnsi="Times New Roman" w:cs="Times New Roman"/>
                <w:color w:val="auto"/>
                <w:sz w:val="21"/>
                <w:szCs w:val="21"/>
                <w:shd w:val="clear" w:color="auto" w:fill="auto"/>
              </w:rPr>
              <w:t>混入有毒有害物体，影响回填使用的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表土数量</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50吨以下的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50吨以上100吨以下的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100吨以上的200吨以下的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200吨以上的500吨以下的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500吨以上的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贮存场所</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贮存场所达不到要求，有流失扬散的现象的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有贮存场所，但未单独存放的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无贮存场所，但未单独收集、存放的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5</w:t>
            </w:r>
          </w:p>
        </w:tc>
      </w:tr>
      <w:tr>
        <w:trPr>
          <w:trHeight w:val="397" w:hRule="atLeast"/>
          <w:jc w:val="center"/>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val="en-US"/>
              </w:rPr>
              <w:t>改正时间</w:t>
            </w:r>
          </w:p>
        </w:tc>
        <w:tc>
          <w:tcPr>
            <w:tcW w:w="504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kern w:val="2"/>
                <w:sz w:val="21"/>
                <w:szCs w:val="21"/>
                <w:shd w:val="clear" w:color="auto" w:fill="auto"/>
                <w:lang w:eastAsia="zh-CN"/>
              </w:rPr>
              <w:t>限期改正</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043"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5161"/>
        <w:gridCol w:w="2649"/>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firstLine="643"/>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（五）土壤污染防治类</w:t>
            </w:r>
          </w:p>
        </w:tc>
      </w:tr>
      <w:tr>
        <w:trPr>
          <w:trHeight w:val="397" w:hRule="atLeast"/>
          <w:jc w:val="center"/>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810"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67" w:name="_Toc11046"/>
            <w:r>
              <w:rPr>
                <w:rFonts w:hint="default" w:ascii="Times New Roman" w:hAnsi="Times New Roman" w:cs="Times New Roman"/>
                <w:color w:val="auto"/>
                <w:sz w:val="20"/>
                <w:szCs w:val="20"/>
                <w:shd w:val="clear" w:color="auto" w:fill="auto"/>
              </w:rPr>
              <w:t>11</w:t>
            </w:r>
            <w:bookmarkEnd w:id="267"/>
          </w:p>
        </w:tc>
      </w:tr>
      <w:tr>
        <w:trPr>
          <w:trHeight w:val="397" w:hRule="atLeast"/>
          <w:jc w:val="center"/>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810"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68" w:name="_Toc48"/>
            <w:r>
              <w:rPr>
                <w:rFonts w:hint="default" w:ascii="Times New Roman" w:hAnsi="Times New Roman" w:cs="Times New Roman"/>
                <w:color w:val="auto"/>
                <w:sz w:val="20"/>
                <w:szCs w:val="20"/>
                <w:shd w:val="clear" w:color="auto" w:fill="auto"/>
              </w:rPr>
              <w:t>实施风险管控、修复活动对土壤、周边环境造成新的污染的</w:t>
            </w:r>
            <w:bookmarkEnd w:id="268"/>
          </w:p>
        </w:tc>
      </w:tr>
      <w:tr>
        <w:trPr>
          <w:trHeight w:val="397" w:hRule="atLeast"/>
          <w:jc w:val="center"/>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810" w:type="dxa"/>
            <w:gridSpan w:val="2"/>
            <w:vAlign w:val="center"/>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《中华人民共和国土壤污染防治法》第三十八条第二款 </w:t>
            </w:r>
            <w:r>
              <w:rPr>
                <w:rFonts w:hint="default" w:ascii="Times New Roman" w:hAnsi="Times New Roman" w:cs="Times New Roman"/>
                <w:color w:val="auto"/>
                <w:sz w:val="21"/>
                <w:szCs w:val="21"/>
                <w:shd w:val="clear" w:color="auto" w:fill="auto"/>
              </w:rPr>
              <w:t>实施风险管控、修复活动，不得对土壤和周边环境造成新的污染。</w:t>
            </w:r>
          </w:p>
        </w:tc>
      </w:tr>
      <w:tr>
        <w:trPr>
          <w:trHeight w:val="397" w:hRule="atLeast"/>
          <w:jc w:val="center"/>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810" w:type="dxa"/>
            <w:gridSpan w:val="2"/>
            <w:vAlign w:val="center"/>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《中华人民共和国土壤污染防治法》第九十一条第（二）项</w:t>
            </w:r>
            <w:r>
              <w:rPr>
                <w:rFonts w:hint="default" w:ascii="Times New Roman" w:hAnsi="Times New Roman" w:cs="Times New Roman"/>
                <w:b/>
                <w:bCs/>
                <w:color w:val="auto"/>
                <w:sz w:val="21"/>
                <w:szCs w:val="21"/>
                <w:shd w:val="clear" w:color="auto" w:fill="auto"/>
                <w:lang w:val="en-US" w:eastAsia="zh-CN"/>
              </w:rPr>
              <w:t xml:space="preserve"> </w:t>
            </w:r>
            <w:r>
              <w:rPr>
                <w:rFonts w:hint="default" w:ascii="Times New Roman" w:hAnsi="Times New Roman" w:cs="Times New Roman"/>
                <w:color w:val="auto"/>
                <w:sz w:val="21"/>
                <w:szCs w:val="21"/>
                <w:shd w:val="clear" w:color="auto" w:fill="auto"/>
              </w:rPr>
              <w:t>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w:t>
            </w:r>
          </w:p>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（二）实施风险管控、修复活动对土壤、周边环境造成新的污染的；</w:t>
            </w:r>
          </w:p>
        </w:tc>
      </w:tr>
      <w:tr>
        <w:trPr>
          <w:trHeight w:val="442" w:hRule="atLeast"/>
          <w:jc w:val="center"/>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61" w:type="dxa"/>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42" w:hRule="atLeast"/>
          <w:jc w:val="center"/>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★土壤</w:t>
            </w:r>
            <w:r>
              <w:rPr>
                <w:rFonts w:hint="default" w:ascii="Times New Roman" w:hAnsi="Times New Roman" w:cs="Times New Roman"/>
                <w:b/>
                <w:bCs/>
                <w:color w:val="auto"/>
                <w:sz w:val="20"/>
                <w:szCs w:val="20"/>
                <w:shd w:val="clear" w:color="auto" w:fill="auto"/>
                <w:lang w:val="en-US"/>
              </w:rPr>
              <w:t>环境</w:t>
            </w:r>
            <w:r>
              <w:rPr>
                <w:rFonts w:hint="default" w:ascii="Times New Roman" w:hAnsi="Times New Roman" w:cs="Times New Roman"/>
                <w:b/>
                <w:bCs/>
                <w:color w:val="auto"/>
                <w:sz w:val="20"/>
                <w:szCs w:val="20"/>
                <w:shd w:val="clear" w:color="auto" w:fill="auto"/>
              </w:rPr>
              <w:t>敏感度</w:t>
            </w:r>
          </w:p>
        </w:tc>
        <w:tc>
          <w:tcPr>
            <w:tcW w:w="51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第二类建设用地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1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第一类建设用地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42"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严格管控类农用地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安全利用类农用地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42"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优先保护类农用地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42" w:hRule="atLeast"/>
          <w:jc w:val="center"/>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161" w:type="dxa"/>
            <w:vAlign w:val="center"/>
          </w:tcPr>
          <w:p>
            <w:pPr>
              <w:shd w:val="clear" w:color="auto" w:fill="auto"/>
              <w:snapToGrid w:val="0"/>
              <w:spacing w:before="0" w:beforeAutospacing="0" w:after="0" w:afterAutospacing="0" w:line="240" w:lineRule="auto"/>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240" w:lineRule="auto"/>
              <w:ind w:left="0" w:right="0"/>
              <w:jc w:val="center"/>
              <w:rPr>
                <w:rFonts w:hint="default" w:ascii="Times New Roman" w:hAnsi="Times New Roman" w:cs="Times New Roman"/>
                <w:color w:val="auto"/>
                <w:sz w:val="21"/>
                <w:szCs w:val="21"/>
                <w:shd w:val="clear" w:color="auto" w:fill="auto"/>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442"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240" w:lineRule="auto"/>
              <w:ind w:left="0" w:right="0"/>
              <w:jc w:val="center"/>
              <w:rPr>
                <w:rFonts w:hint="default" w:ascii="Times New Roman" w:hAnsi="Times New Roman" w:cs="Times New Roman"/>
                <w:color w:val="auto"/>
                <w:sz w:val="21"/>
                <w:szCs w:val="21"/>
                <w:shd w:val="clear" w:color="auto" w:fill="auto"/>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442"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shd w:val="clear" w:color="auto" w:fill="auto"/>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42" w:hRule="atLeast"/>
          <w:jc w:val="center"/>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已造成土壤环境污染面积</w:t>
            </w:r>
          </w:p>
        </w:tc>
        <w:tc>
          <w:tcPr>
            <w:tcW w:w="5161"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以上1000m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42" w:hRule="atLeast"/>
          <w:jc w:val="center"/>
        </w:trPr>
        <w:tc>
          <w:tcPr>
            <w:tcW w:w="1250"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6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42" w:hRule="atLeast"/>
          <w:jc w:val="center"/>
        </w:trPr>
        <w:tc>
          <w:tcPr>
            <w:tcW w:w="125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42" w:hRule="atLeast"/>
          <w:jc w:val="center"/>
        </w:trPr>
        <w:tc>
          <w:tcPr>
            <w:tcW w:w="125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42" w:hRule="atLeast"/>
          <w:jc w:val="center"/>
        </w:trPr>
        <w:tc>
          <w:tcPr>
            <w:tcW w:w="125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42" w:hRule="atLeast"/>
          <w:jc w:val="center"/>
        </w:trPr>
        <w:tc>
          <w:tcPr>
            <w:tcW w:w="125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42" w:hRule="atLeast"/>
          <w:jc w:val="center"/>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次数</w:t>
            </w:r>
          </w:p>
        </w:tc>
        <w:tc>
          <w:tcPr>
            <w:tcW w:w="516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firstLine="422" w:firstLineChars="0"/>
              <w:jc w:val="center"/>
              <w:rPr>
                <w:rFonts w:hint="default" w:ascii="Times New Roman" w:hAnsi="Times New Roman" w:cs="Times New Roman"/>
                <w:b/>
                <w:bCs/>
                <w:color w:val="auto"/>
                <w:sz w:val="20"/>
                <w:szCs w:val="20"/>
                <w:shd w:val="clear" w:color="auto" w:fill="auto"/>
              </w:rPr>
            </w:pPr>
          </w:p>
        </w:tc>
        <w:tc>
          <w:tcPr>
            <w:tcW w:w="51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1"/>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firstLine="422" w:firstLineChars="0"/>
              <w:jc w:val="center"/>
              <w:rPr>
                <w:rFonts w:hint="default" w:ascii="Times New Roman" w:hAnsi="Times New Roman" w:cs="Times New Roman"/>
                <w:b/>
                <w:bCs/>
                <w:color w:val="auto"/>
                <w:sz w:val="20"/>
                <w:szCs w:val="20"/>
                <w:shd w:val="clear" w:color="auto" w:fill="auto"/>
              </w:rPr>
            </w:pPr>
          </w:p>
        </w:tc>
        <w:tc>
          <w:tcPr>
            <w:tcW w:w="516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1"/>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6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6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810" w:type="dxa"/>
            <w:gridSpan w:val="2"/>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649"/>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firstLine="643"/>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（五）土壤污染防治类</w:t>
            </w:r>
          </w:p>
        </w:tc>
      </w:tr>
      <w:tr>
        <w:trPr>
          <w:trHeight w:val="90"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69" w:name="_Toc14513"/>
            <w:r>
              <w:rPr>
                <w:rFonts w:hint="default" w:ascii="Times New Roman" w:hAnsi="Times New Roman" w:cs="Times New Roman"/>
                <w:color w:val="auto"/>
                <w:sz w:val="20"/>
                <w:szCs w:val="20"/>
                <w:shd w:val="clear" w:color="auto" w:fill="auto"/>
              </w:rPr>
              <w:t>12</w:t>
            </w:r>
            <w:bookmarkEnd w:id="269"/>
          </w:p>
        </w:tc>
      </w:tr>
      <w:tr>
        <w:trPr>
          <w:trHeight w:val="45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firstLine="420"/>
              <w:outlineLvl w:val="9"/>
              <w:rPr>
                <w:rFonts w:hint="default" w:ascii="Times New Roman" w:hAnsi="Times New Roman" w:cs="Times New Roman"/>
                <w:color w:val="auto"/>
                <w:sz w:val="20"/>
                <w:szCs w:val="20"/>
                <w:shd w:val="clear" w:color="auto" w:fill="auto"/>
              </w:rPr>
            </w:pPr>
            <w:bookmarkStart w:id="270" w:name="_Toc22015"/>
            <w:r>
              <w:rPr>
                <w:rFonts w:hint="default" w:ascii="Times New Roman" w:hAnsi="Times New Roman" w:cs="Times New Roman"/>
                <w:color w:val="auto"/>
                <w:sz w:val="20"/>
                <w:szCs w:val="20"/>
                <w:shd w:val="clear" w:color="auto" w:fill="auto"/>
              </w:rPr>
              <w:t>转运污染土壤，未将运输时间、方式、线路和污染土壤数量、去向、最终处置措施等提前报所在地和接收地生态环境主管部门的</w:t>
            </w:r>
            <w:bookmarkEnd w:id="270"/>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《中华人民共和国土壤污染防治法》第四十一条第一款 </w:t>
            </w:r>
            <w:r>
              <w:rPr>
                <w:rFonts w:hint="default" w:ascii="Times New Roman" w:hAnsi="Times New Roman" w:cs="Times New Roman"/>
                <w:color w:val="auto"/>
                <w:sz w:val="21"/>
                <w:szCs w:val="21"/>
                <w:shd w:val="clear" w:color="auto" w:fill="auto"/>
              </w:rPr>
              <w:t>修复施工单位转运污染土壤的，应当制定转运计划，将运输时间、方式、线路和污染土壤数量、去向、最终处置措施等，提前报所在地和接收地生态环境主管部门。</w:t>
            </w:r>
          </w:p>
        </w:tc>
      </w:tr>
      <w:tr>
        <w:trPr>
          <w:trHeight w:val="90"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《中华人民共和国土壤污染防治法》第九十一条第（三）项 </w:t>
            </w:r>
            <w:r>
              <w:rPr>
                <w:rFonts w:hint="default" w:ascii="Times New Roman" w:hAnsi="Times New Roman" w:cs="Times New Roman"/>
                <w:color w:val="auto"/>
                <w:sz w:val="21"/>
                <w:szCs w:val="21"/>
                <w:shd w:val="clear" w:color="auto" w:fill="auto"/>
              </w:rPr>
              <w:t>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w:t>
            </w:r>
          </w:p>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（三）转运污染土壤，未将运输时间、方式、线路和污染土壤数量、去向、最终处置措施等提前报所在地和接收地生态环境主管部门的。</w:t>
            </w:r>
          </w:p>
        </w:tc>
      </w:tr>
      <w:tr>
        <w:trPr>
          <w:trHeight w:val="340"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40"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★转运土壤</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数量</w:t>
            </w: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2吨以下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2吨以上5吨以下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5吨以上10吨以下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10吨以上20吨以下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20吨以上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rPr>
              <w:t>土壤</w:t>
            </w:r>
            <w:r>
              <w:rPr>
                <w:rFonts w:hint="default" w:ascii="Times New Roman" w:hAnsi="Times New Roman" w:cs="Times New Roman"/>
                <w:b/>
                <w:bCs/>
                <w:color w:val="auto"/>
                <w:sz w:val="20"/>
                <w:szCs w:val="20"/>
                <w:shd w:val="clear" w:color="auto" w:fill="auto"/>
                <w:lang w:val="en-US"/>
              </w:rPr>
              <w:t>环境</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敏感度</w:t>
            </w: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第二类建设用地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第一类建设用地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严格管控类农用地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安全利用类农用地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优先保护类农用地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企业规模</w:t>
            </w:r>
          </w:p>
        </w:tc>
        <w:tc>
          <w:tcPr>
            <w:tcW w:w="5043" w:type="dxa"/>
            <w:vAlign w:val="center"/>
          </w:tcPr>
          <w:p>
            <w:pPr>
              <w:shd w:val="clear" w:color="auto" w:fill="auto"/>
              <w:snapToGrid w:val="0"/>
              <w:spacing w:before="0" w:beforeAutospacing="0" w:after="0" w:afterAutospacing="0" w:line="240" w:lineRule="auto"/>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240" w:lineRule="auto"/>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240" w:lineRule="auto"/>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40"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区域影响</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县级行政区域内</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跨县级行政区域</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跨市级行政区域</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跨省级行政区域</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40"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40"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40"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40"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r>
              <w:rPr>
                <w:rFonts w:hint="default" w:ascii="Times New Roman" w:hAnsi="Times New Roman" w:cs="Times New Roman"/>
                <w:b/>
                <w:bCs/>
                <w:color w:val="auto"/>
                <w:sz w:val="20"/>
                <w:szCs w:val="20"/>
                <w:shd w:val="clear" w:color="auto" w:fill="auto"/>
                <w:lang w:val="en-US"/>
              </w:rPr>
              <w:t>改正时间</w:t>
            </w:r>
          </w:p>
        </w:tc>
        <w:tc>
          <w:tcPr>
            <w:tcW w:w="504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kern w:val="2"/>
                <w:sz w:val="21"/>
                <w:szCs w:val="21"/>
                <w:shd w:val="clear" w:color="auto" w:fill="auto"/>
                <w:lang w:eastAsia="zh-CN"/>
              </w:rPr>
              <w:t>限期改正</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7天以上</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649"/>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firstLine="643"/>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（五）土壤污染防治类</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71" w:name="_Toc8339"/>
            <w:r>
              <w:rPr>
                <w:rFonts w:hint="default" w:ascii="Times New Roman" w:hAnsi="Times New Roman" w:cs="Times New Roman"/>
                <w:color w:val="auto"/>
                <w:sz w:val="20"/>
                <w:szCs w:val="20"/>
                <w:shd w:val="clear" w:color="auto" w:fill="auto"/>
              </w:rPr>
              <w:t>13</w:t>
            </w:r>
            <w:bookmarkEnd w:id="271"/>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firstLine="420"/>
              <w:outlineLvl w:val="9"/>
              <w:rPr>
                <w:rFonts w:hint="default" w:ascii="Times New Roman" w:hAnsi="Times New Roman" w:cs="Times New Roman"/>
                <w:color w:val="auto"/>
                <w:sz w:val="20"/>
                <w:szCs w:val="20"/>
                <w:shd w:val="clear" w:color="auto" w:fill="auto"/>
              </w:rPr>
            </w:pPr>
            <w:bookmarkStart w:id="272" w:name="_Toc13455"/>
            <w:r>
              <w:rPr>
                <w:rFonts w:hint="default" w:ascii="Times New Roman" w:hAnsi="Times New Roman" w:cs="Times New Roman"/>
                <w:color w:val="auto"/>
                <w:sz w:val="20"/>
                <w:szCs w:val="20"/>
                <w:shd w:val="clear" w:color="auto" w:fill="auto"/>
              </w:rPr>
              <w:t>未达到土壤污染风险评估报告确定的风险管控、修复目标的建设用地地块，开工建设与风险管控、修复无关的项目的</w:t>
            </w:r>
            <w:bookmarkEnd w:id="272"/>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《中华人民共和国土壤污染防治法》第六十六条第三款 </w:t>
            </w:r>
            <w:r>
              <w:rPr>
                <w:rFonts w:hint="default" w:ascii="Times New Roman" w:hAnsi="Times New Roman" w:cs="Times New Roman"/>
                <w:color w:val="auto"/>
                <w:sz w:val="21"/>
                <w:szCs w:val="21"/>
                <w:shd w:val="clear" w:color="auto" w:fill="auto"/>
              </w:rPr>
              <w:t>未达到土壤污染风险评估报告确定的风险管控、修复目标的建设用地地块，禁止开工建设任何与风险管控、修复无关的项目。</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《中华人民共和国土壤污染防治法》第九十一条第（四）项 </w:t>
            </w:r>
            <w:r>
              <w:rPr>
                <w:rFonts w:hint="default" w:ascii="Times New Roman" w:hAnsi="Times New Roman" w:cs="Times New Roman"/>
                <w:color w:val="auto"/>
                <w:sz w:val="21"/>
                <w:szCs w:val="21"/>
                <w:shd w:val="clear" w:color="auto" w:fill="auto"/>
              </w:rPr>
              <w:t>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w:t>
            </w:r>
          </w:p>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（四）未达到土壤污染风险评估报告确定的风险管控、修复目标的建设用地地块，开工建设与风险管控、修复无关的项目的。</w:t>
            </w:r>
          </w:p>
        </w:tc>
      </w:tr>
      <w:tr>
        <w:trPr>
          <w:trHeight w:val="448"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48"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情况</w:t>
            </w: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1"/>
                <w:szCs w:val="21"/>
                <w:shd w:val="clear" w:color="auto" w:fill="auto"/>
                <w:lang w:eastAsia="zh-CN"/>
              </w:rPr>
            </w:pPr>
            <w:r>
              <w:rPr>
                <w:rFonts w:hint="default" w:ascii="Times New Roman" w:hAnsi="Times New Roman" w:cs="Times New Roman"/>
                <w:color w:val="auto"/>
                <w:sz w:val="21"/>
                <w:szCs w:val="21"/>
                <w:shd w:val="clear" w:color="auto" w:fill="auto"/>
                <w:lang w:eastAsia="zh-CN"/>
              </w:rPr>
              <w:t>为开工建设做准备的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eastAsia="zh-CN"/>
              </w:rPr>
              <w:t>2</w:t>
            </w:r>
          </w:p>
        </w:tc>
      </w:tr>
      <w:tr>
        <w:trPr>
          <w:trHeight w:val="448"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项目已开工，但未建成</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3</w:t>
            </w:r>
          </w:p>
        </w:tc>
      </w:tr>
      <w:tr>
        <w:trPr>
          <w:trHeight w:val="448"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项目已基本建成，但未投入使用</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48"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项目已建成并投入使用的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48"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项目类型</w:t>
            </w: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工业项目</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8"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商业项目</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8"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民生项目</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48"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48"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48"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48"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448"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项目</w:t>
            </w:r>
            <w:r>
              <w:rPr>
                <w:rFonts w:hint="default" w:ascii="Times New Roman" w:hAnsi="Times New Roman" w:cs="Times New Roman"/>
                <w:b/>
                <w:bCs/>
                <w:color w:val="auto"/>
                <w:sz w:val="20"/>
                <w:szCs w:val="20"/>
                <w:shd w:val="clear" w:color="auto" w:fill="auto"/>
              </w:rPr>
              <w:t>占地</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面积</w:t>
            </w: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8"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以上5000m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48"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以上10000m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8"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以上20000m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48"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48"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建设用地</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类型</w:t>
            </w: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第二类建设用地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8"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第一类建设用地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649"/>
      </w:tblGrid>
      <w:tr>
        <w:trPr>
          <w:trHeight w:val="369" w:hRule="atLeast"/>
          <w:jc w:val="center"/>
        </w:trPr>
        <w:tc>
          <w:tcPr>
            <w:tcW w:w="9060" w:type="dxa"/>
            <w:gridSpan w:val="3"/>
            <w:vAlign w:val="center"/>
          </w:tcPr>
          <w:p>
            <w:pPr>
              <w:shd w:val="clear" w:color="auto" w:fill="auto"/>
              <w:wordWrap/>
              <w:adjustRightInd/>
              <w:snapToGrid w:val="0"/>
              <w:spacing w:before="0" w:beforeAutospacing="0" w:after="0" w:afterAutospacing="0" w:line="340" w:lineRule="exact"/>
              <w:ind w:left="0" w:right="0" w:firstLine="643"/>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（五）土壤污染防治类</w:t>
            </w:r>
          </w:p>
        </w:tc>
      </w:tr>
      <w:tr>
        <w:trPr>
          <w:trHeight w:val="369" w:hRule="atLeast"/>
          <w:jc w:val="center"/>
        </w:trPr>
        <w:tc>
          <w:tcPr>
            <w:tcW w:w="136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wordWrap/>
              <w:adjustRightInd/>
              <w:snapToGrid w:val="0"/>
              <w:spacing w:before="0" w:beforeAutospacing="0" w:after="0" w:afterAutospacing="0" w:line="34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273" w:name="_Toc19426"/>
            <w:r>
              <w:rPr>
                <w:rFonts w:hint="default" w:ascii="Times New Roman" w:hAnsi="Times New Roman" w:cs="Times New Roman"/>
                <w:color w:val="auto"/>
                <w:sz w:val="20"/>
                <w:szCs w:val="20"/>
                <w:shd w:val="clear" w:color="auto" w:fill="auto"/>
              </w:rPr>
              <w:t>14</w:t>
            </w:r>
            <w:bookmarkEnd w:id="273"/>
          </w:p>
        </w:tc>
      </w:tr>
      <w:tr>
        <w:trPr>
          <w:trHeight w:val="369" w:hRule="atLeast"/>
          <w:jc w:val="center"/>
        </w:trPr>
        <w:tc>
          <w:tcPr>
            <w:tcW w:w="136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wordWrap/>
              <w:adjustRightInd/>
              <w:snapToGrid w:val="0"/>
              <w:spacing w:before="0" w:beforeAutospacing="0" w:after="0" w:afterAutospacing="0" w:line="34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274" w:name="_Toc16584"/>
            <w:r>
              <w:rPr>
                <w:rFonts w:hint="default" w:ascii="Times New Roman" w:hAnsi="Times New Roman" w:cs="Times New Roman"/>
                <w:color w:val="auto"/>
                <w:sz w:val="20"/>
                <w:szCs w:val="20"/>
                <w:shd w:val="clear" w:color="auto" w:fill="auto"/>
              </w:rPr>
              <w:t>土壤污染责任人或者土地使用权人未按照规定实施后期管理的</w:t>
            </w:r>
            <w:bookmarkEnd w:id="274"/>
          </w:p>
        </w:tc>
      </w:tr>
      <w:tr>
        <w:trPr>
          <w:trHeight w:val="369" w:hRule="atLeast"/>
          <w:jc w:val="center"/>
        </w:trPr>
        <w:tc>
          <w:tcPr>
            <w:tcW w:w="136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pStyle w:val="19"/>
              <w:shd w:val="clear" w:color="auto" w:fill="auto"/>
              <w:wordWrap/>
              <w:adjustRightInd/>
              <w:spacing w:before="0" w:beforeAutospacing="0" w:after="0" w:afterAutospacing="0" w:line="340" w:lineRule="exact"/>
              <w:ind w:left="0" w:right="0" w:firstLine="422"/>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《中华人民共和国土壤污染防治法》第四十二条第三款 </w:t>
            </w:r>
            <w:r>
              <w:rPr>
                <w:rFonts w:hint="default" w:ascii="Times New Roman" w:hAnsi="Times New Roman" w:cs="Times New Roman"/>
                <w:color w:val="auto"/>
                <w:sz w:val="21"/>
                <w:szCs w:val="21"/>
                <w:shd w:val="clear" w:color="auto" w:fill="auto"/>
              </w:rPr>
              <w:t>风险管控、修复活动完成后，需要实施后期管理的，土壤污染责任人应当按照要求实施后期管理。</w:t>
            </w:r>
          </w:p>
        </w:tc>
      </w:tr>
      <w:tr>
        <w:trPr>
          <w:trHeight w:val="369" w:hRule="atLeast"/>
          <w:jc w:val="center"/>
        </w:trPr>
        <w:tc>
          <w:tcPr>
            <w:tcW w:w="136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pStyle w:val="19"/>
              <w:shd w:val="clear" w:color="auto" w:fill="auto"/>
              <w:wordWrap/>
              <w:adjustRightInd/>
              <w:spacing w:before="0" w:beforeAutospacing="0" w:after="0" w:afterAutospacing="0" w:line="340" w:lineRule="exact"/>
              <w:ind w:left="0" w:right="0" w:firstLine="422"/>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《中华人民共和国土壤污染防治法》第九十二条 </w:t>
            </w:r>
            <w:r>
              <w:rPr>
                <w:rFonts w:hint="default" w:ascii="Times New Roman" w:hAnsi="Times New Roman" w:cs="Times New Roman"/>
                <w:color w:val="auto"/>
                <w:sz w:val="21"/>
                <w:szCs w:val="21"/>
                <w:shd w:val="clear" w:color="auto" w:fill="auto"/>
              </w:rPr>
              <w:t>违反本法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w:t>
            </w:r>
          </w:p>
        </w:tc>
      </w:tr>
      <w:tr>
        <w:trPr>
          <w:trHeight w:val="369" w:hRule="atLeast"/>
          <w:jc w:val="center"/>
        </w:trPr>
        <w:tc>
          <w:tcPr>
            <w:tcW w:w="136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wordWrap/>
              <w:adjustRightInd/>
              <w:snapToGrid w:val="0"/>
              <w:spacing w:before="0" w:beforeAutospacing="0" w:after="0" w:afterAutospacing="0" w:line="340" w:lineRule="exact"/>
              <w:ind w:left="0" w:right="0" w:firstLine="422"/>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wordWrap/>
              <w:adjustRightInd/>
              <w:snapToGrid w:val="0"/>
              <w:spacing w:before="0" w:beforeAutospacing="0" w:after="0" w:afterAutospacing="0" w:line="340" w:lineRule="exact"/>
              <w:ind w:left="0" w:right="0" w:firstLine="422"/>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jc w:val="center"/>
        </w:trPr>
        <w:tc>
          <w:tcPr>
            <w:tcW w:w="1368" w:type="dxa"/>
            <w:vMerge w:val="restart"/>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43" w:type="dxa"/>
            <w:vAlign w:val="center"/>
          </w:tcPr>
          <w:p>
            <w:pPr>
              <w:pStyle w:val="19"/>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已实施后期管理，但未按照要求的</w:t>
            </w:r>
          </w:p>
        </w:tc>
        <w:tc>
          <w:tcPr>
            <w:tcW w:w="2649" w:type="dxa"/>
            <w:vAlign w:val="center"/>
          </w:tcPr>
          <w:p>
            <w:pPr>
              <w:pStyle w:val="19"/>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369" w:hRule="atLeast"/>
          <w:jc w:val="center"/>
        </w:trPr>
        <w:tc>
          <w:tcPr>
            <w:tcW w:w="1368" w:type="dxa"/>
            <w:vMerge w:val="continue"/>
            <w:vAlign w:val="center"/>
          </w:tcPr>
          <w:p>
            <w:pPr>
              <w:shd w:val="clear" w:color="auto" w:fill="auto"/>
              <w:wordWrap/>
              <w:adjustRightInd/>
              <w:snapToGrid w:val="0"/>
              <w:spacing w:before="0" w:beforeAutospacing="0" w:after="0" w:afterAutospacing="0" w:line="340" w:lineRule="exact"/>
              <w:ind w:left="0" w:right="0"/>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未实施后期管理的</w:t>
            </w:r>
          </w:p>
        </w:tc>
        <w:tc>
          <w:tcPr>
            <w:tcW w:w="2649"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68" w:type="dxa"/>
            <w:vMerge w:val="restart"/>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涉及面积</w:t>
            </w:r>
          </w:p>
        </w:tc>
        <w:tc>
          <w:tcPr>
            <w:tcW w:w="5043" w:type="dxa"/>
            <w:vAlign w:val="center"/>
          </w:tcPr>
          <w:p>
            <w:pPr>
              <w:pStyle w:val="18"/>
              <w:shd w:val="clear" w:color="auto" w:fill="auto"/>
              <w:wordWrap/>
              <w:adjustRightInd/>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wordWrap/>
              <w:adjustRightInd/>
              <w:snapToGrid w:val="0"/>
              <w:spacing w:before="0" w:beforeAutospacing="0" w:after="0" w:afterAutospacing="0" w:line="340" w:lineRule="exact"/>
              <w:ind w:left="0" w:right="0" w:firstLine="422"/>
              <w:jc w:val="center"/>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wordWrap/>
              <w:adjustRightInd/>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以上5000m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368" w:type="dxa"/>
            <w:vMerge w:val="continue"/>
            <w:vAlign w:val="center"/>
          </w:tcPr>
          <w:p>
            <w:pPr>
              <w:shd w:val="clear" w:color="auto" w:fill="auto"/>
              <w:wordWrap/>
              <w:adjustRightInd/>
              <w:snapToGrid w:val="0"/>
              <w:spacing w:before="0" w:beforeAutospacing="0" w:after="0" w:afterAutospacing="0" w:line="340" w:lineRule="exact"/>
              <w:ind w:left="0" w:right="0" w:firstLine="422"/>
              <w:jc w:val="center"/>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以上10000m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以下</w:t>
            </w:r>
          </w:p>
        </w:tc>
        <w:tc>
          <w:tcPr>
            <w:tcW w:w="2649"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68" w:type="dxa"/>
            <w:vMerge w:val="continue"/>
            <w:vAlign w:val="center"/>
          </w:tcPr>
          <w:p>
            <w:pPr>
              <w:shd w:val="clear" w:color="auto" w:fill="auto"/>
              <w:wordWrap/>
              <w:adjustRightInd/>
              <w:snapToGrid w:val="0"/>
              <w:spacing w:before="0" w:beforeAutospacing="0" w:after="0" w:afterAutospacing="0" w:line="340" w:lineRule="exact"/>
              <w:ind w:left="0" w:right="0" w:firstLine="422"/>
              <w:jc w:val="center"/>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wordWrap/>
              <w:adjustRightInd/>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以上20000m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368" w:type="dxa"/>
            <w:vMerge w:val="continue"/>
            <w:vAlign w:val="center"/>
          </w:tcPr>
          <w:p>
            <w:pPr>
              <w:shd w:val="clear" w:color="auto" w:fill="auto"/>
              <w:wordWrap/>
              <w:adjustRightInd/>
              <w:snapToGrid w:val="0"/>
              <w:spacing w:before="0" w:beforeAutospacing="0" w:after="0" w:afterAutospacing="0" w:line="340" w:lineRule="exact"/>
              <w:ind w:left="0" w:right="0" w:firstLine="422"/>
              <w:jc w:val="center"/>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wordWrap/>
              <w:adjustRightInd/>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w:t>
            </w:r>
          </w:p>
        </w:tc>
        <w:tc>
          <w:tcPr>
            <w:tcW w:w="2649"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68" w:type="dxa"/>
            <w:vMerge w:val="restart"/>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土壤环境</w:t>
            </w:r>
          </w:p>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敏感度</w:t>
            </w:r>
          </w:p>
        </w:tc>
        <w:tc>
          <w:tcPr>
            <w:tcW w:w="5043" w:type="dxa"/>
            <w:vAlign w:val="center"/>
          </w:tcPr>
          <w:p>
            <w:pPr>
              <w:pStyle w:val="18"/>
              <w:shd w:val="clear" w:color="auto" w:fill="auto"/>
              <w:wordWrap/>
              <w:adjustRightInd/>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第二类建设用地</w:t>
            </w:r>
          </w:p>
        </w:tc>
        <w:tc>
          <w:tcPr>
            <w:tcW w:w="2649"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wordWrap/>
              <w:adjustRightInd/>
              <w:snapToGrid w:val="0"/>
              <w:spacing w:before="0" w:beforeAutospacing="0" w:after="0" w:afterAutospacing="0" w:line="340" w:lineRule="exact"/>
              <w:ind w:left="0" w:right="0" w:firstLine="422"/>
              <w:jc w:val="center"/>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第一类建设用地</w:t>
            </w:r>
          </w:p>
        </w:tc>
        <w:tc>
          <w:tcPr>
            <w:tcW w:w="2649"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368" w:type="dxa"/>
            <w:vMerge w:val="continue"/>
            <w:vAlign w:val="center"/>
          </w:tcPr>
          <w:p>
            <w:pPr>
              <w:shd w:val="clear" w:color="auto" w:fill="auto"/>
              <w:wordWrap/>
              <w:adjustRightInd/>
              <w:snapToGrid w:val="0"/>
              <w:spacing w:before="0" w:beforeAutospacing="0" w:after="0" w:afterAutospacing="0" w:line="340" w:lineRule="exact"/>
              <w:ind w:left="0" w:right="0"/>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wordWrap/>
              <w:adjustRightInd/>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严格管控类农用地</w:t>
            </w:r>
          </w:p>
        </w:tc>
        <w:tc>
          <w:tcPr>
            <w:tcW w:w="2649"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68" w:type="dxa"/>
            <w:vMerge w:val="continue"/>
            <w:vAlign w:val="center"/>
          </w:tcPr>
          <w:p>
            <w:pPr>
              <w:shd w:val="clear" w:color="auto" w:fill="auto"/>
              <w:wordWrap/>
              <w:adjustRightInd/>
              <w:snapToGrid w:val="0"/>
              <w:spacing w:before="0" w:beforeAutospacing="0" w:after="0" w:afterAutospacing="0" w:line="340" w:lineRule="exact"/>
              <w:ind w:left="0" w:right="0"/>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安全利用类农用地</w:t>
            </w:r>
          </w:p>
        </w:tc>
        <w:tc>
          <w:tcPr>
            <w:tcW w:w="2649"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368" w:type="dxa"/>
            <w:vMerge w:val="continue"/>
            <w:vAlign w:val="center"/>
          </w:tcPr>
          <w:p>
            <w:pPr>
              <w:shd w:val="clear" w:color="auto" w:fill="auto"/>
              <w:wordWrap/>
              <w:adjustRightInd/>
              <w:snapToGrid w:val="0"/>
              <w:spacing w:before="0" w:beforeAutospacing="0" w:after="0" w:afterAutospacing="0" w:line="340" w:lineRule="exact"/>
              <w:ind w:left="0" w:right="0"/>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优先保护类农用地</w:t>
            </w:r>
          </w:p>
        </w:tc>
        <w:tc>
          <w:tcPr>
            <w:tcW w:w="2649"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68" w:type="dxa"/>
            <w:vMerge w:val="restart"/>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043"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368"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368"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wordWrap/>
              <w:adjustRightInd/>
              <w:snapToGrid w:val="0"/>
              <w:spacing w:before="0" w:beforeAutospacing="0" w:after="0" w:afterAutospacing="0" w:line="340" w:lineRule="exact"/>
              <w:ind w:left="0" w:right="0" w:firstLine="0" w:firstLineChars="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9"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368" w:type="dxa"/>
            <w:vMerge w:val="restart"/>
            <w:vAlign w:val="center"/>
          </w:tcPr>
          <w:p>
            <w:pPr>
              <w:widowControl w:val="0"/>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43"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jc w:val="center"/>
        </w:trPr>
        <w:tc>
          <w:tcPr>
            <w:tcW w:w="1368" w:type="dxa"/>
            <w:vMerge w:val="continue"/>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jc w:val="center"/>
        </w:trPr>
        <w:tc>
          <w:tcPr>
            <w:tcW w:w="1368" w:type="dxa"/>
            <w:vMerge w:val="continue"/>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jc w:val="center"/>
        </w:trPr>
        <w:tc>
          <w:tcPr>
            <w:tcW w:w="1368" w:type="dxa"/>
            <w:vMerge w:val="continue"/>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jc w:val="center"/>
        </w:trPr>
        <w:tc>
          <w:tcPr>
            <w:tcW w:w="1368" w:type="dxa"/>
            <w:vMerge w:val="continue"/>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69" w:hRule="atLeast"/>
          <w:jc w:val="center"/>
        </w:trPr>
        <w:tc>
          <w:tcPr>
            <w:tcW w:w="1368" w:type="dxa"/>
            <w:vMerge w:val="restart"/>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lang w:val="en-US" w:eastAsia="zh-CN"/>
              </w:rPr>
            </w:pPr>
            <w:r>
              <w:rPr>
                <w:rFonts w:hint="default" w:ascii="Times New Roman" w:hAnsi="Times New Roman" w:cs="Times New Roman"/>
                <w:b/>
                <w:bCs/>
                <w:color w:val="auto"/>
                <w:sz w:val="20"/>
                <w:szCs w:val="20"/>
                <w:shd w:val="clear" w:color="auto" w:fill="auto"/>
                <w:lang w:val="en-US"/>
              </w:rPr>
              <w:t>改正时间</w:t>
            </w:r>
          </w:p>
        </w:tc>
        <w:tc>
          <w:tcPr>
            <w:tcW w:w="5043"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kern w:val="2"/>
                <w:sz w:val="21"/>
                <w:szCs w:val="21"/>
                <w:shd w:val="clear" w:color="auto" w:fill="auto"/>
                <w:lang w:eastAsia="zh-CN"/>
              </w:rPr>
              <w:t>限期改正</w:t>
            </w:r>
          </w:p>
        </w:tc>
        <w:tc>
          <w:tcPr>
            <w:tcW w:w="2649"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69" w:hRule="atLeast"/>
          <w:jc w:val="center"/>
        </w:trPr>
        <w:tc>
          <w:tcPr>
            <w:tcW w:w="1368"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043"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9"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368"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2649"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69" w:hRule="atLeast"/>
          <w:jc w:val="center"/>
        </w:trPr>
        <w:tc>
          <w:tcPr>
            <w:tcW w:w="1368"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2649"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043"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2"/>
              <w:rPr>
                <w:rFonts w:hint="default" w:ascii="Times New Roman" w:hAnsi="Times New Roman" w:cs="Times New Roman"/>
                <w:b/>
                <w:bCs/>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649"/>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firstLine="643"/>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（五）土壤污染防治类</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15</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被检查者拒不配合检查，或者在接受检查时弄虚作假的</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pStyle w:val="19"/>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《中华人民共和国土壤污染防治法》第七十七条第二款 </w:t>
            </w:r>
            <w:r>
              <w:rPr>
                <w:rFonts w:hint="default" w:ascii="Times New Roman" w:hAnsi="Times New Roman" w:cs="Times New Roman"/>
                <w:color w:val="auto"/>
                <w:sz w:val="21"/>
                <w:szCs w:val="21"/>
                <w:shd w:val="clear" w:color="auto" w:fill="auto"/>
              </w:rPr>
              <w:t>被检查者应当配合检查工作，如实反映情况，提供必要的资料。</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pStyle w:val="19"/>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《中华人民共和国土壤污染防治法》第九十三条 </w:t>
            </w:r>
            <w:r>
              <w:rPr>
                <w:rFonts w:hint="default" w:ascii="Times New Roman" w:hAnsi="Times New Roman" w:cs="Times New Roman"/>
                <w:color w:val="auto"/>
                <w:sz w:val="21"/>
                <w:szCs w:val="21"/>
                <w:shd w:val="clear" w:color="auto" w:fill="auto"/>
              </w:rPr>
              <w:t>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★拒绝检查</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情形</w:t>
            </w: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迟滞10分钟以上30分钟以</w:t>
            </w:r>
            <w:r>
              <w:rPr>
                <w:rFonts w:hint="default" w:ascii="Times New Roman" w:hAnsi="Times New Roman" w:cs="Times New Roman"/>
                <w:color w:val="auto"/>
                <w:sz w:val="21"/>
                <w:szCs w:val="21"/>
                <w:shd w:val="clear" w:color="auto" w:fill="auto"/>
                <w:lang w:eastAsia="zh-CN"/>
              </w:rPr>
              <w:t>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1"/>
                <w:szCs w:val="21"/>
                <w:shd w:val="clear" w:color="auto" w:fill="auto"/>
                <w:lang w:val="en-US" w:eastAsia="zh-CN"/>
              </w:rPr>
            </w:pPr>
            <w:r>
              <w:rPr>
                <w:rFonts w:hint="default" w:ascii="Times New Roman" w:hAnsi="Times New Roman" w:cs="Times New Roman"/>
                <w:color w:val="auto"/>
                <w:sz w:val="21"/>
                <w:szCs w:val="21"/>
                <w:shd w:val="clear" w:color="auto" w:fill="auto"/>
              </w:rPr>
              <w:t>迟滞</w:t>
            </w:r>
            <w:r>
              <w:rPr>
                <w:rFonts w:hint="default" w:ascii="Times New Roman" w:hAnsi="Times New Roman" w:cs="Times New Roman"/>
                <w:color w:val="auto"/>
                <w:sz w:val="21"/>
                <w:szCs w:val="21"/>
                <w:shd w:val="clear" w:color="auto" w:fill="auto"/>
                <w:lang w:val="en-US" w:eastAsia="zh-CN"/>
              </w:rPr>
              <w:t>30分钟以上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阻碍或隐匿部分资料</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围堵、滞留执法人员或拒绝提供资料</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暴力抗法</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★弄虚作假</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情形</w:t>
            </w:r>
          </w:p>
        </w:tc>
        <w:tc>
          <w:tcPr>
            <w:tcW w:w="5043" w:type="dxa"/>
            <w:vAlign w:val="center"/>
          </w:tcPr>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00" w:lineRule="exact"/>
              <w:ind w:left="0" w:right="0" w:firstLine="0" w:firstLineChars="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提供假信息</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伪造现场或证据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土壤环境</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rPr>
              <w:t>敏感度</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1"/>
                <w:szCs w:val="21"/>
                <w:shd w:val="clear" w:color="auto" w:fill="auto"/>
              </w:rPr>
              <w:t>第二类建设用地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firstLineChars="0"/>
              <w:jc w:val="center"/>
              <w:rPr>
                <w:rFonts w:hint="default" w:ascii="Times New Roman" w:hAnsi="Times New Roman" w:cs="Times New Roman"/>
                <w:b/>
                <w:bCs/>
                <w:color w:val="auto"/>
                <w:sz w:val="20"/>
                <w:szCs w:val="20"/>
                <w:shd w:val="clear" w:color="auto" w:fill="auto"/>
                <w:lang w:eastAsia="zh-CN"/>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第一类建设用地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lang w:eastAsia="zh-CN"/>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1"/>
                <w:szCs w:val="21"/>
                <w:shd w:val="clear" w:color="auto" w:fill="auto"/>
              </w:rPr>
              <w:t>严格管控类农用地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lang w:eastAsia="zh-CN"/>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安全利用类农用地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lang w:eastAsia="zh-CN"/>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优先保护类农用地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cs="Times New Roman"/>
                <w:color w:val="auto"/>
                <w:sz w:val="20"/>
                <w:szCs w:val="20"/>
                <w:shd w:val="clear" w:color="auto" w:fill="auto"/>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043" w:type="dxa"/>
            <w:vAlign w:val="center"/>
          </w:tcPr>
          <w:p>
            <w:pPr>
              <w:shd w:val="clear" w:color="auto" w:fill="auto"/>
              <w:snapToGrid w:val="0"/>
              <w:spacing w:before="0" w:beforeAutospacing="0" w:after="0" w:afterAutospacing="0" w:line="320" w:lineRule="exact"/>
              <w:ind w:left="0" w:right="0" w:firstLine="2100" w:firstLineChars="1000"/>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登记管理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2100" w:firstLineChars="100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重点管理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646"/>
        <w:gridCol w:w="2046"/>
      </w:tblGrid>
      <w:tr>
        <w:trPr>
          <w:trHeight w:val="340" w:hRule="atLeast"/>
          <w:jc w:val="center"/>
        </w:trPr>
        <w:tc>
          <w:tcPr>
            <w:tcW w:w="9060" w:type="dxa"/>
            <w:gridSpan w:val="3"/>
            <w:vAlign w:val="center"/>
          </w:tcPr>
          <w:p>
            <w:pPr>
              <w:shd w:val="clear" w:color="auto" w:fill="auto"/>
              <w:snapToGrid w:val="0"/>
              <w:spacing w:before="0" w:beforeAutospacing="0" w:after="0" w:afterAutospacing="0" w:line="300" w:lineRule="exact"/>
              <w:ind w:left="0" w:right="0" w:firstLine="643"/>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（五）土壤污染防治类</w:t>
            </w:r>
          </w:p>
        </w:tc>
      </w:tr>
      <w:tr>
        <w:trPr>
          <w:trHeight w:val="340" w:hRule="atLeast"/>
          <w:jc w:val="center"/>
        </w:trPr>
        <w:tc>
          <w:tcPr>
            <w:tcW w:w="13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00" w:lineRule="exact"/>
              <w:ind w:left="0" w:right="0"/>
              <w:jc w:val="center"/>
              <w:outlineLvl w:val="9"/>
              <w:rPr>
                <w:rFonts w:hint="default" w:ascii="Times New Roman" w:hAnsi="Times New Roman" w:cs="Times New Roman"/>
                <w:color w:val="auto"/>
                <w:sz w:val="20"/>
                <w:szCs w:val="20"/>
                <w:shd w:val="clear" w:color="auto" w:fill="auto"/>
              </w:rPr>
            </w:pPr>
            <w:bookmarkStart w:id="275" w:name="_Toc21859"/>
            <w:r>
              <w:rPr>
                <w:rFonts w:hint="default" w:ascii="Times New Roman" w:hAnsi="Times New Roman" w:cs="Times New Roman"/>
                <w:color w:val="auto"/>
                <w:sz w:val="20"/>
                <w:szCs w:val="20"/>
                <w:shd w:val="clear" w:color="auto" w:fill="auto"/>
              </w:rPr>
              <w:t>16</w:t>
            </w:r>
            <w:bookmarkEnd w:id="275"/>
          </w:p>
        </w:tc>
      </w:tr>
      <w:tr>
        <w:trPr>
          <w:trHeight w:val="340" w:hRule="atLeast"/>
          <w:jc w:val="center"/>
        </w:trPr>
        <w:tc>
          <w:tcPr>
            <w:tcW w:w="13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00" w:lineRule="exact"/>
              <w:ind w:left="0" w:right="0"/>
              <w:jc w:val="center"/>
              <w:outlineLvl w:val="9"/>
              <w:rPr>
                <w:rFonts w:hint="default" w:ascii="Times New Roman" w:hAnsi="Times New Roman" w:cs="Times New Roman"/>
                <w:color w:val="auto"/>
                <w:sz w:val="20"/>
                <w:szCs w:val="20"/>
                <w:shd w:val="clear" w:color="auto" w:fill="auto"/>
              </w:rPr>
            </w:pPr>
            <w:bookmarkStart w:id="276" w:name="_Toc14924"/>
            <w:r>
              <w:rPr>
                <w:rFonts w:hint="default" w:ascii="Times New Roman" w:hAnsi="Times New Roman" w:cs="Times New Roman"/>
                <w:color w:val="auto"/>
                <w:sz w:val="20"/>
                <w:szCs w:val="20"/>
                <w:shd w:val="clear" w:color="auto" w:fill="auto"/>
              </w:rPr>
              <w:t>土壤污染责任人或者土地使用权人未按照规定进行土壤污染状况调查</w:t>
            </w:r>
            <w:bookmarkEnd w:id="276"/>
          </w:p>
        </w:tc>
      </w:tr>
      <w:tr>
        <w:trPr>
          <w:trHeight w:val="340" w:hRule="atLeast"/>
          <w:jc w:val="center"/>
        </w:trPr>
        <w:tc>
          <w:tcPr>
            <w:tcW w:w="13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pStyle w:val="19"/>
              <w:shd w:val="clear" w:color="auto" w:fill="auto"/>
              <w:snapToGrid w:val="0"/>
              <w:spacing w:before="0" w:beforeAutospacing="0" w:after="0" w:afterAutospacing="0" w:line="30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《中华人民共和国土壤污染防治法》第五十九条 </w:t>
            </w:r>
            <w:r>
              <w:rPr>
                <w:rFonts w:hint="default" w:ascii="Times New Roman" w:hAnsi="Times New Roman" w:cs="Times New Roman"/>
                <w:color w:val="auto"/>
                <w:kern w:val="2"/>
                <w:sz w:val="21"/>
                <w:szCs w:val="21"/>
                <w:shd w:val="clear" w:color="auto" w:fill="auto"/>
              </w:rPr>
              <w:t>对土壤污染状况普查、详查和监测、现场检查表明有土壤污染风险的建设用地地块，地方人民政府生态环境主管部门应当要求土地使用权人按照规定进行土壤污染状况调查。</w:t>
            </w:r>
          </w:p>
          <w:p>
            <w:pPr>
              <w:pStyle w:val="19"/>
              <w:shd w:val="clear" w:color="auto" w:fill="auto"/>
              <w:snapToGrid w:val="0"/>
              <w:spacing w:before="0" w:beforeAutospacing="0" w:after="0" w:afterAutospacing="0" w:line="300" w:lineRule="exact"/>
              <w:ind w:left="0" w:right="0" w:firstLine="420" w:firstLineChars="20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用途变更为住宅、公共管理与公共服务用地的，变更前应当按照规定进行土壤污染状况调查。</w:t>
            </w:r>
          </w:p>
          <w:p>
            <w:pPr>
              <w:pStyle w:val="19"/>
              <w:shd w:val="clear" w:color="auto" w:fill="auto"/>
              <w:snapToGrid w:val="0"/>
              <w:spacing w:before="0" w:beforeAutospacing="0" w:after="0" w:afterAutospacing="0" w:line="300" w:lineRule="exact"/>
              <w:ind w:left="0" w:right="0" w:firstLine="420" w:firstLineChars="20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前两款规定的土壤污染状况调查报告应当报地方人民政府生态环境主管部门，由地方人民政府生态环境主管部门会同自然资源主管部门组织评审。</w:t>
            </w:r>
          </w:p>
          <w:p>
            <w:pPr>
              <w:pStyle w:val="19"/>
              <w:shd w:val="clear" w:color="auto" w:fill="auto"/>
              <w:wordWrap/>
              <w:adjustRightInd/>
              <w:snapToGrid w:val="0"/>
              <w:spacing w:before="0" w:beforeAutospacing="0" w:after="0" w:afterAutospacing="0" w:line="300" w:lineRule="exact"/>
              <w:ind w:left="0" w:right="0" w:firstLine="422" w:firstLineChars="200"/>
              <w:jc w:val="left"/>
              <w:textAlignment w:val="auto"/>
              <w:rPr>
                <w:rFonts w:hint="default" w:ascii="Times New Roman" w:hAnsi="Times New Roman" w:eastAsia="宋体" w:cs="Times New Roman"/>
                <w:color w:val="auto"/>
                <w:sz w:val="21"/>
                <w:szCs w:val="21"/>
                <w:shd w:val="clear" w:color="auto" w:fill="auto"/>
              </w:rPr>
            </w:pPr>
            <w:r>
              <w:rPr>
                <w:rFonts w:hint="default" w:ascii="Times New Roman" w:hAnsi="Times New Roman" w:eastAsia="宋体" w:cs="Times New Roman"/>
                <w:b/>
                <w:bCs/>
                <w:color w:val="auto"/>
                <w:sz w:val="21"/>
                <w:szCs w:val="21"/>
                <w:shd w:val="clear" w:color="auto" w:fill="auto"/>
              </w:rPr>
              <w:t>《河南省土壤污染防治条例》第三十六条</w:t>
            </w:r>
            <w:r>
              <w:rPr>
                <w:rFonts w:hint="default" w:ascii="Times New Roman" w:hAnsi="Times New Roman" w:eastAsia="宋体" w:cs="Times New Roman"/>
                <w:color w:val="auto"/>
                <w:sz w:val="21"/>
                <w:szCs w:val="21"/>
                <w:shd w:val="clear" w:color="auto" w:fill="auto"/>
              </w:rPr>
              <w:t xml:space="preserve"> 土壤污染责任人负有实施土壤污染风险管控和修复的义务。土壤污染责任人无法认定的，土地使用权人应当实施土壤污染风险管控和修复。</w:t>
            </w:r>
          </w:p>
          <w:p>
            <w:pPr>
              <w:pStyle w:val="19"/>
              <w:shd w:val="clear" w:color="auto" w:fill="auto"/>
              <w:wordWrap/>
              <w:adjustRightInd/>
              <w:snapToGrid w:val="0"/>
              <w:spacing w:before="0" w:beforeAutospacing="0" w:after="0" w:afterAutospacing="0" w:line="300" w:lineRule="exact"/>
              <w:ind w:left="0" w:right="0" w:firstLine="420" w:firstLineChars="200"/>
              <w:jc w:val="left"/>
              <w:textAlignment w:val="auto"/>
              <w:rPr>
                <w:rFonts w:hint="default" w:ascii="Times New Roman" w:hAnsi="Times New Roman" w:eastAsia="宋体" w:cs="Times New Roman"/>
                <w:color w:val="auto"/>
                <w:sz w:val="21"/>
                <w:szCs w:val="21"/>
                <w:shd w:val="clear" w:color="auto" w:fill="auto"/>
              </w:rPr>
            </w:pPr>
            <w:r>
              <w:rPr>
                <w:rFonts w:hint="default" w:ascii="Times New Roman" w:hAnsi="Times New Roman" w:eastAsia="宋体" w:cs="Times New Roman"/>
                <w:color w:val="auto"/>
                <w:sz w:val="21"/>
                <w:szCs w:val="21"/>
                <w:shd w:val="clear" w:color="auto" w:fill="auto"/>
              </w:rPr>
              <w:t>土壤污染责任人变更的，由变更后承继其债权、债务的单位或者个人履行相关土壤污染风险管控和修复义务并承担相关费用。</w:t>
            </w:r>
          </w:p>
          <w:p>
            <w:pPr>
              <w:pStyle w:val="19"/>
              <w:shd w:val="clear" w:color="auto" w:fill="auto"/>
              <w:wordWrap/>
              <w:adjustRightInd/>
              <w:snapToGrid w:val="0"/>
              <w:spacing w:before="0" w:beforeAutospacing="0" w:after="0" w:afterAutospacing="0" w:line="300" w:lineRule="exact"/>
              <w:ind w:left="0" w:right="0" w:firstLine="420" w:firstLineChars="200"/>
              <w:jc w:val="left"/>
              <w:textAlignment w:val="auto"/>
              <w:rPr>
                <w:rFonts w:hint="default" w:ascii="Times New Roman" w:hAnsi="Times New Roman" w:eastAsia="宋体" w:cs="Times New Roman"/>
                <w:color w:val="auto"/>
                <w:sz w:val="21"/>
                <w:szCs w:val="21"/>
                <w:shd w:val="clear" w:color="auto" w:fill="auto"/>
              </w:rPr>
            </w:pPr>
            <w:r>
              <w:rPr>
                <w:rFonts w:hint="default" w:ascii="Times New Roman" w:hAnsi="Times New Roman" w:eastAsia="宋体" w:cs="Times New Roman"/>
                <w:color w:val="auto"/>
                <w:sz w:val="21"/>
                <w:szCs w:val="21"/>
                <w:shd w:val="clear" w:color="auto" w:fill="auto"/>
              </w:rPr>
              <w:t>土壤污染责任人不明确或者存在争议的，农用地由县级以上人民政府农业农村、林业主管部门会同生态环境、自然资源主管部门认定，建设用地由生态环境主管部门会同县级以上人民政府自然资源主管部门认定。</w:t>
            </w:r>
          </w:p>
          <w:p>
            <w:pPr>
              <w:pStyle w:val="19"/>
              <w:shd w:val="clear" w:color="auto" w:fill="auto"/>
              <w:snapToGrid w:val="0"/>
              <w:spacing w:before="0" w:beforeAutospacing="0" w:after="0" w:afterAutospacing="0" w:line="300" w:lineRule="exact"/>
              <w:ind w:left="0" w:right="0" w:firstLine="420" w:firstLineChars="200"/>
              <w:rPr>
                <w:rFonts w:hint="default" w:ascii="Times New Roman" w:hAnsi="Times New Roman" w:cs="Times New Roman"/>
                <w:color w:val="auto"/>
                <w:kern w:val="2"/>
                <w:sz w:val="21"/>
                <w:szCs w:val="21"/>
                <w:shd w:val="clear" w:color="auto" w:fill="auto"/>
              </w:rPr>
            </w:pPr>
            <w:r>
              <w:rPr>
                <w:rFonts w:hint="default" w:ascii="Times New Roman" w:hAnsi="Times New Roman" w:eastAsia="宋体" w:cs="Times New Roman"/>
                <w:color w:val="auto"/>
                <w:sz w:val="21"/>
                <w:szCs w:val="21"/>
                <w:shd w:val="clear" w:color="auto" w:fill="auto"/>
              </w:rPr>
              <w:t>土壤污染责任人和土地使用权人都无法认定的，县级以上人民政府及其有关部门应当组织实施土壤污染风险管控和修复。</w:t>
            </w:r>
          </w:p>
        </w:tc>
      </w:tr>
      <w:tr>
        <w:trPr>
          <w:trHeight w:val="340" w:hRule="atLeast"/>
          <w:jc w:val="center"/>
        </w:trPr>
        <w:tc>
          <w:tcPr>
            <w:tcW w:w="13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pStyle w:val="19"/>
              <w:shd w:val="clear" w:color="auto" w:fill="auto"/>
              <w:snapToGrid w:val="0"/>
              <w:spacing w:before="0" w:beforeAutospacing="0" w:after="0" w:afterAutospacing="0" w:line="30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《中华人民共和国土壤污染防治法》第九十四条第一款第（一）项 </w:t>
            </w:r>
            <w:r>
              <w:rPr>
                <w:rFonts w:hint="default" w:ascii="Times New Roman" w:hAnsi="Times New Roman" w:cs="Times New Roman"/>
                <w:color w:val="auto"/>
                <w:sz w:val="21"/>
                <w:szCs w:val="21"/>
                <w:shd w:val="clear" w:color="auto" w:fill="auto"/>
              </w:rPr>
              <w:t>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pPr>
              <w:pStyle w:val="19"/>
              <w:numPr>
                <w:ilvl w:val="0"/>
                <w:numId w:val="13"/>
              </w:numPr>
              <w:shd w:val="clear" w:color="auto" w:fill="auto"/>
              <w:snapToGrid w:val="0"/>
              <w:spacing w:before="0" w:beforeAutospacing="0" w:after="0" w:afterAutospacing="0" w:line="30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未按照规定进行土壤污染状况调查的；</w:t>
            </w:r>
          </w:p>
          <w:p>
            <w:pPr>
              <w:pStyle w:val="19"/>
              <w:shd w:val="clear" w:color="auto" w:fill="auto"/>
              <w:wordWrap/>
              <w:adjustRightInd/>
              <w:snapToGrid w:val="0"/>
              <w:spacing w:before="0" w:beforeAutospacing="0" w:after="0" w:afterAutospacing="0" w:line="300" w:lineRule="exact"/>
              <w:ind w:left="0" w:right="0" w:firstLine="420"/>
              <w:jc w:val="left"/>
              <w:textAlignment w:val="auto"/>
              <w:rPr>
                <w:rFonts w:hint="default" w:ascii="Times New Roman" w:hAnsi="Times New Roman" w:eastAsia="宋体" w:cs="Times New Roman"/>
                <w:color w:val="auto"/>
                <w:sz w:val="21"/>
                <w:szCs w:val="21"/>
                <w:shd w:val="clear" w:color="auto" w:fill="auto"/>
              </w:rPr>
            </w:pPr>
            <w:r>
              <w:rPr>
                <w:rFonts w:hint="default" w:ascii="Times New Roman" w:hAnsi="Times New Roman" w:eastAsia="宋体" w:cs="Times New Roman"/>
                <w:b/>
                <w:bCs/>
                <w:color w:val="auto"/>
                <w:sz w:val="21"/>
                <w:szCs w:val="21"/>
                <w:shd w:val="clear" w:color="auto" w:fill="auto"/>
              </w:rPr>
              <w:t xml:space="preserve">《河南省土壤污染防治条例》第六十四条第一款第一项 </w:t>
            </w:r>
            <w:r>
              <w:rPr>
                <w:rFonts w:hint="default" w:ascii="Times New Roman" w:hAnsi="Times New Roman" w:eastAsia="宋体" w:cs="Times New Roman"/>
                <w:color w:val="auto"/>
                <w:sz w:val="21"/>
                <w:szCs w:val="21"/>
                <w:shd w:val="clear" w:color="auto" w:fill="auto"/>
              </w:rPr>
              <w:t>违反本条例规定，土壤污染责任人或者土地使用权人有下列行为之一的，由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pPr>
              <w:pStyle w:val="19"/>
              <w:numPr>
                <w:numId w:val="0"/>
              </w:numPr>
              <w:shd w:val="clear" w:color="auto" w:fill="auto"/>
              <w:snapToGrid w:val="0"/>
              <w:spacing w:before="0" w:beforeAutospacing="0" w:after="0" w:afterAutospacing="0" w:line="300" w:lineRule="exact"/>
              <w:ind w:left="0" w:right="0" w:firstLine="0"/>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sz w:val="21"/>
                <w:szCs w:val="21"/>
                <w:shd w:val="clear" w:color="auto" w:fill="auto"/>
              </w:rPr>
              <w:t>（一）未按照规定进行土壤污染状况调查的；</w:t>
            </w:r>
          </w:p>
        </w:tc>
      </w:tr>
      <w:tr>
        <w:trPr>
          <w:trHeight w:val="340"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40"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已进行土壤污染状况调查，但不规范的</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3</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646"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未进行土壤污染状况调查</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5</w:t>
            </w:r>
          </w:p>
        </w:tc>
      </w:tr>
      <w:tr>
        <w:trPr>
          <w:trHeight w:val="340"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涉及面积</w:t>
            </w:r>
          </w:p>
        </w:tc>
        <w:tc>
          <w:tcPr>
            <w:tcW w:w="5646"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646"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以上5000m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以上10000m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以下</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646"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以上20000m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646"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土壤环境</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敏感度</w:t>
            </w:r>
          </w:p>
        </w:tc>
        <w:tc>
          <w:tcPr>
            <w:tcW w:w="5646"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第二类建设用地</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第一类建设用地</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646"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严格管控类农用地</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安全利用类农用地</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优先保护类农用地</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危害后果</w:t>
            </w:r>
          </w:p>
        </w:tc>
        <w:tc>
          <w:tcPr>
            <w:tcW w:w="5646"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危害后果轻微的</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646"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对耕地或地下水造成污染的</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646"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复垦土地用于农业种植的</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eastAsia="zh-CN"/>
              </w:rPr>
              <w:t>企业规模</w:t>
            </w: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lang w:val="en-US" w:eastAsia="zh-CN"/>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lang w:val="en-US" w:eastAsia="zh-CN"/>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lang w:val="en-US" w:eastAsia="zh-CN"/>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646" w:type="dxa"/>
            <w:vAlign w:val="center"/>
          </w:tcPr>
          <w:p>
            <w:pPr>
              <w:shd w:val="clear" w:color="auto" w:fill="auto"/>
              <w:snapToGrid w:val="0"/>
              <w:spacing w:before="0" w:beforeAutospacing="0" w:after="0" w:afterAutospacing="0" w:line="320" w:lineRule="exact"/>
              <w:ind w:left="0" w:right="0" w:firstLine="2310" w:firstLineChars="1100"/>
              <w:jc w:val="both"/>
              <w:rPr>
                <w:rFonts w:hint="default" w:ascii="Times New Roman" w:hAnsi="Times New Roman" w:cs="Times New Roman"/>
                <w:color w:val="auto"/>
                <w:sz w:val="21"/>
                <w:szCs w:val="21"/>
                <w:shd w:val="clear" w:color="auto" w:fill="auto"/>
                <w:lang w:val="en-US" w:eastAsia="zh-CN"/>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4</w:t>
            </w:r>
          </w:p>
        </w:tc>
      </w:tr>
      <w:tr>
        <w:trPr>
          <w:trHeight w:val="340" w:hRule="atLeast"/>
          <w:jc w:val="center"/>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6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kern w:val="2"/>
                <w:sz w:val="21"/>
                <w:szCs w:val="21"/>
                <w:shd w:val="clear" w:color="auto" w:fill="auto"/>
                <w:lang w:eastAsia="zh-CN"/>
              </w:rPr>
              <w:t>限期改正</w:t>
            </w:r>
          </w:p>
        </w:tc>
        <w:tc>
          <w:tcPr>
            <w:tcW w:w="2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2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2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40" w:hRule="atLeast"/>
          <w:jc w:val="center"/>
        </w:trPr>
        <w:tc>
          <w:tcPr>
            <w:tcW w:w="1368"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lang w:val="en-US"/>
              </w:rPr>
            </w:pPr>
            <w:r>
              <w:rPr>
                <w:rFonts w:hint="default" w:ascii="Times New Roman" w:hAnsi="Times New Roman" w:cs="Times New Roman"/>
                <w:b/>
                <w:bCs/>
                <w:color w:val="auto"/>
                <w:sz w:val="21"/>
                <w:szCs w:val="21"/>
                <w:shd w:val="clear" w:color="auto" w:fill="auto"/>
                <w:lang w:val="en-US"/>
              </w:rPr>
              <w:t>违法行为</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b/>
                <w:bCs/>
                <w:color w:val="auto"/>
                <w:sz w:val="21"/>
                <w:szCs w:val="21"/>
                <w:shd w:val="clear" w:color="auto" w:fill="auto"/>
              </w:rPr>
              <w:t>持续时间</w:t>
            </w:r>
          </w:p>
        </w:tc>
        <w:tc>
          <w:tcPr>
            <w:tcW w:w="5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0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sz w:val="21"/>
                <w:szCs w:val="21"/>
                <w:shd w:val="clear" w:color="auto" w:fill="auto"/>
              </w:rPr>
              <w:t>1</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0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sz w:val="21"/>
                <w:szCs w:val="21"/>
                <w:shd w:val="clear" w:color="auto" w:fill="auto"/>
              </w:rPr>
              <w:t>2</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0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sz w:val="21"/>
                <w:szCs w:val="21"/>
                <w:shd w:val="clear" w:color="auto" w:fill="auto"/>
              </w:rPr>
              <w:t>3</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0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sz w:val="21"/>
                <w:szCs w:val="21"/>
                <w:shd w:val="clear" w:color="auto" w:fill="auto"/>
              </w:rPr>
              <w:t>4</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0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sz w:val="21"/>
                <w:szCs w:val="21"/>
                <w:shd w:val="clear" w:color="auto" w:fill="auto"/>
              </w:rPr>
              <w:t>5</w:t>
            </w:r>
          </w:p>
        </w:tc>
      </w:tr>
      <w:tr>
        <w:trPr>
          <w:trHeight w:val="340"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firstLineChars="0"/>
              <w:jc w:val="center"/>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4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r>
    </w:tbl>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ascii="Times New Roman" w:hAnsi="Times New Roman" w:cs="Times New Roman"/>
          <w:color w:val="auto"/>
          <w:shd w:val="clear" w:color="auto" w:fill="auto"/>
        </w:rPr>
      </w:pPr>
    </w:p>
    <w:p>
      <w:pPr>
        <w:shd w:val="clear" w:color="auto" w:fill="auto"/>
        <w:snapToGrid w:val="0"/>
        <w:spacing w:line="20" w:lineRule="exact"/>
        <w:rPr>
          <w:rFonts w:ascii="Times New Roman" w:hAnsi="Times New Roman" w:cs="Times New Roman"/>
          <w:color w:val="auto"/>
          <w:shd w:val="clear" w:color="auto" w:fill="auto"/>
        </w:rPr>
      </w:pPr>
    </w:p>
    <w:p>
      <w:pPr>
        <w:shd w:val="clear" w:color="auto" w:fill="auto"/>
        <w:snapToGrid w:val="0"/>
        <w:spacing w:line="20" w:lineRule="exact"/>
        <w:rPr>
          <w:rFonts w:ascii="Times New Roman" w:hAnsi="Times New Roman" w:cs="Times New Roman"/>
          <w:color w:val="auto"/>
          <w:shd w:val="clear" w:color="auto" w:fill="auto"/>
        </w:rPr>
      </w:pPr>
    </w:p>
    <w:p>
      <w:pPr>
        <w:shd w:val="clear" w:color="auto" w:fill="auto"/>
        <w:snapToGrid w:val="0"/>
        <w:spacing w:line="20" w:lineRule="exact"/>
        <w:rPr>
          <w:rFonts w:ascii="Times New Roman" w:hAnsi="Times New Roman" w:cs="Times New Roman"/>
          <w:color w:val="auto"/>
          <w:shd w:val="clear" w:color="auto" w:fill="auto"/>
        </w:rPr>
      </w:pPr>
    </w:p>
    <w:p>
      <w:pPr>
        <w:shd w:val="clear" w:color="auto" w:fill="auto"/>
        <w:snapToGrid w:val="0"/>
        <w:spacing w:line="20" w:lineRule="exact"/>
        <w:rPr>
          <w:rFonts w:ascii="Times New Roman" w:hAnsi="Times New Roman" w:cs="Times New Roman"/>
          <w:color w:val="auto"/>
          <w:shd w:val="clear" w:color="auto" w:fill="auto"/>
        </w:rPr>
      </w:pPr>
    </w:p>
    <w:p>
      <w:pPr>
        <w:shd w:val="clear" w:color="auto" w:fill="auto"/>
        <w:snapToGrid w:val="0"/>
        <w:spacing w:line="20" w:lineRule="exact"/>
        <w:rPr>
          <w:rFonts w:ascii="Times New Roman" w:hAnsi="Times New Roman" w:cs="Times New Roman"/>
          <w:color w:val="auto"/>
          <w:shd w:val="clear" w:color="auto" w:fill="auto"/>
        </w:rPr>
      </w:pPr>
    </w:p>
    <w:p>
      <w:pPr>
        <w:shd w:val="clear" w:color="auto" w:fill="auto"/>
        <w:snapToGrid w:val="0"/>
        <w:spacing w:line="20" w:lineRule="exact"/>
        <w:rPr>
          <w:rFonts w:ascii="Times New Roman" w:hAnsi="Times New Roman" w:cs="Times New Roman"/>
          <w:color w:val="auto"/>
          <w:shd w:val="clear" w:color="auto" w:fill="auto"/>
        </w:rPr>
      </w:pPr>
    </w:p>
    <w:p>
      <w:pPr>
        <w:shd w:val="clear" w:color="auto" w:fill="auto"/>
        <w:snapToGrid w:val="0"/>
        <w:spacing w:line="20" w:lineRule="exact"/>
        <w:rPr>
          <w:rFonts w:ascii="Times New Roman" w:hAnsi="Times New Roman" w:cs="Times New Roman"/>
          <w:color w:val="auto"/>
          <w:shd w:val="clear" w:color="auto" w:fill="auto"/>
        </w:rPr>
      </w:pPr>
    </w:p>
    <w:p>
      <w:pPr>
        <w:shd w:val="clear" w:color="auto" w:fill="auto"/>
        <w:snapToGrid w:val="0"/>
        <w:spacing w:line="20" w:lineRule="exact"/>
        <w:rPr>
          <w:rFonts w:ascii="Times New Roman" w:hAnsi="Times New Roman" w:cs="Times New Roman"/>
          <w:color w:val="auto"/>
          <w:shd w:val="clear" w:color="auto" w:fill="auto"/>
        </w:rPr>
      </w:pPr>
    </w:p>
    <w:p>
      <w:pPr>
        <w:shd w:val="clear" w:color="auto" w:fill="auto"/>
        <w:snapToGrid w:val="0"/>
        <w:spacing w:line="20" w:lineRule="exact"/>
        <w:rPr>
          <w:rFonts w:ascii="Times New Roman" w:hAnsi="Times New Roman" w:cs="Times New Roman"/>
          <w:color w:val="auto"/>
          <w:shd w:val="clear" w:color="auto" w:fill="auto"/>
        </w:rPr>
      </w:pPr>
    </w:p>
    <w:p>
      <w:pPr>
        <w:shd w:val="clear" w:color="auto" w:fill="auto"/>
        <w:snapToGrid w:val="0"/>
        <w:spacing w:line="20" w:lineRule="exact"/>
        <w:rPr>
          <w:rFonts w:ascii="Times New Roman" w:hAnsi="Times New Roman" w:cs="Times New Roman"/>
          <w:color w:val="auto"/>
          <w:shd w:val="clear" w:color="auto" w:fill="auto"/>
        </w:rPr>
      </w:pPr>
    </w:p>
    <w:p>
      <w:pPr>
        <w:shd w:val="clear" w:color="auto" w:fill="auto"/>
        <w:snapToGrid w:val="0"/>
        <w:spacing w:line="20" w:lineRule="exact"/>
        <w:rPr>
          <w:rFonts w:ascii="Times New Roman" w:hAnsi="Times New Roman" w:cs="Times New Roman"/>
          <w:color w:val="auto"/>
          <w:shd w:val="clear" w:color="auto" w:fill="auto"/>
        </w:rPr>
      </w:pPr>
    </w:p>
    <w:p>
      <w:pPr>
        <w:shd w:val="clear" w:color="auto" w:fill="auto"/>
        <w:snapToGrid w:val="0"/>
        <w:spacing w:line="20" w:lineRule="exact"/>
        <w:rPr>
          <w:rFonts w:ascii="Times New Roman" w:hAnsi="Times New Roman" w:cs="Times New Roman"/>
          <w:color w:val="auto"/>
          <w:shd w:val="clear" w:color="auto" w:fill="auto"/>
        </w:rPr>
      </w:pPr>
    </w:p>
    <w:p>
      <w:pPr>
        <w:shd w:val="clear" w:color="auto" w:fill="auto"/>
        <w:snapToGrid w:val="0"/>
        <w:spacing w:line="20" w:lineRule="exact"/>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p>
      <w:pPr>
        <w:shd w:val="clear" w:color="auto" w:fill="auto"/>
        <w:snapToGrid w:val="0"/>
        <w:spacing w:line="20" w:lineRule="exact"/>
        <w:rPr>
          <w:rFonts w:ascii="Times New Roman" w:hAnsi="Times New Roman" w:cs="Times New Roman"/>
          <w:color w:val="auto"/>
          <w:shd w:val="clear" w:color="auto" w:fill="auto"/>
        </w:rPr>
      </w:pPr>
    </w:p>
    <w:p>
      <w:pPr>
        <w:shd w:val="clear" w:color="auto" w:fill="auto"/>
        <w:snapToGrid w:val="0"/>
        <w:spacing w:line="20" w:lineRule="exact"/>
        <w:rPr>
          <w:rFonts w:ascii="Times New Roman" w:hAnsi="Times New Roman" w:cs="Times New Roman"/>
          <w:color w:val="auto"/>
          <w:shd w:val="clear" w:color="auto" w:fill="auto"/>
        </w:rPr>
      </w:pPr>
    </w:p>
    <w:p>
      <w:pPr>
        <w:shd w:val="clear" w:color="auto" w:fill="auto"/>
        <w:snapToGrid w:val="0"/>
        <w:spacing w:line="20" w:lineRule="exact"/>
        <w:rPr>
          <w:rFonts w:ascii="Times New Roman" w:hAnsi="Times New Roman" w:cs="Times New Roman"/>
          <w:color w:val="auto"/>
          <w:shd w:val="clear" w:color="auto" w:fill="auto"/>
        </w:rPr>
      </w:pPr>
    </w:p>
    <w:p>
      <w:pPr>
        <w:shd w:val="clear" w:color="auto" w:fill="auto"/>
        <w:snapToGrid w:val="0"/>
        <w:spacing w:line="20" w:lineRule="exact"/>
        <w:rPr>
          <w:rFonts w:ascii="Times New Roman" w:hAnsi="Times New Roman" w:cs="Times New Roman"/>
          <w:color w:val="auto"/>
          <w:shd w:val="clear" w:color="auto" w:fill="auto"/>
        </w:rPr>
      </w:pP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646"/>
        <w:gridCol w:w="2046"/>
      </w:tblGrid>
      <w:tr>
        <w:trPr>
          <w:trHeight w:val="397" w:hRule="atLeast"/>
        </w:trPr>
        <w:tc>
          <w:tcPr>
            <w:tcW w:w="9060" w:type="dxa"/>
            <w:gridSpan w:val="3"/>
            <w:vAlign w:val="center"/>
          </w:tcPr>
          <w:p>
            <w:pPr>
              <w:shd w:val="clear" w:color="auto" w:fill="auto"/>
              <w:snapToGrid w:val="0"/>
              <w:spacing w:before="0" w:beforeAutospacing="0" w:after="0" w:afterAutospacing="0" w:line="300" w:lineRule="exact"/>
              <w:ind w:left="0" w:right="0" w:firstLine="643"/>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（五）土壤污染防治类</w:t>
            </w:r>
          </w:p>
        </w:tc>
      </w:tr>
      <w:tr>
        <w:trPr>
          <w:trHeight w:val="90" w:hRule="atLeast"/>
        </w:trPr>
        <w:tc>
          <w:tcPr>
            <w:tcW w:w="13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0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17</w:t>
            </w:r>
          </w:p>
        </w:tc>
      </w:tr>
      <w:tr>
        <w:trPr>
          <w:trHeight w:val="345" w:hRule="atLeast"/>
        </w:trPr>
        <w:tc>
          <w:tcPr>
            <w:tcW w:w="13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0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土壤污染责任人或者土地使用权人未按照规定进行土壤污染风险评估</w:t>
            </w:r>
          </w:p>
        </w:tc>
      </w:tr>
      <w:tr>
        <w:trPr>
          <w:trHeight w:val="942" w:hRule="atLeast"/>
        </w:trPr>
        <w:tc>
          <w:tcPr>
            <w:tcW w:w="13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pStyle w:val="19"/>
              <w:shd w:val="clear" w:color="auto" w:fill="auto"/>
              <w:snapToGrid w:val="0"/>
              <w:spacing w:before="0" w:beforeAutospacing="0" w:after="0" w:afterAutospacing="0" w:line="30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《中华人民共和国土壤污染防治法》第六十条 </w:t>
            </w:r>
            <w:r>
              <w:rPr>
                <w:rFonts w:hint="default" w:ascii="Times New Roman" w:hAnsi="Times New Roman" w:cs="Times New Roman"/>
                <w:color w:val="auto"/>
                <w:kern w:val="2"/>
                <w:sz w:val="21"/>
                <w:szCs w:val="21"/>
                <w:shd w:val="clear" w:color="auto" w:fill="auto"/>
              </w:rPr>
              <w:t>对土壤污染状况调查报告评审表明污染物含量超过土壤污染风险管控标准的建设用地地块，土壤污染责任人、土地使用权人应当按照国务院生态环境主管部门的规定进行土壤污染风险评估，并将土壤污染风险评估报告报省级人民政府生态环境主管部门。</w:t>
            </w:r>
          </w:p>
          <w:p>
            <w:pPr>
              <w:pStyle w:val="19"/>
              <w:shd w:val="clear" w:color="auto" w:fill="auto"/>
              <w:snapToGrid w:val="0"/>
              <w:spacing w:before="0" w:beforeAutospacing="0" w:after="0" w:afterAutospacing="0" w:line="30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0"/>
                <w:sz w:val="21"/>
                <w:szCs w:val="21"/>
                <w:shd w:val="clear" w:color="auto" w:fill="auto"/>
              </w:rPr>
              <w:t>《</w:t>
            </w:r>
            <w:r>
              <w:rPr>
                <w:rFonts w:hint="default" w:ascii="Times New Roman" w:hAnsi="Times New Roman" w:cs="Times New Roman"/>
                <w:color w:val="auto"/>
                <w:sz w:val="21"/>
                <w:szCs w:val="21"/>
                <w:shd w:val="clear" w:color="auto" w:fill="auto"/>
              </w:rPr>
              <w:t>河南省土壤污染防治条例</w:t>
            </w:r>
            <w:r>
              <w:rPr>
                <w:rFonts w:hint="default" w:ascii="Times New Roman" w:hAnsi="Times New Roman" w:cs="Times New Roman"/>
                <w:color w:val="auto"/>
                <w:kern w:val="0"/>
                <w:sz w:val="21"/>
                <w:szCs w:val="21"/>
                <w:shd w:val="clear" w:color="auto" w:fill="auto"/>
              </w:rPr>
              <w:t>》</w:t>
            </w:r>
            <w:r>
              <w:rPr>
                <w:rFonts w:hint="default" w:ascii="Times New Roman" w:hAnsi="Times New Roman" w:cs="Times New Roman"/>
                <w:color w:val="auto"/>
                <w:sz w:val="21"/>
                <w:szCs w:val="21"/>
                <w:shd w:val="clear" w:color="auto" w:fill="auto"/>
              </w:rPr>
              <w:t>第四十八条 对土壤污染状况调查报告评审表明污染物含量超过土壤污染风险管控标准的建设用地地块，土壤污染责任人、土地使用权人应当按照国务院生态环境主管部门的规定进行土壤污染风险评估，并将土壤污染风险评估报告报省人民政府生态环境主管部门。具体实施办法由省人民政府生态环境主管部门会同相关部门制定。</w:t>
            </w:r>
          </w:p>
        </w:tc>
      </w:tr>
      <w:tr>
        <w:trPr>
          <w:trHeight w:val="397" w:hRule="atLeast"/>
        </w:trPr>
        <w:tc>
          <w:tcPr>
            <w:tcW w:w="13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pStyle w:val="19"/>
              <w:shd w:val="clear" w:color="auto" w:fill="auto"/>
              <w:snapToGrid w:val="0"/>
              <w:spacing w:before="0" w:beforeAutospacing="0" w:after="0" w:afterAutospacing="0" w:line="30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《中华人民共和国土壤污染防治法》第九十四条第一款第（二）项 </w:t>
            </w:r>
            <w:r>
              <w:rPr>
                <w:rFonts w:hint="default" w:ascii="Times New Roman" w:hAnsi="Times New Roman" w:cs="Times New Roman"/>
                <w:color w:val="auto"/>
                <w:sz w:val="21"/>
                <w:szCs w:val="21"/>
                <w:shd w:val="clear" w:color="auto" w:fill="auto"/>
              </w:rPr>
              <w:t>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pPr>
              <w:pStyle w:val="19"/>
              <w:numPr>
                <w:ilvl w:val="0"/>
                <w:numId w:val="13"/>
              </w:numPr>
              <w:shd w:val="clear" w:color="auto" w:fill="auto"/>
              <w:snapToGrid w:val="0"/>
              <w:spacing w:before="0" w:beforeAutospacing="0" w:after="0" w:afterAutospacing="0" w:line="30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未按照规定进行土壤污染风险评估的；</w:t>
            </w:r>
          </w:p>
          <w:p>
            <w:pPr>
              <w:pStyle w:val="19"/>
              <w:shd w:val="clear" w:color="auto" w:fill="auto"/>
              <w:wordWrap/>
              <w:adjustRightInd/>
              <w:snapToGrid w:val="0"/>
              <w:spacing w:before="0" w:beforeAutospacing="0" w:after="0" w:afterAutospacing="0" w:line="30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《河南省土壤污染防治条例》第六十四条第一款第二项 </w:t>
            </w:r>
            <w:r>
              <w:rPr>
                <w:rFonts w:hint="default" w:ascii="Times New Roman" w:hAnsi="Times New Roman" w:cs="Times New Roman"/>
                <w:color w:val="auto"/>
                <w:sz w:val="21"/>
                <w:szCs w:val="21"/>
                <w:shd w:val="clear" w:color="auto" w:fill="auto"/>
              </w:rPr>
              <w:t>违反本条例规定，土壤污染责任人或者土地使用权人有下列行为之一的，由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pPr>
              <w:pStyle w:val="19"/>
              <w:numPr>
                <w:numId w:val="0"/>
              </w:numPr>
              <w:shd w:val="clear" w:color="auto" w:fill="auto"/>
              <w:snapToGrid w:val="0"/>
              <w:spacing w:before="0" w:beforeAutospacing="0" w:after="0" w:afterAutospacing="0" w:line="300" w:lineRule="exact"/>
              <w:ind w:left="0" w:right="0" w:firstLine="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0"/>
                <w:sz w:val="21"/>
                <w:szCs w:val="21"/>
                <w:shd w:val="clear" w:color="auto" w:fill="auto"/>
              </w:rPr>
              <w:t>（二）未按照规定进行土壤污染风险评估的；</w:t>
            </w:r>
          </w:p>
        </w:tc>
      </w:tr>
      <w:tr>
        <w:trPr>
          <w:trHeight w:val="27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43"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已进行土壤污染风险评估，但不规范的</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3</w:t>
            </w:r>
          </w:p>
        </w:tc>
      </w:tr>
      <w:tr>
        <w:trPr>
          <w:trHeight w:val="443" w:hRule="atLeast"/>
        </w:trPr>
        <w:tc>
          <w:tcPr>
            <w:tcW w:w="1368" w:type="dxa"/>
            <w:vMerge w:val="continue"/>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646"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未进行土壤污染风险评估</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5</w:t>
            </w:r>
          </w:p>
        </w:tc>
      </w:tr>
      <w:tr>
        <w:trPr>
          <w:trHeight w:val="443"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涉及面积</w:t>
            </w:r>
          </w:p>
        </w:tc>
        <w:tc>
          <w:tcPr>
            <w:tcW w:w="5646"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646"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以上5000m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以上10000m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以下</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646"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以上20000m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646"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土壤环境</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敏感度</w:t>
            </w:r>
          </w:p>
        </w:tc>
        <w:tc>
          <w:tcPr>
            <w:tcW w:w="5646"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第二类建设用地</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第一类建设用地</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646"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严格管控类农用地</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安全利用类农用地</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优先保护类农用地</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危害后果</w:t>
            </w:r>
          </w:p>
        </w:tc>
        <w:tc>
          <w:tcPr>
            <w:tcW w:w="5646"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危害后果轻微的</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646"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对耕地或地下水造成污染的</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646"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复垦土地用于农业种植的</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20" w:lineRule="exact"/>
              <w:ind w:left="0" w:right="0" w:firstLine="2310" w:firstLineChars="1100"/>
              <w:jc w:val="both"/>
              <w:rPr>
                <w:rFonts w:hint="default" w:ascii="Times New Roman" w:hAnsi="Times New Roman" w:cs="Times New Roman"/>
                <w:color w:val="auto"/>
                <w:sz w:val="20"/>
                <w:szCs w:val="20"/>
                <w:shd w:val="clear" w:color="auto" w:fill="auto"/>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违法行为</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rPr>
              <w:t>持续时间</w:t>
            </w:r>
          </w:p>
        </w:tc>
        <w:tc>
          <w:tcPr>
            <w:tcW w:w="5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0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0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0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0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1年以上的</w:t>
            </w:r>
          </w:p>
        </w:tc>
        <w:tc>
          <w:tcPr>
            <w:tcW w:w="20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改正时间</w:t>
            </w:r>
          </w:p>
        </w:tc>
        <w:tc>
          <w:tcPr>
            <w:tcW w:w="56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2" w:firstLineChars="0"/>
              <w:jc w:val="center"/>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r>
    </w:tbl>
    <w:p>
      <w:pPr>
        <w:shd w:val="clear" w:color="auto" w:fill="auto"/>
        <w:snapToGrid w:val="0"/>
        <w:spacing w:line="20" w:lineRule="exact"/>
        <w:rPr>
          <w:rFonts w:ascii="Times New Roman" w:hAnsi="Times New Roman" w:cs="Times New Roman"/>
          <w:color w:val="auto"/>
          <w:shd w:val="clear" w:color="auto" w:fill="auto"/>
        </w:rPr>
      </w:pPr>
    </w:p>
    <w:p>
      <w:pPr>
        <w:shd w:val="clear" w:color="auto" w:fill="auto"/>
        <w:snapToGrid w:val="0"/>
        <w:spacing w:line="20" w:lineRule="exact"/>
        <w:rPr>
          <w:rFonts w:ascii="Times New Roman" w:hAnsi="Times New Roman" w:cs="Times New Roman"/>
          <w:color w:val="auto"/>
          <w:shd w:val="clear" w:color="auto" w:fill="auto"/>
        </w:rPr>
      </w:pPr>
    </w:p>
    <w:p>
      <w:pPr>
        <w:shd w:val="clear" w:color="auto" w:fill="auto"/>
        <w:snapToGrid w:val="0"/>
        <w:spacing w:line="20" w:lineRule="exact"/>
        <w:rPr>
          <w:rFonts w:ascii="Times New Roman" w:hAnsi="Times New Roman" w:cs="Times New Roman"/>
          <w:color w:val="auto"/>
          <w:shd w:val="clear" w:color="auto" w:fill="auto"/>
        </w:rPr>
      </w:pPr>
    </w:p>
    <w:p>
      <w:pPr>
        <w:shd w:val="clear" w:color="auto" w:fill="auto"/>
        <w:snapToGrid w:val="0"/>
        <w:spacing w:line="20" w:lineRule="exact"/>
        <w:rPr>
          <w:rFonts w:ascii="Times New Roman" w:hAnsi="Times New Roman" w:cs="Times New Roman"/>
          <w:color w:val="auto"/>
          <w:shd w:val="clear" w:color="auto" w:fill="auto"/>
        </w:rPr>
      </w:pPr>
    </w:p>
    <w:p>
      <w:pPr>
        <w:shd w:val="clear" w:color="auto" w:fill="auto"/>
        <w:snapToGrid w:val="0"/>
        <w:spacing w:line="20" w:lineRule="exact"/>
        <w:rPr>
          <w:rFonts w:ascii="Times New Roman" w:hAnsi="Times New Roman" w:cs="Times New Roman"/>
          <w:color w:val="auto"/>
          <w:shd w:val="clear" w:color="auto" w:fill="auto"/>
        </w:rPr>
      </w:pPr>
    </w:p>
    <w:p>
      <w:pPr>
        <w:shd w:val="clear" w:color="auto" w:fill="auto"/>
        <w:snapToGrid w:val="0"/>
        <w:spacing w:line="20" w:lineRule="exact"/>
        <w:rPr>
          <w:rFonts w:ascii="Times New Roman" w:hAnsi="Times New Roman" w:cs="Times New Roman"/>
          <w:color w:val="auto"/>
          <w:shd w:val="clear" w:color="auto" w:fill="auto"/>
        </w:rPr>
      </w:pPr>
    </w:p>
    <w:p>
      <w:pPr>
        <w:shd w:val="clear" w:color="auto" w:fill="auto"/>
        <w:snapToGrid w:val="0"/>
        <w:spacing w:line="20" w:lineRule="exact"/>
        <w:rPr>
          <w:rFonts w:ascii="Times New Roman" w:hAnsi="Times New Roman" w:cs="Times New Roman"/>
          <w:color w:val="auto"/>
          <w:shd w:val="clear" w:color="auto" w:fill="auto"/>
        </w:rPr>
      </w:pPr>
    </w:p>
    <w:p>
      <w:pPr>
        <w:shd w:val="clear" w:color="auto" w:fill="auto"/>
        <w:snapToGrid w:val="0"/>
        <w:spacing w:line="20" w:lineRule="exact"/>
        <w:rPr>
          <w:rFonts w:ascii="Times New Roman" w:hAnsi="Times New Roman" w:cs="Times New Roman"/>
          <w:color w:val="auto"/>
          <w:shd w:val="clear" w:color="auto" w:fill="auto"/>
        </w:rPr>
      </w:pPr>
    </w:p>
    <w:p>
      <w:pPr>
        <w:shd w:val="clear" w:color="auto" w:fill="auto"/>
        <w:snapToGrid w:val="0"/>
        <w:spacing w:line="20" w:lineRule="exact"/>
        <w:rPr>
          <w:rFonts w:ascii="Times New Roman" w:hAnsi="Times New Roman" w:cs="Times New Roman"/>
          <w:color w:val="auto"/>
          <w:shd w:val="clear" w:color="auto" w:fill="auto"/>
        </w:rPr>
      </w:pPr>
    </w:p>
    <w:p>
      <w:pPr>
        <w:shd w:val="clear" w:color="auto" w:fill="auto"/>
        <w:snapToGrid w:val="0"/>
        <w:spacing w:line="20" w:lineRule="exact"/>
        <w:rPr>
          <w:rFonts w:ascii="Times New Roman" w:hAnsi="Times New Roman" w:cs="Times New Roman"/>
          <w:color w:val="auto"/>
          <w:shd w:val="clear" w:color="auto" w:fill="auto"/>
        </w:rPr>
      </w:pPr>
    </w:p>
    <w:p>
      <w:pPr>
        <w:shd w:val="clear" w:color="auto" w:fill="auto"/>
        <w:snapToGrid w:val="0"/>
        <w:spacing w:line="20" w:lineRule="exact"/>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649"/>
      </w:tblGrid>
      <w:tr>
        <w:trPr>
          <w:trHeight w:val="397" w:hRule="atLeast"/>
          <w:jc w:val="center"/>
        </w:trPr>
        <w:tc>
          <w:tcPr>
            <w:tcW w:w="9060" w:type="dxa"/>
            <w:gridSpan w:val="3"/>
            <w:vAlign w:val="center"/>
          </w:tcPr>
          <w:p>
            <w:pPr>
              <w:shd w:val="clear" w:color="auto" w:fill="auto"/>
              <w:snapToGrid w:val="0"/>
              <w:spacing w:before="0" w:beforeAutospacing="0" w:after="0" w:afterAutospacing="0"/>
              <w:ind w:left="0" w:right="0" w:firstLine="643"/>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（五）土壤污染防治类</w:t>
            </w:r>
          </w:p>
        </w:tc>
      </w:tr>
      <w:tr>
        <w:trPr>
          <w:trHeight w:val="397" w:hRule="atLeast"/>
          <w:jc w:val="center"/>
        </w:trPr>
        <w:tc>
          <w:tcPr>
            <w:tcW w:w="1368"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ind w:left="0" w:right="0"/>
              <w:jc w:val="center"/>
              <w:outlineLvl w:val="9"/>
              <w:rPr>
                <w:rFonts w:hint="default" w:ascii="Times New Roman" w:hAnsi="Times New Roman" w:cs="Times New Roman"/>
                <w:color w:val="auto"/>
                <w:sz w:val="20"/>
                <w:szCs w:val="20"/>
                <w:shd w:val="clear" w:color="auto" w:fill="auto"/>
              </w:rPr>
            </w:pPr>
            <w:bookmarkStart w:id="277" w:name="_Toc31666"/>
            <w:r>
              <w:rPr>
                <w:rFonts w:hint="default" w:ascii="Times New Roman" w:hAnsi="Times New Roman" w:cs="Times New Roman"/>
                <w:color w:val="auto"/>
                <w:sz w:val="20"/>
                <w:szCs w:val="20"/>
                <w:shd w:val="clear" w:color="auto" w:fill="auto"/>
              </w:rPr>
              <w:t>18</w:t>
            </w:r>
            <w:bookmarkEnd w:id="277"/>
          </w:p>
        </w:tc>
      </w:tr>
      <w:tr>
        <w:trPr>
          <w:trHeight w:val="397" w:hRule="atLeast"/>
          <w:jc w:val="center"/>
        </w:trPr>
        <w:tc>
          <w:tcPr>
            <w:tcW w:w="1368"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ind w:left="0" w:right="0"/>
              <w:jc w:val="center"/>
              <w:outlineLvl w:val="9"/>
              <w:rPr>
                <w:rFonts w:hint="default" w:ascii="Times New Roman" w:hAnsi="Times New Roman" w:cs="Times New Roman"/>
                <w:color w:val="auto"/>
                <w:sz w:val="20"/>
                <w:szCs w:val="20"/>
                <w:shd w:val="clear" w:color="auto" w:fill="auto"/>
              </w:rPr>
            </w:pPr>
            <w:bookmarkStart w:id="278" w:name="_Toc10809"/>
            <w:r>
              <w:rPr>
                <w:rFonts w:hint="default" w:ascii="Times New Roman" w:hAnsi="Times New Roman" w:cs="Times New Roman"/>
                <w:color w:val="auto"/>
                <w:sz w:val="20"/>
                <w:szCs w:val="20"/>
                <w:shd w:val="clear" w:color="auto" w:fill="auto"/>
              </w:rPr>
              <w:t>土壤污染责任人或者土地使用权人未按照规定采取风险管控措施的</w:t>
            </w:r>
            <w:bookmarkEnd w:id="278"/>
          </w:p>
        </w:tc>
      </w:tr>
      <w:tr>
        <w:trPr>
          <w:trHeight w:val="397" w:hRule="atLeast"/>
          <w:jc w:val="center"/>
        </w:trPr>
        <w:tc>
          <w:tcPr>
            <w:tcW w:w="1368"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pStyle w:val="19"/>
              <w:shd w:val="clear" w:color="auto" w:fill="auto"/>
              <w:snapToGrid w:val="0"/>
              <w:spacing w:beforeLines="20" w:beforeAutospacing="0" w:after="0" w:afterAutospacing="0" w:line="264" w:lineRule="auto"/>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《中华人民共和国土壤污染防治法》第六十二条 </w:t>
            </w:r>
            <w:r>
              <w:rPr>
                <w:rFonts w:hint="default" w:ascii="Times New Roman" w:hAnsi="Times New Roman" w:cs="Times New Roman"/>
                <w:color w:val="auto"/>
                <w:kern w:val="2"/>
                <w:sz w:val="21"/>
                <w:szCs w:val="21"/>
                <w:shd w:val="clear" w:color="auto" w:fill="auto"/>
              </w:rPr>
              <w:t>对建设用地土壤污染风险管控和修复名录中的地块，土壤污染责任人应当按照国家有关规定以及土壤污染风险评估报告的要求，采取相应的风险管控措施，并定期向地方人民政府生态环境主管部门报告。风险管控措施应当包括地下水污染防治的内容。</w:t>
            </w:r>
          </w:p>
          <w:p>
            <w:pPr>
              <w:pStyle w:val="19"/>
              <w:shd w:val="clear" w:color="auto" w:fill="auto"/>
              <w:snapToGrid w:val="0"/>
              <w:spacing w:beforeLines="20" w:beforeAutospacing="0" w:after="0" w:afterAutospacing="0" w:line="264" w:lineRule="auto"/>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0"/>
                <w:sz w:val="21"/>
                <w:szCs w:val="21"/>
                <w:shd w:val="clear" w:color="auto" w:fill="auto"/>
              </w:rPr>
              <w:t>《</w:t>
            </w:r>
            <w:r>
              <w:rPr>
                <w:rFonts w:hint="default" w:ascii="Times New Roman" w:hAnsi="Times New Roman" w:cs="Times New Roman"/>
                <w:b/>
                <w:bCs/>
                <w:color w:val="auto"/>
                <w:sz w:val="21"/>
                <w:szCs w:val="21"/>
                <w:shd w:val="clear" w:color="auto" w:fill="auto"/>
              </w:rPr>
              <w:t>河南省土壤污染防治条例</w:t>
            </w:r>
            <w:r>
              <w:rPr>
                <w:rFonts w:hint="default" w:ascii="Times New Roman" w:hAnsi="Times New Roman" w:cs="Times New Roman"/>
                <w:b/>
                <w:bCs/>
                <w:color w:val="auto"/>
                <w:kern w:val="0"/>
                <w:sz w:val="21"/>
                <w:szCs w:val="21"/>
                <w:shd w:val="clear" w:color="auto" w:fill="auto"/>
              </w:rPr>
              <w:t>》第五十条第一款</w:t>
            </w:r>
            <w:r>
              <w:rPr>
                <w:rFonts w:hint="default" w:ascii="Times New Roman" w:hAnsi="Times New Roman" w:cs="Times New Roman"/>
                <w:color w:val="auto"/>
                <w:kern w:val="0"/>
                <w:sz w:val="21"/>
                <w:szCs w:val="21"/>
                <w:shd w:val="clear" w:color="auto" w:fill="auto"/>
              </w:rPr>
              <w:t xml:space="preserve"> 对建设用地土壤污染风险管控和修复名录中的地块，土壤污染责任人应当按照国家有关规定、技术规范以及土壤污染风险评估报告的要求，采取相应的风险管控措施，并定期向设区的市人民政府生态环境主管部门报告。</w:t>
            </w:r>
          </w:p>
        </w:tc>
      </w:tr>
      <w:tr>
        <w:trPr>
          <w:trHeight w:val="397" w:hRule="atLeast"/>
          <w:jc w:val="center"/>
        </w:trPr>
        <w:tc>
          <w:tcPr>
            <w:tcW w:w="1368"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pStyle w:val="19"/>
              <w:shd w:val="clear" w:color="auto" w:fill="auto"/>
              <w:snapToGrid w:val="0"/>
              <w:spacing w:beforeLines="20" w:beforeAutospacing="0" w:after="0" w:afterAutospacing="0" w:line="264" w:lineRule="auto"/>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《中华人民共和国土壤污染防治法》第九十四条第一款第（三）项、第二款 </w:t>
            </w:r>
            <w:r>
              <w:rPr>
                <w:rFonts w:hint="default" w:ascii="Times New Roman" w:hAnsi="Times New Roman" w:cs="Times New Roman"/>
                <w:color w:val="auto"/>
                <w:sz w:val="21"/>
                <w:szCs w:val="21"/>
                <w:shd w:val="clear" w:color="auto" w:fill="auto"/>
              </w:rPr>
              <w:t>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pPr>
              <w:numPr>
                <w:ilvl w:val="0"/>
                <w:numId w:val="9"/>
              </w:numPr>
              <w:shd w:val="clear" w:color="auto" w:fill="auto"/>
              <w:snapToGrid w:val="0"/>
              <w:spacing w:before="0" w:beforeAutospacing="0" w:after="0" w:afterAutospacing="0" w:line="264" w:lineRule="auto"/>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未按照规定采取风险管控措施的；</w:t>
            </w:r>
          </w:p>
          <w:p>
            <w:pPr>
              <w:shd w:val="clear" w:color="auto" w:fill="auto"/>
              <w:snapToGrid w:val="0"/>
              <w:spacing w:before="0" w:beforeAutospacing="0" w:after="0" w:afterAutospacing="0" w:line="264" w:lineRule="auto"/>
              <w:ind w:left="0" w:right="0" w:firstLine="420"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p>
            <w:pPr>
              <w:pStyle w:val="19"/>
              <w:shd w:val="clear" w:color="auto" w:fill="auto"/>
              <w:wordWrap/>
              <w:adjustRightInd/>
              <w:snapToGrid w:val="0"/>
              <w:spacing w:before="0" w:beforeAutospacing="0" w:after="0" w:afterAutospacing="0" w:line="32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b/>
                <w:bCs/>
                <w:color w:val="auto"/>
                <w:sz w:val="21"/>
                <w:szCs w:val="21"/>
                <w:shd w:val="clear" w:color="auto" w:fill="auto"/>
              </w:rPr>
              <w:t>《河南省土壤污染防治条例》第六十四条第一款第三项、第二款</w:t>
            </w:r>
            <w:r>
              <w:rPr>
                <w:rFonts w:hint="default" w:ascii="Times New Roman" w:hAnsi="Times New Roman" w:cs="Times New Roman"/>
                <w:color w:val="auto"/>
                <w:sz w:val="21"/>
                <w:szCs w:val="21"/>
                <w:shd w:val="clear" w:color="auto" w:fill="auto"/>
              </w:rPr>
              <w:t xml:space="preserve"> 违反本条例规定，土壤污染责任人或者土地使用权人有下列行为之一的，由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pPr>
              <w:shd w:val="clear" w:color="auto" w:fill="auto"/>
              <w:wordWrap/>
              <w:adjustRightInd/>
              <w:snapToGrid w:val="0"/>
              <w:spacing w:before="0" w:beforeAutospacing="0" w:after="0" w:afterAutospacing="0" w:line="320" w:lineRule="exact"/>
              <w:ind w:left="0" w:right="0" w:firstLine="420" w:firstLineChars="20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（三）未按照规定采取风险管控措施的；</w:t>
            </w:r>
          </w:p>
          <w:p>
            <w:pPr>
              <w:shd w:val="clear" w:color="auto" w:fill="auto"/>
              <w:snapToGrid w:val="0"/>
              <w:spacing w:before="0" w:beforeAutospacing="0" w:after="0" w:afterAutospacing="0" w:line="264" w:lineRule="auto"/>
              <w:ind w:left="0" w:right="0" w:firstLine="420"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1"/>
                <w:shd w:val="clear" w:color="auto" w:fill="auto"/>
              </w:rPr>
              <w:t>土壤污染责任人或者土地使用权人有前款第三项、第四项规定行为之一，情节严重的，生态环境主管部门或者其他负有土壤污染防治监督管理职责的部门可以将案件移送公安机关依法处理。</w:t>
            </w:r>
          </w:p>
        </w:tc>
      </w:tr>
      <w:tr>
        <w:trPr>
          <w:trHeight w:val="397" w:hRule="atLeast"/>
          <w:jc w:val="center"/>
        </w:trPr>
        <w:tc>
          <w:tcPr>
            <w:tcW w:w="1368"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43" w:type="dxa"/>
            <w:vAlign w:val="center"/>
          </w:tcPr>
          <w:p>
            <w:pPr>
              <w:shd w:val="clear" w:color="auto" w:fill="auto"/>
              <w:snapToGrid w:val="0"/>
              <w:spacing w:before="0" w:beforeAutospacing="0" w:after="0" w:afterAutospacing="0"/>
              <w:ind w:left="0" w:right="0" w:firstLine="422"/>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已</w:t>
            </w:r>
            <w:r>
              <w:rPr>
                <w:rFonts w:hint="default" w:ascii="Times New Roman" w:hAnsi="Times New Roman" w:cs="Times New Roman"/>
                <w:color w:val="auto"/>
                <w:sz w:val="20"/>
                <w:szCs w:val="20"/>
                <w:shd w:val="clear" w:color="auto" w:fill="auto"/>
              </w:rPr>
              <w:t>采取风险管控措施</w:t>
            </w:r>
            <w:r>
              <w:rPr>
                <w:rFonts w:hint="default" w:ascii="Times New Roman" w:hAnsi="Times New Roman" w:cs="Times New Roman"/>
                <w:color w:val="auto"/>
                <w:kern w:val="0"/>
                <w:sz w:val="20"/>
                <w:szCs w:val="20"/>
                <w:shd w:val="clear" w:color="auto" w:fill="auto"/>
              </w:rPr>
              <w:t>，但不规范的</w:t>
            </w:r>
          </w:p>
        </w:tc>
        <w:tc>
          <w:tcPr>
            <w:tcW w:w="2649"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2</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ind w:left="0" w:right="0"/>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未采取风险管控措施</w:t>
            </w:r>
          </w:p>
        </w:tc>
        <w:tc>
          <w:tcPr>
            <w:tcW w:w="2649"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3</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涉及面积</w:t>
            </w:r>
          </w:p>
        </w:tc>
        <w:tc>
          <w:tcPr>
            <w:tcW w:w="5043" w:type="dxa"/>
            <w:vAlign w:val="center"/>
          </w:tcPr>
          <w:p>
            <w:pPr>
              <w:pStyle w:val="18"/>
              <w:shd w:val="clear" w:color="auto" w:fill="auto"/>
              <w:spacing w:before="0" w:beforeAutospacing="0" w:after="0" w:afterAutospacing="0"/>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以上5000m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以上10000m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以下</w:t>
            </w:r>
          </w:p>
        </w:tc>
        <w:tc>
          <w:tcPr>
            <w:tcW w:w="2649"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以上20000m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w:t>
            </w:r>
          </w:p>
        </w:tc>
        <w:tc>
          <w:tcPr>
            <w:tcW w:w="2649"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建设用地</w:t>
            </w:r>
          </w:p>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类型</w:t>
            </w:r>
          </w:p>
        </w:tc>
        <w:tc>
          <w:tcPr>
            <w:tcW w:w="5043" w:type="dxa"/>
            <w:vAlign w:val="center"/>
          </w:tcPr>
          <w:p>
            <w:pPr>
              <w:pStyle w:val="18"/>
              <w:shd w:val="clear" w:color="auto" w:fill="auto"/>
              <w:spacing w:before="0" w:beforeAutospacing="0" w:after="0" w:afterAutospacing="0"/>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第二类建设用地</w:t>
            </w:r>
          </w:p>
        </w:tc>
        <w:tc>
          <w:tcPr>
            <w:tcW w:w="2649" w:type="dxa"/>
            <w:vAlign w:val="center"/>
          </w:tcPr>
          <w:p>
            <w:pPr>
              <w:pStyle w:val="18"/>
              <w:shd w:val="clear" w:color="auto" w:fill="auto"/>
              <w:spacing w:before="0" w:beforeAutospacing="0" w:after="0" w:afterAutospacing="0"/>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第一类建设用地</w:t>
            </w:r>
          </w:p>
        </w:tc>
        <w:tc>
          <w:tcPr>
            <w:tcW w:w="2649"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危害后果</w:t>
            </w:r>
          </w:p>
        </w:tc>
        <w:tc>
          <w:tcPr>
            <w:tcW w:w="5043" w:type="dxa"/>
            <w:vAlign w:val="center"/>
          </w:tcPr>
          <w:p>
            <w:pPr>
              <w:pStyle w:val="18"/>
              <w:shd w:val="clear" w:color="auto" w:fill="auto"/>
              <w:spacing w:before="0" w:beforeAutospacing="0" w:after="0" w:afterAutospacing="0"/>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危害后果轻微的</w:t>
            </w:r>
          </w:p>
        </w:tc>
        <w:tc>
          <w:tcPr>
            <w:tcW w:w="2649"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对耕地或地下水造成污染的</w:t>
            </w:r>
          </w:p>
        </w:tc>
        <w:tc>
          <w:tcPr>
            <w:tcW w:w="2649"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复垦土地用于农业种植的</w:t>
            </w:r>
          </w:p>
        </w:tc>
        <w:tc>
          <w:tcPr>
            <w:tcW w:w="2649"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违法行为</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rPr>
              <w:t>持续时间</w:t>
            </w:r>
          </w:p>
        </w:tc>
        <w:tc>
          <w:tcPr>
            <w:tcW w:w="504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改正时间</w:t>
            </w:r>
          </w:p>
        </w:tc>
        <w:tc>
          <w:tcPr>
            <w:tcW w:w="504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i w:val="0"/>
                <w:iCs w:val="0"/>
                <w:caps w:val="0"/>
                <w:color w:val="auto"/>
                <w:spacing w:val="0"/>
                <w:kern w:val="2"/>
                <w:sz w:val="21"/>
                <w:szCs w:val="21"/>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i w:val="0"/>
                <w:iCs w:val="0"/>
                <w:caps w:val="0"/>
                <w:color w:val="auto"/>
                <w:spacing w:val="0"/>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i w:val="0"/>
                <w:iCs w:val="0"/>
                <w:caps w:val="0"/>
                <w:color w:val="auto"/>
                <w:spacing w:val="0"/>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eastAsia="zh-CN"/>
              </w:rPr>
              <w:t>企业规模</w:t>
            </w:r>
          </w:p>
        </w:tc>
        <w:tc>
          <w:tcPr>
            <w:tcW w:w="5043"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lang w:val="en-US"/>
              </w:rPr>
            </w:pPr>
          </w:p>
        </w:tc>
        <w:tc>
          <w:tcPr>
            <w:tcW w:w="5043"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lang w:val="en-US"/>
              </w:rPr>
            </w:pPr>
          </w:p>
        </w:tc>
        <w:tc>
          <w:tcPr>
            <w:tcW w:w="5043"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lang w:val="en-US"/>
              </w:rPr>
            </w:pPr>
          </w:p>
        </w:tc>
        <w:tc>
          <w:tcPr>
            <w:tcW w:w="5043" w:type="dxa"/>
            <w:vAlign w:val="center"/>
          </w:tcPr>
          <w:p>
            <w:pPr>
              <w:shd w:val="clear" w:color="auto" w:fill="auto"/>
              <w:snapToGrid w:val="0"/>
              <w:spacing w:before="0" w:beforeAutospacing="0" w:after="0" w:afterAutospacing="0"/>
              <w:ind w:left="0" w:right="0" w:firstLine="2100" w:firstLineChars="1000"/>
              <w:jc w:val="both"/>
              <w:rPr>
                <w:rFonts w:hint="default" w:ascii="Times New Roman" w:hAnsi="Times New Roman" w:cs="Times New Roman"/>
                <w:color w:val="auto"/>
                <w:sz w:val="20"/>
                <w:szCs w:val="20"/>
                <w:shd w:val="clear" w:color="auto" w:fill="auto"/>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9"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5043"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9"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ind w:left="0" w:right="0" w:firstLine="422" w:firstLineChars="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9"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ind w:left="0" w:right="0" w:firstLine="422"/>
              <w:rPr>
                <w:rFonts w:hint="default" w:ascii="Times New Roman" w:hAnsi="Times New Roman" w:cs="Times New Roman"/>
                <w:b/>
                <w:bCs/>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649"/>
      </w:tblGrid>
      <w:tr>
        <w:trPr>
          <w:trHeight w:val="425"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firstLine="643"/>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（五）土壤污染防治类</w:t>
            </w:r>
          </w:p>
        </w:tc>
      </w:tr>
      <w:tr>
        <w:trPr>
          <w:trHeight w:val="425"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79" w:name="_Toc20768"/>
            <w:r>
              <w:rPr>
                <w:rFonts w:hint="default" w:ascii="Times New Roman" w:hAnsi="Times New Roman" w:cs="Times New Roman"/>
                <w:color w:val="auto"/>
                <w:sz w:val="20"/>
                <w:szCs w:val="20"/>
                <w:shd w:val="clear" w:color="auto" w:fill="auto"/>
              </w:rPr>
              <w:t>19</w:t>
            </w:r>
            <w:bookmarkEnd w:id="279"/>
          </w:p>
        </w:tc>
      </w:tr>
      <w:tr>
        <w:trPr>
          <w:trHeight w:val="425"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80" w:name="_Toc19562"/>
            <w:r>
              <w:rPr>
                <w:rFonts w:hint="default" w:ascii="Times New Roman" w:hAnsi="Times New Roman" w:cs="Times New Roman"/>
                <w:color w:val="auto"/>
                <w:sz w:val="20"/>
                <w:szCs w:val="20"/>
                <w:shd w:val="clear" w:color="auto" w:fill="auto"/>
              </w:rPr>
              <w:t>土壤污染责任人或者土地使用权人未按照规定实施修复的</w:t>
            </w:r>
            <w:bookmarkEnd w:id="280"/>
          </w:p>
        </w:tc>
      </w:tr>
      <w:tr>
        <w:trPr>
          <w:trHeight w:val="425"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pStyle w:val="19"/>
              <w:shd w:val="clear" w:color="auto" w:fill="auto"/>
              <w:spacing w:before="0" w:beforeAutospacing="0" w:after="0" w:afterAutospacing="0" w:line="320" w:lineRule="exact"/>
              <w:ind w:left="0" w:right="0" w:firstLine="422"/>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《中华人民共和国土壤污染防治法》第六十四条</w:t>
            </w:r>
            <w:r>
              <w:rPr>
                <w:rFonts w:hint="default" w:ascii="Times New Roman" w:hAnsi="Times New Roman" w:cs="Times New Roman"/>
                <w:color w:val="auto"/>
                <w:sz w:val="21"/>
                <w:szCs w:val="21"/>
                <w:shd w:val="clear" w:color="auto" w:fill="auto"/>
              </w:rPr>
              <w:t xml:space="preserve"> 对建设用地土壤污染风险管控和修复名录中需要实施修复的地块，土壤污染责任人应当结合土地利用总体规划和城乡规划编制修复方案，报地方人民政府生态环境主管部门备案并实施。修复方案应当包括地下水污染防治的内容。</w:t>
            </w:r>
          </w:p>
          <w:p>
            <w:pPr>
              <w:pStyle w:val="19"/>
              <w:shd w:val="clear" w:color="auto" w:fill="auto"/>
              <w:spacing w:before="0" w:beforeAutospacing="0" w:after="0" w:afterAutospacing="0" w:line="320" w:lineRule="exact"/>
              <w:ind w:left="0" w:right="0" w:firstLine="422"/>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kern w:val="0"/>
                <w:sz w:val="21"/>
                <w:szCs w:val="21"/>
                <w:shd w:val="clear" w:color="auto" w:fill="auto"/>
              </w:rPr>
              <w:t>《河南省土壤污染防治条例》</w:t>
            </w:r>
            <w:r>
              <w:rPr>
                <w:rFonts w:hint="default" w:ascii="Times New Roman" w:hAnsi="Times New Roman" w:cs="Times New Roman"/>
                <w:color w:val="auto"/>
                <w:kern w:val="0"/>
                <w:sz w:val="21"/>
                <w:szCs w:val="21"/>
                <w:shd w:val="clear" w:color="auto" w:fill="auto"/>
              </w:rPr>
              <w:t xml:space="preserve"> </w:t>
            </w:r>
            <w:r>
              <w:rPr>
                <w:rFonts w:hint="default" w:ascii="Times New Roman" w:hAnsi="Times New Roman" w:cs="Times New Roman"/>
                <w:color w:val="auto"/>
                <w:sz w:val="21"/>
                <w:szCs w:val="21"/>
                <w:shd w:val="clear" w:color="auto" w:fill="auto"/>
              </w:rPr>
              <w:t>第四十四条 对产出的农产品污染物含量超标，需要实施修复的农用地地块，土壤污染责任人应当编制修复方案，报县级以上人民政府农业农村、林业主管部门备案并实施。修复方案应当包括地下水污染防治的内容。</w:t>
            </w:r>
          </w:p>
        </w:tc>
      </w:tr>
      <w:tr>
        <w:trPr>
          <w:trHeight w:val="425"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pStyle w:val="19"/>
              <w:shd w:val="clear" w:color="auto" w:fill="auto"/>
              <w:spacing w:before="0" w:beforeAutospacing="0" w:after="0" w:afterAutospacing="0" w:line="320" w:lineRule="exact"/>
              <w:ind w:left="0" w:right="0" w:firstLine="422"/>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《中华人民共和国土壤污染防治法》第九十四条第一款第（四）项、第二款 </w:t>
            </w:r>
            <w:r>
              <w:rPr>
                <w:rFonts w:hint="default" w:ascii="Times New Roman" w:hAnsi="Times New Roman" w:cs="Times New Roman"/>
                <w:color w:val="auto"/>
                <w:sz w:val="21"/>
                <w:szCs w:val="21"/>
                <w:shd w:val="clear" w:color="auto" w:fill="auto"/>
              </w:rPr>
              <w:t>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pPr>
              <w:numPr>
                <w:ilvl w:val="0"/>
                <w:numId w:val="9"/>
              </w:numPr>
              <w:shd w:val="clear" w:color="auto" w:fill="auto"/>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未按照规定实施修复的；</w:t>
            </w:r>
          </w:p>
          <w:p>
            <w:pPr>
              <w:shd w:val="clear" w:color="auto" w:fill="auto"/>
              <w:spacing w:before="0" w:beforeAutospacing="0" w:after="0" w:afterAutospacing="0" w:line="320" w:lineRule="exact"/>
              <w:ind w:left="0" w:right="0" w:firstLine="420"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p>
            <w:pPr>
              <w:widowControl/>
              <w:shd w:val="clear" w:color="auto" w:fill="auto"/>
              <w:wordWrap/>
              <w:adjustRightInd/>
              <w:spacing w:before="0" w:beforeAutospacing="0" w:after="0" w:afterAutospacing="0" w:line="320" w:lineRule="exact"/>
              <w:ind w:left="0" w:right="0" w:firstLine="422"/>
              <w:jc w:val="left"/>
              <w:textAlignment w:val="auto"/>
              <w:rPr>
                <w:rFonts w:hint="default" w:ascii="Times New Roman" w:hAnsi="Times New Roman" w:eastAsia="宋体" w:cs="Times New Roman"/>
                <w:color w:val="auto"/>
                <w:kern w:val="0"/>
                <w:sz w:val="20"/>
                <w:szCs w:val="21"/>
                <w:shd w:val="clear" w:color="auto" w:fill="auto"/>
              </w:rPr>
            </w:pPr>
            <w:r>
              <w:rPr>
                <w:rFonts w:hint="default" w:ascii="Times New Roman" w:hAnsi="Times New Roman" w:cs="Times New Roman"/>
                <w:b/>
                <w:bCs/>
                <w:color w:val="auto"/>
                <w:kern w:val="0"/>
                <w:sz w:val="20"/>
                <w:szCs w:val="20"/>
                <w:shd w:val="clear" w:color="auto" w:fill="auto"/>
              </w:rPr>
              <w:t xml:space="preserve">《河南省土壤污染防治条例》第六十四条第一款第四项、第二款 </w:t>
            </w:r>
            <w:r>
              <w:rPr>
                <w:rFonts w:hint="default" w:ascii="Times New Roman" w:hAnsi="Times New Roman" w:eastAsia="宋体" w:cs="Times New Roman"/>
                <w:color w:val="auto"/>
                <w:sz w:val="20"/>
                <w:szCs w:val="21"/>
                <w:shd w:val="clear" w:color="auto" w:fill="auto"/>
              </w:rPr>
              <w:t>违反本条例规定，土壤污染责任人或者土地使用权人有下列行为之一的，由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pPr>
              <w:shd w:val="clear" w:color="auto" w:fill="auto"/>
              <w:wordWrap/>
              <w:adjustRightInd/>
              <w:spacing w:before="0" w:beforeAutospacing="0" w:after="0" w:afterAutospacing="0" w:line="320" w:lineRule="exact"/>
              <w:ind w:left="0" w:right="0" w:firstLine="420" w:firstLineChars="20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（四）未按照规定实施修复的；</w:t>
            </w:r>
          </w:p>
          <w:p>
            <w:pPr>
              <w:shd w:val="clear" w:color="auto" w:fill="auto"/>
              <w:spacing w:before="0" w:beforeAutospacing="0" w:after="0" w:afterAutospacing="0" w:line="320" w:lineRule="exact"/>
              <w:ind w:left="0" w:right="0" w:firstLine="420"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1"/>
                <w:shd w:val="clear" w:color="auto" w:fill="auto"/>
              </w:rPr>
              <w:t>土壤污染责任人或者土地使用权人有前款第三项、第四项规定行为之一，情节严重的，生态环境主管部门或者其他负有土壤污染防治监督管理职责的部门可以将案件移送公安机关依法处理。</w:t>
            </w:r>
          </w:p>
        </w:tc>
      </w:tr>
      <w:tr>
        <w:trPr>
          <w:trHeight w:val="425"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已编制修复方案，但未规范实施修复的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未规范编制修复方案，且未规范实施修复的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未编制修复方案，或未实施修复的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建设用地</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类型</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第二类建设用地</w:t>
            </w:r>
          </w:p>
        </w:tc>
        <w:tc>
          <w:tcPr>
            <w:tcW w:w="2649"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第一类建设用地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5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涉及面积</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0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以上5000m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2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以上10000m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28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以上20000m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27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污染物类别</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一般工业废水/第</w:t>
            </w:r>
            <w:r>
              <w:rPr>
                <w:rFonts w:hint="default" w:ascii="Times New Roman" w:hAnsi="Times New Roman" w:eastAsia="宋体" w:cs="Times New Roman"/>
                <w:color w:val="auto"/>
                <w:sz w:val="20"/>
                <w:szCs w:val="20"/>
                <w:shd w:val="clear" w:color="auto" w:fill="auto"/>
              </w:rPr>
              <w:t>Ⅰ</w:t>
            </w:r>
            <w:r>
              <w:rPr>
                <w:rFonts w:hint="default" w:ascii="Times New Roman" w:hAnsi="Times New Roman" w:cs="Times New Roman"/>
                <w:color w:val="auto"/>
                <w:sz w:val="20"/>
                <w:szCs w:val="20"/>
                <w:shd w:val="clear" w:color="auto" w:fill="auto"/>
              </w:rPr>
              <w:t>类一般工业固体废物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火电、钢铁、石化、水泥、炼焦、有色、化工废气、烟尘/含其他有毒有害物质的废水、医疗废水</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含一类污染物或重金属、病原体、放射性物质的废水/危险废物/Ⅱ类一般工业固体废物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危害后果</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危害后果轻微的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对耕地或地下水造成污染的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复垦土地用于农业种植的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cs="Times New Roman"/>
                <w:color w:val="auto"/>
                <w:sz w:val="20"/>
                <w:szCs w:val="20"/>
                <w:shd w:val="clear" w:color="auto" w:fill="auto"/>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违法行为</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rPr>
              <w:t>持续时间</w:t>
            </w: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firstLineChars="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69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646"/>
        <w:gridCol w:w="2046"/>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firstLine="643"/>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（五）土壤污染防治类</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20</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firstLine="420"/>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风险管控、修复活动完成后，土壤污染责任人或者土地使用权人未另行委托有关单位对风险管控效果、修复效果进行评估的</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《中华人民共和国土壤污染防治法》第六十五条 </w:t>
            </w:r>
            <w:r>
              <w:rPr>
                <w:rFonts w:hint="default" w:ascii="Times New Roman" w:hAnsi="Times New Roman" w:cs="Times New Roman"/>
                <w:color w:val="auto"/>
                <w:kern w:val="2"/>
                <w:sz w:val="21"/>
                <w:szCs w:val="21"/>
                <w:shd w:val="clear" w:color="auto" w:fill="auto"/>
              </w:rPr>
              <w:t>风险管控、修复活动完成后，土壤污染责任人应当另行委托有关单位对风险管控效果、修复效果进行评估，并将效果评估报告报地方人民政府生态环境主管部门备案。</w:t>
            </w:r>
          </w:p>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0"/>
                <w:sz w:val="20"/>
                <w:szCs w:val="20"/>
                <w:shd w:val="clear" w:color="auto" w:fill="auto"/>
              </w:rPr>
              <w:t>《河南省土壤污染防治条例》第四十四条第三款</w:t>
            </w:r>
            <w:r>
              <w:rPr>
                <w:rFonts w:hint="default" w:ascii="Times New Roman" w:hAnsi="Times New Roman" w:cs="Times New Roman"/>
                <w:color w:val="auto"/>
                <w:kern w:val="0"/>
                <w:sz w:val="20"/>
                <w:szCs w:val="20"/>
                <w:shd w:val="clear" w:color="auto" w:fill="auto"/>
              </w:rPr>
              <w:t xml:space="preserve"> </w:t>
            </w:r>
            <w:r>
              <w:rPr>
                <w:rFonts w:hint="default" w:ascii="Times New Roman" w:hAnsi="Times New Roman" w:cs="Times New Roman"/>
                <w:color w:val="auto"/>
                <w:sz w:val="21"/>
                <w:szCs w:val="21"/>
                <w:shd w:val="clear" w:color="auto" w:fill="auto"/>
              </w:rPr>
              <w:t>风险管控、修复活动完成后，土壤污染责任人应当另行委托有关单位对风险管控效果、修复效果进行评估，并将效果评估报告报县级以上人民政府农业农村、林业主管部门备案。</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pStyle w:val="19"/>
              <w:shd w:val="clear" w:color="auto" w:fill="auto"/>
              <w:snapToGrid w:val="0"/>
              <w:spacing w:before="0" w:beforeAutospacing="0" w:after="0" w:afterAutospacing="0" w:line="320" w:lineRule="exact"/>
              <w:ind w:left="0" w:right="0" w:firstLine="422"/>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《中华人民共和国土壤污染防治法》第九十四条第一款第（五）项 </w:t>
            </w:r>
            <w:r>
              <w:rPr>
                <w:rFonts w:hint="default" w:ascii="Times New Roman" w:hAnsi="Times New Roman" w:cs="Times New Roman"/>
                <w:color w:val="auto"/>
                <w:sz w:val="21"/>
                <w:szCs w:val="21"/>
                <w:shd w:val="clear" w:color="auto" w:fill="auto"/>
              </w:rPr>
              <w:t>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pPr>
              <w:numPr>
                <w:ilvl w:val="0"/>
                <w:numId w:val="9"/>
              </w:numPr>
              <w:shd w:val="clear" w:color="auto" w:fill="auto"/>
              <w:snapToGrid w:val="0"/>
              <w:spacing w:before="0" w:beforeAutospacing="0" w:after="0" w:afterAutospacing="0" w:line="320" w:lineRule="exact"/>
              <w:ind w:left="0" w:right="0" w:firstLine="420" w:firstLineChars="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风险管控、修复活动完成后，未另行委托有关单位对风险管控效果、修复效果进行评估的。</w:t>
            </w:r>
          </w:p>
          <w:p>
            <w:pPr>
              <w:shd w:val="clear" w:color="auto" w:fill="auto"/>
              <w:wordWrap/>
              <w:adjustRightInd/>
              <w:spacing w:before="0" w:beforeAutospacing="0" w:after="0" w:afterAutospacing="0" w:line="320" w:lineRule="exact"/>
              <w:ind w:left="0" w:right="0" w:firstLine="422" w:firstLineChars="200"/>
              <w:textAlignment w:val="auto"/>
              <w:rPr>
                <w:rFonts w:hint="default" w:ascii="Times New Roman" w:hAnsi="Times New Roman" w:cs="Times New Roman"/>
                <w:color w:val="auto"/>
                <w:sz w:val="20"/>
                <w:szCs w:val="21"/>
                <w:shd w:val="clear" w:color="auto" w:fill="auto"/>
              </w:rPr>
            </w:pPr>
            <w:r>
              <w:rPr>
                <w:rFonts w:hint="default" w:ascii="Times New Roman" w:hAnsi="Times New Roman" w:cs="Times New Roman"/>
                <w:b/>
                <w:bCs/>
                <w:color w:val="auto"/>
                <w:kern w:val="0"/>
                <w:sz w:val="20"/>
                <w:szCs w:val="20"/>
                <w:shd w:val="clear" w:color="auto" w:fill="auto"/>
              </w:rPr>
              <w:t>《河南省土壤污染防治条例》</w:t>
            </w:r>
            <w:r>
              <w:rPr>
                <w:rFonts w:hint="default" w:ascii="Times New Roman" w:hAnsi="Times New Roman" w:cs="Times New Roman"/>
                <w:b/>
                <w:bCs/>
                <w:color w:val="auto"/>
                <w:sz w:val="20"/>
                <w:szCs w:val="21"/>
                <w:shd w:val="clear" w:color="auto" w:fill="auto"/>
              </w:rPr>
              <w:t>第六十四条第五项</w:t>
            </w:r>
            <w:r>
              <w:rPr>
                <w:rFonts w:hint="default" w:ascii="Times New Roman" w:hAnsi="Times New Roman" w:cs="Times New Roman"/>
                <w:color w:val="auto"/>
                <w:sz w:val="20"/>
                <w:szCs w:val="21"/>
                <w:shd w:val="clear" w:color="auto" w:fill="auto"/>
              </w:rPr>
              <w:t xml:space="preserve"> 违反本条例规定，土壤污染责任人或者土地使用权人有下列行为之一的，由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pPr>
              <w:numPr>
                <w:numId w:val="0"/>
              </w:numPr>
              <w:shd w:val="clear" w:color="auto" w:fill="auto"/>
              <w:snapToGrid w:val="0"/>
              <w:spacing w:before="0" w:beforeAutospacing="0" w:after="0" w:afterAutospacing="0" w:line="320" w:lineRule="exact"/>
              <w:ind w:left="0" w:right="0" w:firstLine="0" w:firstLineChars="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（五）风险管控、修复活动完成后，未另行委托有关单位对风险管控效果、修复效果进行评估的。</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646" w:type="dxa"/>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046" w:type="dxa"/>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★土壤环境</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敏感度</w:t>
            </w:r>
          </w:p>
        </w:tc>
        <w:tc>
          <w:tcPr>
            <w:tcW w:w="5646"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第二类建设用地</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646"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第一类建设用地</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严格管控类农用地</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安全利用类农用地</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优先保护类农用地</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涉及面积</w:t>
            </w:r>
          </w:p>
        </w:tc>
        <w:tc>
          <w:tcPr>
            <w:tcW w:w="5646"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646"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以上5000m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以上10000m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以下</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646"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以上20000m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646"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cs="Times New Roman"/>
                <w:color w:val="auto"/>
                <w:sz w:val="20"/>
                <w:szCs w:val="20"/>
                <w:shd w:val="clear" w:color="auto" w:fill="auto"/>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违法行为</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rPr>
              <w:t>持续时间</w:t>
            </w:r>
          </w:p>
        </w:tc>
        <w:tc>
          <w:tcPr>
            <w:tcW w:w="5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0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0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0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0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0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改正时间</w:t>
            </w:r>
          </w:p>
        </w:tc>
        <w:tc>
          <w:tcPr>
            <w:tcW w:w="56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firstLineChars="0"/>
              <w:jc w:val="center"/>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649"/>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firstLine="643"/>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（五）土壤污染防治类</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81" w:name="_Toc3397"/>
            <w:r>
              <w:rPr>
                <w:rFonts w:hint="default" w:ascii="Times New Roman" w:hAnsi="Times New Roman" w:cs="Times New Roman"/>
                <w:color w:val="auto"/>
                <w:sz w:val="20"/>
                <w:szCs w:val="20"/>
                <w:shd w:val="clear" w:color="auto" w:fill="auto"/>
              </w:rPr>
              <w:t>21</w:t>
            </w:r>
            <w:bookmarkEnd w:id="281"/>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firstLine="420"/>
              <w:outlineLvl w:val="9"/>
              <w:rPr>
                <w:rFonts w:hint="default" w:ascii="Times New Roman" w:hAnsi="Times New Roman" w:cs="Times New Roman"/>
                <w:color w:val="auto"/>
                <w:sz w:val="20"/>
                <w:szCs w:val="20"/>
                <w:shd w:val="clear" w:color="auto" w:fill="auto"/>
              </w:rPr>
            </w:pPr>
            <w:bookmarkStart w:id="282" w:name="_Toc22155"/>
            <w:r>
              <w:rPr>
                <w:rFonts w:hint="default" w:ascii="Times New Roman" w:hAnsi="Times New Roman" w:cs="Times New Roman"/>
                <w:color w:val="auto"/>
                <w:sz w:val="20"/>
                <w:szCs w:val="20"/>
                <w:shd w:val="clear" w:color="auto" w:fill="auto"/>
              </w:rPr>
              <w:t>土壤污染重点监管单位未按照规定将土壤污染防治工作方案报地方人民政府生态环境主管部门备案，责令改正拒不改正的</w:t>
            </w:r>
            <w:bookmarkEnd w:id="282"/>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pStyle w:val="19"/>
              <w:shd w:val="clear" w:color="auto" w:fill="auto"/>
              <w:snapToGrid w:val="0"/>
              <w:spacing w:before="0" w:beforeAutospacing="0" w:after="0" w:afterAutospacing="0" w:line="320" w:lineRule="exact"/>
              <w:ind w:left="0" w:right="0" w:firstLine="422"/>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《中华人民共和国土壤污染防治法》第二十二条第二款</w:t>
            </w:r>
            <w:r>
              <w:rPr>
                <w:rFonts w:hint="default" w:ascii="Times New Roman" w:hAnsi="Times New Roman" w:cs="Times New Roman"/>
                <w:color w:val="auto"/>
                <w:sz w:val="21"/>
                <w:szCs w:val="21"/>
                <w:shd w:val="clear" w:color="auto" w:fill="auto"/>
              </w:rPr>
              <w:t xml:space="preserve"> 土壤污染重点监管单位拆除设施、设备或者建筑物、构筑物的，应当制定包括应急措施在内的土壤污染防治工作方案，报地方人民政府生态环境、工业和信息化主管部门备案并实施。</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pStyle w:val="19"/>
              <w:shd w:val="clear" w:color="auto" w:fill="auto"/>
              <w:snapToGrid w:val="0"/>
              <w:spacing w:before="0" w:beforeAutospacing="0" w:after="0" w:afterAutospacing="0" w:line="320" w:lineRule="exact"/>
              <w:ind w:left="0" w:right="0" w:firstLine="422"/>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《中华人民共和国土壤污染防治法》第九十五条第（一）项 </w:t>
            </w:r>
            <w:r>
              <w:rPr>
                <w:rFonts w:hint="default" w:ascii="Times New Roman" w:hAnsi="Times New Roman" w:cs="Times New Roman"/>
                <w:color w:val="auto"/>
                <w:sz w:val="21"/>
                <w:szCs w:val="21"/>
                <w:shd w:val="clear" w:color="auto" w:fill="auto"/>
              </w:rPr>
              <w:t>违反本法规定，有下列行为之一的，由地方人民政府有关部门责令改正；拒不改正的，处一万元以上五万元以下的罚款：</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（一）土壤污染重点监管单位未按照规定将土壤污染防治工作方案报地方人民政府生态环境、工业和信息化主管部门备案的。</w:t>
            </w:r>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★土壤环境</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敏感度</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第二类建设用地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第一类建设用地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严格管控类农用地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安全利用类农用地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优先保护类农用地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污染物类别</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一般工业废水/第</w:t>
            </w:r>
            <w:r>
              <w:rPr>
                <w:rFonts w:hint="default" w:ascii="Times New Roman" w:hAnsi="Times New Roman" w:eastAsia="宋体" w:cs="Times New Roman"/>
                <w:color w:val="auto"/>
                <w:sz w:val="20"/>
                <w:szCs w:val="20"/>
                <w:shd w:val="clear" w:color="auto" w:fill="auto"/>
              </w:rPr>
              <w:t>Ⅰ</w:t>
            </w:r>
            <w:r>
              <w:rPr>
                <w:rFonts w:hint="default" w:ascii="Times New Roman" w:hAnsi="Times New Roman" w:cs="Times New Roman"/>
                <w:color w:val="auto"/>
                <w:sz w:val="20"/>
                <w:szCs w:val="20"/>
                <w:shd w:val="clear" w:color="auto" w:fill="auto"/>
              </w:rPr>
              <w:t>类一般工业固体废物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火电、钢铁、石化、水泥、炼焦、有色、化工废气、烟尘/含其他有毒有害物质的废水、医疗废水</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含一类污染物或重金属、病原体、放射性物质的废水/危险废物/Ⅱ类一般工业固体废物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涉及面积</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以上5000m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以上10000m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以上20000m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cs="Times New Roman"/>
                <w:color w:val="auto"/>
                <w:sz w:val="20"/>
                <w:szCs w:val="20"/>
                <w:shd w:val="clear" w:color="auto" w:fill="auto"/>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368"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违法行为</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rPr>
              <w:t>持续时间</w:t>
            </w:r>
          </w:p>
        </w:tc>
        <w:tc>
          <w:tcPr>
            <w:tcW w:w="5043"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rPr>
              <w:t>1个月以下的</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043"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rPr>
              <w:t>1个月以上3个月以下的</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043"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rPr>
              <w:t>3个月以上6个月以下的</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043"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rPr>
              <w:t>6个月以上1年以下的</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043"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rPr>
              <w:t>1年以上的</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04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lang w:eastAsia="zh-CN"/>
              </w:rPr>
            </w:pPr>
            <w:r>
              <w:rPr>
                <w:rFonts w:hint="eastAsia" w:ascii="Times New Roman" w:hAnsi="Times New Roman" w:cs="Times New Roman"/>
                <w:color w:val="auto"/>
                <w:kern w:val="2"/>
                <w:sz w:val="21"/>
                <w:szCs w:val="21"/>
                <w:shd w:val="clear" w:color="auto" w:fill="auto"/>
                <w:lang w:eastAsia="zh-CN"/>
              </w:rPr>
              <w:t>限期改正</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eastAsia="zh-CN"/>
              </w:rPr>
            </w:pPr>
            <w:r>
              <w:rPr>
                <w:rFonts w:hint="default" w:ascii="Times New Roman" w:hAnsi="Times New Roman" w:cs="Times New Roman"/>
                <w:color w:val="auto"/>
                <w:sz w:val="20"/>
                <w:szCs w:val="20"/>
                <w:shd w:val="clear" w:color="auto" w:fill="auto"/>
                <w:lang w:val="en-US" w:eastAsia="zh-CN"/>
              </w:rPr>
              <w:t>7天以上</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firstLineChars="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r>
    </w:tbl>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649"/>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firstLine="643"/>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（五）土壤污染防治类</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22</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Lines="20" w:beforeAutospacing="0" w:after="0" w:afterAutospacing="0" w:line="320" w:lineRule="exact"/>
              <w:ind w:left="0" w:right="0" w:firstLine="420"/>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土壤污染责任人或者土地使用权人未按照规定将修复方案、效果评估报告报地方人民政府生态环境主管部门备案，责令改正拒不改正的</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pStyle w:val="19"/>
              <w:shd w:val="clear" w:color="auto" w:fill="auto"/>
              <w:snapToGrid w:val="0"/>
              <w:spacing w:before="0" w:beforeAutospacing="0" w:after="0" w:afterAutospacing="0" w:line="320" w:lineRule="exact"/>
              <w:ind w:left="0" w:right="0" w:firstLine="422"/>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《中华人民共和国土壤污染防治法》第六十四条 </w:t>
            </w:r>
            <w:r>
              <w:rPr>
                <w:rFonts w:hint="default" w:ascii="Times New Roman" w:hAnsi="Times New Roman" w:cs="Times New Roman"/>
                <w:color w:val="auto"/>
                <w:kern w:val="2"/>
                <w:sz w:val="21"/>
                <w:szCs w:val="21"/>
                <w:shd w:val="clear" w:color="auto" w:fill="auto"/>
              </w:rPr>
              <w:t>对建设用地土壤污染风险管控和修复名录中需要实施修复的地块，土壤污染责任人应当结合土地利用总体规划和城乡规划编制修复方案，报地方人民政府生态环境主管部门备案并实施。修复方案应当包括地下水污染防治的内容。</w:t>
            </w:r>
          </w:p>
          <w:p>
            <w:pPr>
              <w:pStyle w:val="19"/>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《中华人民共和国土壤污染防治法》第六十五条 </w:t>
            </w:r>
            <w:r>
              <w:rPr>
                <w:rFonts w:hint="default" w:ascii="Times New Roman" w:hAnsi="Times New Roman" w:cs="Times New Roman"/>
                <w:color w:val="auto"/>
                <w:kern w:val="2"/>
                <w:sz w:val="21"/>
                <w:szCs w:val="21"/>
                <w:shd w:val="clear" w:color="auto" w:fill="auto"/>
              </w:rPr>
              <w:t>风险管控、修复活动完成后，土壤污染责任人应当另行委托有关单位对风险管控效果、修复效果进行评估，并将效果评估报告报地方人民政府生态环境主管部门备案。</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pStyle w:val="19"/>
              <w:shd w:val="clear" w:color="auto" w:fill="auto"/>
              <w:snapToGrid w:val="0"/>
              <w:spacing w:beforeLines="2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《中华人民共和国土壤污染防治法》第九十五条第（二）项 </w:t>
            </w:r>
            <w:r>
              <w:rPr>
                <w:rFonts w:hint="default" w:ascii="Times New Roman" w:hAnsi="Times New Roman" w:cs="Times New Roman"/>
                <w:color w:val="auto"/>
                <w:sz w:val="21"/>
                <w:szCs w:val="21"/>
                <w:shd w:val="clear" w:color="auto" w:fill="auto"/>
              </w:rPr>
              <w:t>违反本法规定，有下列行为之一的，由地方人民政府有关部门责令改正；拒不改正的，处一万元以上五万元以下的罚款：</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（二）土壤污染责任人或者土地使用权人未按照规定将修复方案、效果评估报告报地方人民政府生态环境、农业农村、林业草原主管部门备案的。</w:t>
            </w:r>
          </w:p>
        </w:tc>
      </w:tr>
      <w:tr>
        <w:trPr>
          <w:trHeight w:val="386"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86"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★建设用地</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类型</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第二类建设用地</w:t>
            </w:r>
          </w:p>
        </w:tc>
        <w:tc>
          <w:tcPr>
            <w:tcW w:w="2649"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第一类建设用地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排污类型</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一般污染物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一类污染物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有毒有害物质</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涉及面积</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以上5000m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以上10000m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以上20000m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cs="Times New Roman"/>
                <w:color w:val="auto"/>
                <w:sz w:val="20"/>
                <w:szCs w:val="20"/>
                <w:shd w:val="clear" w:color="auto" w:fill="auto"/>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86" w:hRule="atLeast"/>
          <w:jc w:val="center"/>
        </w:trPr>
        <w:tc>
          <w:tcPr>
            <w:tcW w:w="1368"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违法行为</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持续时间</w:t>
            </w: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90" w:hRule="atLeast"/>
          <w:jc w:val="center"/>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改正时间</w:t>
            </w:r>
          </w:p>
        </w:tc>
        <w:tc>
          <w:tcPr>
            <w:tcW w:w="504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90"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90"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90"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90"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9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90"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firstLineChars="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90"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649"/>
      </w:tblGrid>
      <w:tr>
        <w:trPr>
          <w:trHeight w:val="369"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firstLine="643"/>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（五）土壤污染防治类</w:t>
            </w:r>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83" w:name="_Toc19375"/>
            <w:r>
              <w:rPr>
                <w:rFonts w:hint="default" w:ascii="Times New Roman" w:hAnsi="Times New Roman" w:cs="Times New Roman"/>
                <w:color w:val="auto"/>
                <w:sz w:val="20"/>
                <w:szCs w:val="20"/>
                <w:shd w:val="clear" w:color="auto" w:fill="auto"/>
              </w:rPr>
              <w:t>23</w:t>
            </w:r>
            <w:bookmarkEnd w:id="283"/>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firstLine="420"/>
              <w:outlineLvl w:val="9"/>
              <w:rPr>
                <w:rFonts w:hint="default" w:ascii="Times New Roman" w:hAnsi="Times New Roman" w:cs="Times New Roman"/>
                <w:color w:val="auto"/>
                <w:sz w:val="20"/>
                <w:szCs w:val="20"/>
                <w:shd w:val="clear" w:color="auto" w:fill="auto"/>
              </w:rPr>
            </w:pPr>
            <w:bookmarkStart w:id="284" w:name="_Toc12278"/>
            <w:r>
              <w:rPr>
                <w:rFonts w:hint="default" w:ascii="Times New Roman" w:hAnsi="Times New Roman" w:cs="Times New Roman"/>
                <w:color w:val="auto"/>
                <w:sz w:val="20"/>
                <w:szCs w:val="20"/>
                <w:shd w:val="clear" w:color="auto" w:fill="auto"/>
              </w:rPr>
              <w:t>土地使用权人未按照规定将土壤污染状况调查报告报地方人民政府生态环境主管部门备案的</w:t>
            </w:r>
            <w:bookmarkEnd w:id="284"/>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《中华人民共和国土壤污染防治法》第六十七条</w:t>
            </w:r>
            <w:r>
              <w:rPr>
                <w:rFonts w:hint="default" w:ascii="Times New Roman" w:hAnsi="Times New Roman" w:cs="Times New Roman"/>
                <w:color w:val="auto"/>
                <w:sz w:val="21"/>
                <w:szCs w:val="21"/>
                <w:shd w:val="clear" w:color="auto" w:fill="auto"/>
              </w:rPr>
              <w:t xml:space="preserve"> 土壤污染重点监管单位生产经营用地的用途变更或者在其土地使用权收回、转让前，应当由土地使用权人按照规定进行土壤污染状况调查。土壤污染状况调查报告应当作为不动产登记资料送交地方人民政府不动产登记机构，并报地方人民政府生态环境主管部门备案。</w:t>
            </w:r>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《中华人民共和国土壤污染防治法》第九十五条第（三）项 </w:t>
            </w:r>
            <w:r>
              <w:rPr>
                <w:rFonts w:hint="default" w:ascii="Times New Roman" w:hAnsi="Times New Roman" w:cs="Times New Roman"/>
                <w:color w:val="auto"/>
                <w:sz w:val="21"/>
                <w:szCs w:val="21"/>
                <w:shd w:val="clear" w:color="auto" w:fill="auto"/>
              </w:rPr>
              <w:t>违反本法规定，有下列行为之一的，由地方人民政府有关部门责令改正；拒不改正的，处一万元以上五万元以下的罚款：</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（三）土地使用权人未按照规定将土壤污染状况调查报告报地方人民政府生态环境主管部门备案的。</w:t>
            </w:r>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★建设用地</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类型</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第二类建设用地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第一类建设用地</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排污类型</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一般污染物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一类污染物</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有毒有害物质</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涉及面积</w:t>
            </w: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以上5000m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以上10000m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以上20000m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20000m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cs="Times New Roman"/>
                <w:color w:val="auto"/>
                <w:sz w:val="20"/>
                <w:szCs w:val="20"/>
                <w:shd w:val="clear" w:color="auto" w:fill="auto"/>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368"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违法行为</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持续时间</w:t>
            </w: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pacing w:before="0" w:beforeAutospacing="0" w:after="0" w:afterAutospacing="0"/>
              <w:ind w:left="0" w:right="0" w:firstLine="1470" w:firstLineChars="700"/>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kern w:val="2"/>
                <w:sz w:val="21"/>
                <w:szCs w:val="21"/>
                <w:shd w:val="clear" w:color="auto" w:fill="auto"/>
                <w:lang w:val="en-US"/>
              </w:rPr>
              <w:t>6</w:t>
            </w:r>
            <w:r>
              <w:rPr>
                <w:rFonts w:hint="default" w:ascii="Times New Roman" w:hAnsi="Times New Roman" w:eastAsia="宋体" w:cs="Times New Roman"/>
                <w:color w:val="auto"/>
                <w:kern w:val="2"/>
                <w:sz w:val="21"/>
                <w:szCs w:val="21"/>
                <w:shd w:val="clear" w:color="auto" w:fill="auto"/>
                <w:lang w:val="en-US"/>
              </w:rPr>
              <w:t>个月以上</w:t>
            </w:r>
            <w:r>
              <w:rPr>
                <w:rFonts w:hint="default" w:ascii="Times New Roman" w:hAnsi="Times New Roman" w:cs="Times New Roman"/>
                <w:color w:val="auto"/>
                <w:kern w:val="2"/>
                <w:sz w:val="21"/>
                <w:szCs w:val="21"/>
                <w:shd w:val="clear" w:color="auto" w:fill="auto"/>
                <w:lang/>
              </w:rPr>
              <w:t>1</w:t>
            </w:r>
            <w:r>
              <w:rPr>
                <w:rFonts w:hint="default" w:ascii="Times New Roman" w:hAnsi="Times New Roman" w:eastAsia="宋体" w:cs="Times New Roman"/>
                <w:color w:val="auto"/>
                <w:kern w:val="2"/>
                <w:sz w:val="21"/>
                <w:szCs w:val="21"/>
                <w:shd w:val="clear" w:color="auto" w:fill="auto"/>
                <w:lang w:val="en-US"/>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pacing w:before="0" w:beforeAutospacing="0" w:after="0" w:afterAutospacing="0"/>
              <w:ind w:left="0" w:right="0" w:firstLine="2100" w:firstLineChars="1000"/>
              <w:rPr>
                <w:rFonts w:hint="default" w:ascii="Times New Roman" w:hAnsi="Times New Roman" w:cs="Times New Roman"/>
                <w:color w:val="auto"/>
                <w:kern w:val="2"/>
                <w:sz w:val="21"/>
                <w:szCs w:val="21"/>
                <w:shd w:val="clear" w:color="auto" w:fill="auto"/>
                <w:lang/>
              </w:rPr>
            </w:pPr>
            <w:r>
              <w:rPr>
                <w:rFonts w:hint="default" w:ascii="Times New Roman" w:hAnsi="Times New Roman" w:eastAsia="宋体" w:cs="Times New Roman"/>
                <w:color w:val="auto"/>
                <w:kern w:val="2"/>
                <w:sz w:val="21"/>
                <w:szCs w:val="21"/>
                <w:shd w:val="clear" w:color="auto" w:fill="auto"/>
                <w:lang/>
              </w:rPr>
              <w:t>1</w:t>
            </w:r>
            <w:r>
              <w:rPr>
                <w:rFonts w:hint="default" w:ascii="Times New Roman" w:hAnsi="Times New Roman" w:eastAsia="宋体" w:cs="Times New Roman"/>
                <w:color w:val="auto"/>
                <w:kern w:val="2"/>
                <w:sz w:val="21"/>
                <w:szCs w:val="21"/>
                <w:shd w:val="clear" w:color="auto" w:fill="auto"/>
                <w:lang w:val="en-US"/>
              </w:rPr>
              <w:t>年以上</w:t>
            </w:r>
          </w:p>
        </w:tc>
        <w:tc>
          <w:tcPr>
            <w:tcW w:w="264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改正时间</w:t>
            </w:r>
          </w:p>
        </w:tc>
        <w:tc>
          <w:tcPr>
            <w:tcW w:w="504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lang/>
              </w:rPr>
            </w:pPr>
            <w:r>
              <w:rPr>
                <w:rFonts w:hint="eastAsia" w:ascii="Times New Roman" w:hAnsi="Times New Roman" w:cs="Times New Roman"/>
                <w:color w:val="auto"/>
                <w:kern w:val="2"/>
                <w:sz w:val="21"/>
                <w:szCs w:val="21"/>
                <w:shd w:val="clear" w:color="auto" w:fill="auto"/>
                <w:lang w:eastAsia="zh-CN"/>
              </w:rPr>
              <w:t>限期改正</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rPr>
            </w:pPr>
            <w:r>
              <w:rPr>
                <w:rFonts w:hint="default" w:ascii="Times New Roman" w:hAnsi="Times New Roman" w:cs="Times New Roman"/>
                <w:color w:val="auto"/>
                <w:sz w:val="20"/>
                <w:szCs w:val="20"/>
                <w:shd w:val="clear" w:color="auto" w:fill="auto"/>
                <w:lang w:val="en-US" w:eastAsia="zh-CN"/>
              </w:rPr>
              <w:t>3天以下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3天以上7天以下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7天以上</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27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27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27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2" w:firstLineChars="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7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2"/>
              <w:jc w:val="center"/>
              <w:rPr>
                <w:rFonts w:hint="default" w:ascii="Times New Roman" w:hAnsi="Times New Roman" w:cs="Times New Roman"/>
                <w:b/>
                <w:bCs/>
                <w:color w:val="auto"/>
                <w:sz w:val="20"/>
                <w:szCs w:val="20"/>
                <w:shd w:val="clear" w:color="auto" w:fill="auto"/>
              </w:rPr>
            </w:pPr>
          </w:p>
        </w:tc>
      </w:tr>
    </w:tbl>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p>
    <w:p>
      <w:pPr>
        <w:widowControl/>
        <w:shd w:val="clear" w:color="auto" w:fill="auto"/>
        <w:snapToGrid w:val="0"/>
        <w:jc w:val="left"/>
        <w:outlineLvl w:val="9"/>
        <w:rPr>
          <w:rFonts w:ascii="Times New Roman" w:hAnsi="Times New Roman" w:eastAsia="FangSong_GB2312" w:cs="Times New Roman"/>
          <w:b/>
          <w:bCs/>
          <w:color w:val="auto"/>
          <w:sz w:val="10"/>
          <w:szCs w:val="10"/>
          <w:shd w:val="clear" w:color="auto" w:fill="auto"/>
        </w:rPr>
      </w:pPr>
      <w:r>
        <w:rPr>
          <w:rFonts w:ascii="Times New Roman" w:hAnsi="Times New Roman" w:eastAsia="FangSong_GB2312" w:cs="Times New Roman"/>
          <w:b/>
          <w:bCs/>
          <w:color w:val="auto"/>
          <w:sz w:val="10"/>
          <w:szCs w:val="10"/>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6434"/>
        <w:gridCol w:w="1267"/>
      </w:tblGrid>
      <w:tr>
        <w:trPr>
          <w:trHeight w:val="397"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bookmarkStart w:id="285" w:name="_Toc25240287"/>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五</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土壤污染防治类</w:t>
            </w:r>
          </w:p>
        </w:tc>
      </w:tr>
      <w:tr>
        <w:trPr>
          <w:trHeight w:val="397" w:hRule="atLeast"/>
        </w:trPr>
        <w:tc>
          <w:tcPr>
            <w:tcW w:w="135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01"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24</w:t>
            </w:r>
          </w:p>
        </w:tc>
      </w:tr>
      <w:tr>
        <w:trPr>
          <w:trHeight w:val="397" w:hRule="atLeast"/>
        </w:trPr>
        <w:tc>
          <w:tcPr>
            <w:tcW w:w="135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01" w:type="dxa"/>
            <w:gridSpan w:val="2"/>
            <w:vAlign w:val="top"/>
          </w:tcPr>
          <w:p>
            <w:pPr>
              <w:shd w:val="clear" w:color="auto" w:fill="auto"/>
              <w:snapToGrid w:val="0"/>
              <w:spacing w:before="0" w:beforeAutospacing="0" w:after="0" w:afterAutospacing="0" w:line="320" w:lineRule="exact"/>
              <w:ind w:left="0" w:right="0" w:firstLine="420"/>
              <w:outlineLvl w:val="9"/>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sz w:val="20"/>
                <w:szCs w:val="20"/>
                <w:shd w:val="clear" w:color="auto" w:fill="auto"/>
              </w:rPr>
              <w:t>新建、改建、扩建有色金属选矿、有色金属冶炼、石油加工、化工、焦化、电镀、制革、危险废物处理处置等项目，未对建设厂区进行防渗处理，或者新建、改建、扩建加油站和储油库项目，未对地下油罐设施进行防渗处理的</w:t>
            </w:r>
          </w:p>
        </w:tc>
      </w:tr>
      <w:tr>
        <w:trPr>
          <w:trHeight w:val="397" w:hRule="atLeast"/>
        </w:trPr>
        <w:tc>
          <w:tcPr>
            <w:tcW w:w="135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01" w:type="dxa"/>
            <w:gridSpan w:val="2"/>
            <w:vAlign w:val="top"/>
          </w:tcPr>
          <w:p>
            <w:pPr>
              <w:widowControl/>
              <w:shd w:val="clear" w:color="auto" w:fill="auto"/>
              <w:spacing w:before="0" w:beforeAutospacing="0" w:after="0" w:afterAutospacing="0" w:line="320" w:lineRule="exact"/>
              <w:ind w:left="0" w:right="0" w:firstLine="42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《河南省土壤污染防治条例》第二十二条 新建、改建、扩建有色金属选矿、有色金属冶炼、石油加工、化工、焦化、电镀、制革、危险废物处理处置等项目，应当对建设厂区进行防渗处理，防止土壤污染。</w:t>
            </w:r>
          </w:p>
          <w:p>
            <w:pPr>
              <w:widowControl/>
              <w:shd w:val="clear" w:color="auto" w:fill="auto"/>
              <w:spacing w:before="0" w:beforeAutospacing="0" w:after="0" w:afterAutospacing="0" w:line="320" w:lineRule="exact"/>
              <w:ind w:left="0" w:right="0" w:firstLine="42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新建、改建、扩建加油站和储油库项目，应当对地下油罐设施进行防渗处理，防止土壤污染</w:t>
            </w:r>
          </w:p>
        </w:tc>
      </w:tr>
      <w:tr>
        <w:trPr>
          <w:trHeight w:val="397" w:hRule="atLeast"/>
        </w:trPr>
        <w:tc>
          <w:tcPr>
            <w:tcW w:w="135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01" w:type="dxa"/>
            <w:gridSpan w:val="2"/>
            <w:vAlign w:val="top"/>
          </w:tcPr>
          <w:p>
            <w:pPr>
              <w:widowControl/>
              <w:shd w:val="clear" w:color="auto" w:fill="auto"/>
              <w:snapToGrid w:val="0"/>
              <w:spacing w:before="0" w:beforeAutospacing="0" w:after="0" w:afterAutospacing="0" w:line="320" w:lineRule="exact"/>
              <w:ind w:left="0" w:right="0" w:firstLine="42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《河南省土壤污染防治条例》第六十六条 违反本条例规定，新建、改建、扩建有色金属选矿、有色金属冶炼、石油加工、化工、焦化、电镀、制革、危险废物处理处置等项目，未对建设厂区进行防渗处理，或者新建、改建、扩建加油站和储油库项目，未对地下油罐设施进行防渗处理的，由生态环境主管部门责令停止违法行为，限期采取治理措施，消除污染，处二十万元以上一百万元以下罚款；逾期不采取治理措施的，生态环境主管部门可以委托有治理能力的单位代为履行，所需费用由违法者承担。</w:t>
            </w:r>
          </w:p>
        </w:tc>
      </w:tr>
      <w:tr>
        <w:trPr>
          <w:trHeight w:val="454" w:hRule="atLeast"/>
        </w:trPr>
        <w:tc>
          <w:tcPr>
            <w:tcW w:w="135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6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126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54" w:hRule="atLeast"/>
        </w:trPr>
        <w:tc>
          <w:tcPr>
            <w:tcW w:w="135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6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项目主体工程尚未建设，对厂区或油管设施采取防渗处理，但是不符合要求</w:t>
            </w:r>
          </w:p>
        </w:tc>
        <w:tc>
          <w:tcPr>
            <w:tcW w:w="126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54" w:hRule="atLeast"/>
        </w:trPr>
        <w:tc>
          <w:tcPr>
            <w:tcW w:w="135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项目主体工程尚</w:t>
            </w:r>
            <w:r>
              <w:rPr>
                <w:rFonts w:hint="default" w:ascii="Times New Roman" w:hAnsi="Times New Roman" w:cs="Times New Roman"/>
                <w:color w:val="auto"/>
                <w:sz w:val="20"/>
                <w:szCs w:val="20"/>
                <w:shd w:val="clear" w:color="auto" w:fill="auto"/>
                <w:lang w:eastAsia="zh-CN"/>
              </w:rPr>
              <w:t>未</w:t>
            </w:r>
            <w:r>
              <w:rPr>
                <w:rFonts w:hint="default" w:ascii="Times New Roman" w:hAnsi="Times New Roman" w:cs="Times New Roman"/>
                <w:color w:val="auto"/>
                <w:sz w:val="20"/>
                <w:szCs w:val="20"/>
                <w:shd w:val="clear" w:color="auto" w:fill="auto"/>
              </w:rPr>
              <w:t>建成，对厂区或油管设施采取防渗处理，但是不符合要求</w:t>
            </w:r>
          </w:p>
        </w:tc>
        <w:tc>
          <w:tcPr>
            <w:tcW w:w="126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54" w:hRule="atLeast"/>
        </w:trPr>
        <w:tc>
          <w:tcPr>
            <w:tcW w:w="135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项目主体工程尚未建成，未对厂区或油管设施采取防渗处理</w:t>
            </w:r>
          </w:p>
        </w:tc>
        <w:tc>
          <w:tcPr>
            <w:tcW w:w="126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54" w:hRule="atLeast"/>
        </w:trPr>
        <w:tc>
          <w:tcPr>
            <w:tcW w:w="135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434"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项目主体工程已建成，未采取措施防止土壤污染</w:t>
            </w:r>
          </w:p>
        </w:tc>
        <w:tc>
          <w:tcPr>
            <w:tcW w:w="126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54" w:hRule="atLeast"/>
        </w:trPr>
        <w:tc>
          <w:tcPr>
            <w:tcW w:w="135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434"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项目已建成开始运行，未采取措施防止土壤污染</w:t>
            </w:r>
          </w:p>
        </w:tc>
        <w:tc>
          <w:tcPr>
            <w:tcW w:w="126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54" w:hRule="atLeast"/>
        </w:trPr>
        <w:tc>
          <w:tcPr>
            <w:tcW w:w="135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已造成土壤环境污染</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面积</w:t>
            </w:r>
          </w:p>
        </w:tc>
        <w:tc>
          <w:tcPr>
            <w:tcW w:w="6434"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kern w:val="0"/>
                <w:sz w:val="21"/>
                <w:szCs w:val="21"/>
                <w:shd w:val="clear" w:color="auto" w:fill="auto"/>
              </w:rPr>
            </w:pPr>
            <w:r>
              <w:rPr>
                <w:rFonts w:hint="default" w:ascii="Times New Roman" w:hAnsi="Times New Roman" w:cs="Times New Roman"/>
                <w:color w:val="auto"/>
                <w:sz w:val="21"/>
                <w:szCs w:val="21"/>
                <w:shd w:val="clear" w:color="auto" w:fill="auto"/>
              </w:rPr>
              <w:t>500m</w:t>
            </w:r>
            <w:r>
              <w:rPr>
                <w:rFonts w:hint="default" w:ascii="Times New Roman" w:hAnsi="Times New Roman" w:cs="Times New Roman"/>
                <w:color w:val="auto"/>
                <w:sz w:val="21"/>
                <w:szCs w:val="21"/>
                <w:shd w:val="clear" w:color="auto" w:fill="auto"/>
                <w:vertAlign w:val="superscript"/>
              </w:rPr>
              <w:t>2</w:t>
            </w:r>
            <w:r>
              <w:rPr>
                <w:rFonts w:hint="default" w:ascii="Times New Roman" w:hAnsi="Times New Roman" w:cs="Times New Roman"/>
                <w:color w:val="auto"/>
                <w:sz w:val="21"/>
                <w:szCs w:val="21"/>
                <w:shd w:val="clear" w:color="auto" w:fill="auto"/>
              </w:rPr>
              <w:t>以下</w:t>
            </w:r>
          </w:p>
        </w:tc>
        <w:tc>
          <w:tcPr>
            <w:tcW w:w="126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54" w:hRule="atLeast"/>
        </w:trPr>
        <w:tc>
          <w:tcPr>
            <w:tcW w:w="1359" w:type="dxa"/>
            <w:vMerge w:val="continue"/>
            <w:vAlign w:val="center"/>
          </w:tcPr>
          <w:p>
            <w:pPr>
              <w:shd w:val="clear" w:color="auto" w:fill="auto"/>
              <w:snapToGrid w:val="0"/>
              <w:spacing w:before="0" w:beforeAutospacing="0" w:after="0" w:afterAutospacing="0" w:line="320" w:lineRule="exact"/>
              <w:ind w:left="0" w:right="0" w:firstLine="422" w:firstLineChars="0"/>
              <w:jc w:val="center"/>
              <w:rPr>
                <w:rFonts w:hint="default" w:ascii="Times New Roman" w:hAnsi="Times New Roman" w:cs="Times New Roman"/>
                <w:b/>
                <w:bCs/>
                <w:color w:val="auto"/>
                <w:sz w:val="20"/>
                <w:szCs w:val="20"/>
                <w:shd w:val="clear" w:color="auto" w:fill="auto"/>
              </w:rPr>
            </w:pPr>
          </w:p>
        </w:tc>
        <w:tc>
          <w:tcPr>
            <w:tcW w:w="6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500m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以上1000m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以下</w:t>
            </w:r>
          </w:p>
        </w:tc>
        <w:tc>
          <w:tcPr>
            <w:tcW w:w="126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54" w:hRule="atLeast"/>
        </w:trPr>
        <w:tc>
          <w:tcPr>
            <w:tcW w:w="1359" w:type="dxa"/>
            <w:vMerge w:val="continue"/>
            <w:vAlign w:val="center"/>
          </w:tcPr>
          <w:p>
            <w:pPr>
              <w:shd w:val="clear" w:color="auto" w:fill="auto"/>
              <w:snapToGrid w:val="0"/>
              <w:spacing w:before="0" w:beforeAutospacing="0" w:after="0" w:afterAutospacing="0" w:line="320" w:lineRule="exact"/>
              <w:ind w:left="0" w:right="0" w:firstLine="422" w:firstLineChars="0"/>
              <w:jc w:val="center"/>
              <w:rPr>
                <w:rFonts w:hint="default" w:ascii="Times New Roman" w:hAnsi="Times New Roman" w:cs="Times New Roman"/>
                <w:b/>
                <w:bCs/>
                <w:color w:val="auto"/>
                <w:sz w:val="20"/>
                <w:szCs w:val="20"/>
                <w:shd w:val="clear" w:color="auto" w:fill="auto"/>
              </w:rPr>
            </w:pPr>
          </w:p>
        </w:tc>
        <w:tc>
          <w:tcPr>
            <w:tcW w:w="6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1000m</w:t>
            </w:r>
            <w:r>
              <w:rPr>
                <w:rFonts w:hint="default" w:ascii="Times New Roman" w:hAnsi="Times New Roman" w:cs="Times New Roman"/>
                <w:color w:val="auto"/>
                <w:sz w:val="20"/>
                <w:szCs w:val="20"/>
                <w:shd w:val="clear" w:color="auto" w:fill="auto"/>
                <w:vertAlign w:val="superscript"/>
              </w:rPr>
              <w:t>2</w:t>
            </w:r>
            <w:r>
              <w:rPr>
                <w:rFonts w:hint="default" w:ascii="Times New Roman" w:hAnsi="Times New Roman" w:cs="Times New Roman"/>
                <w:color w:val="auto"/>
                <w:sz w:val="20"/>
                <w:szCs w:val="20"/>
                <w:shd w:val="clear" w:color="auto" w:fill="auto"/>
              </w:rPr>
              <w:t>以上</w:t>
            </w:r>
          </w:p>
        </w:tc>
        <w:tc>
          <w:tcPr>
            <w:tcW w:w="126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54" w:hRule="atLeast"/>
        </w:trPr>
        <w:tc>
          <w:tcPr>
            <w:tcW w:w="1359"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地下水水质检测结果</w:t>
            </w:r>
          </w:p>
        </w:tc>
        <w:tc>
          <w:tcPr>
            <w:tcW w:w="643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造成地下水污染</w:t>
            </w:r>
            <w:r>
              <w:rPr>
                <w:rFonts w:hint="default" w:ascii="Times New Roman" w:hAnsi="Times New Roman" w:cs="Times New Roman"/>
                <w:color w:val="auto"/>
                <w:sz w:val="20"/>
                <w:szCs w:val="20"/>
                <w:shd w:val="clear" w:color="auto" w:fill="auto"/>
                <w:lang/>
              </w:rPr>
              <w:t>，</w:t>
            </w:r>
            <w:r>
              <w:rPr>
                <w:rFonts w:hint="default" w:ascii="Times New Roman" w:hAnsi="Times New Roman" w:cs="Times New Roman"/>
                <w:color w:val="auto"/>
                <w:sz w:val="20"/>
                <w:szCs w:val="20"/>
                <w:shd w:val="clear" w:color="auto" w:fill="auto"/>
                <w:lang w:val="en-US"/>
              </w:rPr>
              <w:t>但水质类别未下降</w:t>
            </w:r>
          </w:p>
        </w:tc>
        <w:tc>
          <w:tcPr>
            <w:tcW w:w="126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54" w:hRule="atLeast"/>
        </w:trPr>
        <w:tc>
          <w:tcPr>
            <w:tcW w:w="1359"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643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造成地下水污染</w:t>
            </w:r>
            <w:r>
              <w:rPr>
                <w:rFonts w:hint="default" w:ascii="Times New Roman" w:hAnsi="Times New Roman" w:cs="Times New Roman"/>
                <w:color w:val="auto"/>
                <w:sz w:val="20"/>
                <w:szCs w:val="20"/>
                <w:shd w:val="clear" w:color="auto" w:fill="auto"/>
                <w:lang/>
              </w:rPr>
              <w:t>，</w:t>
            </w:r>
            <w:r>
              <w:rPr>
                <w:rFonts w:hint="default" w:ascii="Times New Roman" w:hAnsi="Times New Roman" w:cs="Times New Roman"/>
                <w:color w:val="auto"/>
                <w:sz w:val="20"/>
                <w:szCs w:val="20"/>
                <w:shd w:val="clear" w:color="auto" w:fill="auto"/>
                <w:lang w:val="en-US"/>
              </w:rPr>
              <w:t>水质类别下降的</w:t>
            </w:r>
          </w:p>
        </w:tc>
        <w:tc>
          <w:tcPr>
            <w:tcW w:w="126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54" w:hRule="atLeast"/>
        </w:trPr>
        <w:tc>
          <w:tcPr>
            <w:tcW w:w="135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土壤环境</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rPr>
              <w:t>敏感度</w:t>
            </w:r>
          </w:p>
        </w:tc>
        <w:tc>
          <w:tcPr>
            <w:tcW w:w="6434"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cs="Times New Roman"/>
                <w:color w:val="auto"/>
                <w:sz w:val="21"/>
                <w:szCs w:val="21"/>
                <w:shd w:val="clear" w:color="auto" w:fill="auto"/>
              </w:rPr>
              <w:t>第二类建设用地</w:t>
            </w:r>
          </w:p>
        </w:tc>
        <w:tc>
          <w:tcPr>
            <w:tcW w:w="126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54" w:hRule="atLeast"/>
        </w:trPr>
        <w:tc>
          <w:tcPr>
            <w:tcW w:w="1359" w:type="dxa"/>
            <w:vMerge w:val="continue"/>
            <w:vAlign w:val="center"/>
          </w:tcPr>
          <w:p>
            <w:pPr>
              <w:shd w:val="clear" w:color="auto" w:fill="auto"/>
              <w:snapToGrid w:val="0"/>
              <w:spacing w:before="0" w:beforeAutospacing="0" w:after="0" w:afterAutospacing="0" w:line="320" w:lineRule="exact"/>
              <w:ind w:left="0" w:right="0" w:firstLine="422" w:firstLineChars="0"/>
              <w:jc w:val="center"/>
              <w:rPr>
                <w:rFonts w:hint="default" w:ascii="Times New Roman" w:hAnsi="Times New Roman" w:cs="Times New Roman"/>
                <w:b/>
                <w:bCs/>
                <w:color w:val="auto"/>
                <w:sz w:val="20"/>
                <w:szCs w:val="20"/>
                <w:shd w:val="clear" w:color="auto" w:fill="auto"/>
                <w:lang w:eastAsia="zh-CN"/>
              </w:rPr>
            </w:pPr>
          </w:p>
        </w:tc>
        <w:tc>
          <w:tcPr>
            <w:tcW w:w="6434"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第一类建设用地</w:t>
            </w:r>
          </w:p>
        </w:tc>
        <w:tc>
          <w:tcPr>
            <w:tcW w:w="126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54" w:hRule="atLeast"/>
        </w:trPr>
        <w:tc>
          <w:tcPr>
            <w:tcW w:w="135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6434"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cs="Times New Roman"/>
                <w:color w:val="auto"/>
                <w:sz w:val="21"/>
                <w:szCs w:val="21"/>
                <w:shd w:val="clear" w:color="auto" w:fill="auto"/>
              </w:rPr>
              <w:t>严格管控类农用地</w:t>
            </w:r>
          </w:p>
        </w:tc>
        <w:tc>
          <w:tcPr>
            <w:tcW w:w="126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54" w:hRule="atLeast"/>
        </w:trPr>
        <w:tc>
          <w:tcPr>
            <w:tcW w:w="135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6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cs="Times New Roman"/>
                <w:color w:val="auto"/>
                <w:sz w:val="20"/>
                <w:szCs w:val="20"/>
                <w:shd w:val="clear" w:color="auto" w:fill="auto"/>
              </w:rPr>
              <w:t>安全利用类农用地</w:t>
            </w:r>
          </w:p>
        </w:tc>
        <w:tc>
          <w:tcPr>
            <w:tcW w:w="126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54" w:hRule="atLeast"/>
        </w:trPr>
        <w:tc>
          <w:tcPr>
            <w:tcW w:w="135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6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cs="Times New Roman"/>
                <w:color w:val="auto"/>
                <w:sz w:val="20"/>
                <w:szCs w:val="20"/>
                <w:shd w:val="clear" w:color="auto" w:fill="auto"/>
              </w:rPr>
              <w:t>优先保护类农用地</w:t>
            </w:r>
          </w:p>
        </w:tc>
        <w:tc>
          <w:tcPr>
            <w:tcW w:w="126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5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6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126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5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126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35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126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35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434" w:type="dxa"/>
            <w:vAlign w:val="center"/>
          </w:tcPr>
          <w:p>
            <w:pPr>
              <w:shd w:val="clear" w:color="auto" w:fill="auto"/>
              <w:snapToGrid w:val="0"/>
              <w:spacing w:before="0" w:beforeAutospacing="0" w:after="0" w:afterAutospacing="0" w:line="320" w:lineRule="exact"/>
              <w:ind w:left="0" w:right="0" w:firstLine="2730" w:firstLineChars="1300"/>
              <w:jc w:val="both"/>
              <w:rPr>
                <w:rFonts w:hint="default" w:ascii="Times New Roman" w:hAnsi="Times New Roman" w:cs="Times New Roman"/>
                <w:color w:val="auto"/>
                <w:sz w:val="20"/>
                <w:szCs w:val="20"/>
                <w:shd w:val="clear" w:color="auto" w:fill="auto"/>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126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59"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违法行为</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持续时间</w:t>
            </w:r>
          </w:p>
        </w:tc>
        <w:tc>
          <w:tcPr>
            <w:tcW w:w="643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1个月以下的</w:t>
            </w:r>
            <w:r>
              <w:rPr>
                <w:rFonts w:hint="default" w:ascii="Times New Roman" w:hAnsi="Times New Roman" w:cs="Times New Roman"/>
                <w:color w:val="auto"/>
                <w:sz w:val="20"/>
                <w:szCs w:val="20"/>
                <w:shd w:val="clear" w:color="auto" w:fill="auto"/>
                <w:lang/>
              </w:rPr>
              <w:t>　</w:t>
            </w:r>
          </w:p>
        </w:tc>
        <w:tc>
          <w:tcPr>
            <w:tcW w:w="126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5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43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1个月以上3个月以下的</w:t>
            </w:r>
          </w:p>
        </w:tc>
        <w:tc>
          <w:tcPr>
            <w:tcW w:w="126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35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43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3个月以上6个月以下的</w:t>
            </w:r>
          </w:p>
        </w:tc>
        <w:tc>
          <w:tcPr>
            <w:tcW w:w="126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5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43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6个月以上1年以下的</w:t>
            </w:r>
          </w:p>
        </w:tc>
        <w:tc>
          <w:tcPr>
            <w:tcW w:w="126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35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43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1年以上的</w:t>
            </w:r>
          </w:p>
        </w:tc>
        <w:tc>
          <w:tcPr>
            <w:tcW w:w="126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59"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改正时间</w:t>
            </w:r>
          </w:p>
        </w:tc>
        <w:tc>
          <w:tcPr>
            <w:tcW w:w="6434"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126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trPr>
        <w:tc>
          <w:tcPr>
            <w:tcW w:w="1359"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64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126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59"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64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126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97" w:hRule="atLeast"/>
        </w:trPr>
        <w:tc>
          <w:tcPr>
            <w:tcW w:w="1359"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64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126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trPr>
        <w:tc>
          <w:tcPr>
            <w:tcW w:w="135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6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126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5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434"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两年内受到同类处罚1次</w:t>
            </w:r>
          </w:p>
        </w:tc>
        <w:tc>
          <w:tcPr>
            <w:tcW w:w="126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5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434"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两年内受到同类处罚2次以上</w:t>
            </w:r>
          </w:p>
        </w:tc>
        <w:tc>
          <w:tcPr>
            <w:tcW w:w="126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5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64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126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5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4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126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5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4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126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5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64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126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5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01"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widowControl/>
        <w:shd w:val="clear" w:color="auto" w:fill="auto"/>
        <w:spacing w:line="360" w:lineRule="auto"/>
        <w:jc w:val="center"/>
        <w:outlineLvl w:val="9"/>
        <w:rPr>
          <w:rFonts w:ascii="Times New Roman" w:hAnsi="Times New Roman" w:eastAsia="FangSong_GB2312" w:cs="Times New Roman"/>
          <w:b/>
          <w:bCs/>
          <w:color w:val="auto"/>
          <w:sz w:val="32"/>
          <w:szCs w:val="32"/>
          <w:shd w:val="clear" w:color="auto" w:fill="auto"/>
        </w:rPr>
      </w:pPr>
    </w:p>
    <w:p>
      <w:pPr>
        <w:widowControl/>
        <w:shd w:val="clear" w:color="auto" w:fill="auto"/>
        <w:spacing w:line="360" w:lineRule="auto"/>
        <w:jc w:val="center"/>
        <w:outlineLvl w:val="9"/>
        <w:rPr>
          <w:rFonts w:ascii="Times New Roman" w:hAnsi="Times New Roman" w:eastAsia="FangSong_GB2312" w:cs="Times New Roman"/>
          <w:b/>
          <w:bCs/>
          <w:color w:val="auto"/>
          <w:sz w:val="32"/>
          <w:szCs w:val="32"/>
          <w:shd w:val="clear" w:color="auto" w:fill="auto"/>
        </w:rPr>
      </w:pPr>
    </w:p>
    <w:p>
      <w:pPr>
        <w:widowControl/>
        <w:shd w:val="clear" w:color="auto" w:fill="auto"/>
        <w:spacing w:line="360" w:lineRule="auto"/>
        <w:ind w:firstLine="643" w:firstLineChars="200"/>
        <w:jc w:val="left"/>
        <w:outlineLvl w:val="1"/>
        <w:rPr>
          <w:rFonts w:hint="default" w:ascii="Times New Roman" w:hAnsi="Times New Roman" w:eastAsia="方正楷体_GBK" w:cs="Times New Roman"/>
          <w:bCs/>
          <w:color w:val="auto"/>
          <w:sz w:val="32"/>
          <w:szCs w:val="32"/>
          <w:shd w:val="clear" w:color="auto" w:fill="auto"/>
        </w:rPr>
      </w:pPr>
      <w:r>
        <w:rPr>
          <w:rFonts w:ascii="Times New Roman" w:hAnsi="Times New Roman" w:eastAsia="FangSong_GB2312" w:cs="Times New Roman"/>
          <w:b/>
          <w:bCs/>
          <w:color w:val="auto"/>
          <w:sz w:val="32"/>
          <w:szCs w:val="32"/>
          <w:shd w:val="clear" w:color="auto" w:fill="auto"/>
        </w:rPr>
        <w:br w:type="page"/>
      </w:r>
      <w:bookmarkStart w:id="286" w:name="_Toc15982"/>
      <w:bookmarkStart w:id="287" w:name="_Toc13773"/>
      <w:r>
        <w:rPr>
          <w:rFonts w:ascii="Times New Roman" w:hAnsi="Times New Roman" w:eastAsia="方正楷体_GBK" w:cs="Times New Roman"/>
          <w:bCs/>
          <w:color w:val="auto"/>
          <w:sz w:val="32"/>
          <w:szCs w:val="32"/>
          <w:shd w:val="clear" w:color="auto" w:fill="auto"/>
        </w:rPr>
        <w:t>（六）辐射污染防治类</w:t>
      </w:r>
      <w:bookmarkEnd w:id="285"/>
      <w:bookmarkEnd w:id="286"/>
      <w:bookmarkEnd w:id="287"/>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拒绝环境保护行政主管部门和其他有关部门进行现场检查，或者被检查时不如实反映情况和提供必要资料的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无许可证或者不按照许可证规定的种类和范围从事生产、销售、使用、转让、进口、贮存放射性同位素和射线装置以及装备有放射性同位素的仪表的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3.</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未建造尾矿库或者不按照放射性污染防治的要求建造尾矿库，贮存、处置铀（钍）矿和伴生放射性矿的尾矿的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4.</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向环境排放不得排放的放射性废气、废液的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5.</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不按照规定的方式排放放射性废液，利用渗井、渗坑、天然裂隙、溶洞或者国家禁止的其他方式排放放射性废液的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6.</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不按照规定处理或者贮存不得向环境排放的放射性废液的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7.</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将放射性固体废物或者废旧放射源提供或者委托给无许可证的单位贮存和处置的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8.</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不按照规定设置放射性标识、标志、中文警示说明，责令限期改正逾期不改正的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9.</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不按照规定制定事故应急计划或者应急措施，责令限期改正逾期不改正的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10.</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不按照规定报告放射源丢失、被盗情况或者放射性污染事故，责令限期改正逾期不改正的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11.</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不按照规定对其产生的放射性固体废物进行处置的，责令限期改正逾期不改正的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12.</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未经许可，擅自从事废旧放射源或者其他放射性固体废物的贮存、处置活动的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13.</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不按照许可的有关规定从事贮存和处置废旧放射源或者放射性固体废物活动的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14.</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生产、销售、使用放射性同位素和射线装置的单位改变所从事活动的种类或者范围以及新建、改建或者扩建生产、销售、使用设施或者场所，未按照规定重新申请领取许可证的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15.</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生产、销售、使用放射性同位素和射线装置的单位许可证有效期届满，需要延续而未按照规定办理延续手续的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16.</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生产、销售、使用放射性同位素和射线装置的单位未经批准，擅自进口或者转让放射性同位素的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17.</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生产、销售、使用放射性同位素和射线装置的单位部分终止或者全部终止生产、销售、使用活动，未按照规定办理许可证变更或者注销手续，责令限期改正逾期不改正的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18.</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伪造、变造、转让许可证的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19.</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伪造、变造、转让放射性同位素进口和转让批准文件的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20.</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生产、销售、使用放射性同位素和射线装置的单位在室外、野外使用放射性同位素和射线装置，未按照国家有关安全和防护标准的要求划出安全防护区域和设置明显的放射性标志，责令限期改正逾期不改正的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21.</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生产、销售、使用放射性同位素和射线装置的单位未经批准擅自在野外进行放射性同位素示踪试验，责令限期改正逾期不改正的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22.</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生产放射性同位素的单位未建立放射性同位素产品台账，责令限期改正逾期不改正的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23.</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生产放射性同位素的单位未按照国务院生态环境主管部门制定的编码规则，对生产的放射源进行统一编码，责令限期改正逾期不改正的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24.</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生产放射性同位素的单位未将放射性同位素产品台账和放射源编码清单报国务院生态环境主管部门备案，责令限期改正逾期不改正的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25.</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生产放射性同位素的单位出厂或者销售未列入产品台账的放射性同位素和未编码的放射源，责令限期改正逾期不改正的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26.</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生产、销售、使用放射性同位素和射线装置的单位未按照规定对废旧放射源进行处理，责令限期改正逾期不改正的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27.</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生产、销售、使用放射性同位素和射线装置的单位未按照规定对使用Ⅰ类、Ⅱ类、Ⅲ类放射源的场所和生产放射性同位素的场所，以及终结运行后产生放射性污染的射线装置实施退役，责令限期改正逾期不改正的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28.</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生产、销售、使用放射性同位素和射线装置的单位未按照规定对本单位的放射性同位素、射线装置安全和防护状况进行评估或者发现安全隐患不及时整改，责令限期改正逾期不改正的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29.</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生产、销售、使用放射性同位素和射线装置的单位生产、销售、使用、贮存放射性同位素和射线装置的场所未按照规定设置安全和防护设施以及放射性标志，责令限期改正逾期不改正的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30.</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核设施营运单位未按照规定，将其产生的废旧放射源送交贮存、处置，或者将其产生的其他放射性固体废物送交处置，责令限期改正逾期不改正的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31.</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核技术利用单位未按照规定，将其产生的废旧放射源或者其他放射性固体废物送交贮存、处置，责令限期改正逾期不改正的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32.</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放射性固体废物贮存、处置单位未按照国家有关放射性污染防治标准和国务院环境保护主管部门的规定贮存、处置废旧放射源或者其他放射性固体废物的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33.</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放射性固体废物贮存、处置单位未按照规定建立情况记录档案，或者未按照规定进行如实记录的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34.</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核设施营运单位、核技术利用单位或者放射性固体废物贮存、处置单位未按照规定如实报告有关情况的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35.</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核设施营运单位、核技术利用单位或者放射性固体废物贮存、处置单位未按照规定对有关工作人员进行技术培训和考核的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36.</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托运人未按照规定将放射性物品运输的核与辐射安全分析报告批准书、辐射监测报告备案，责令限期改正逾期不改正的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37.</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未按照规定对托运的放射性物品表面污染和辐射水平实施监测的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38.</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将经监测不符合国家放射性物品运输安全标准的放射性物品交付托运的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39.</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出具虚假辐射监测报告的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40.</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托运人、承运人未按照核与辐射事故应急响应指南的要求，做好事故应急工作并报告事故的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41.</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违反规定造成辐射事故的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42.</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省辖市转移使用放射性同位素和射线装置的，未在转移活动实施前五日内向使用地省辖市环境保护行政主管部门备案，使用活动结束后十日内办理备案注销手续的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43.</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在室外、野外使用放射性同位素和射线装置未按照国家有关规定进行作业、未报告使用情况的，或者可移动放射性同位素贮存场所未按照国家规定采取防丢失、防射线泄漏等安全防护措施的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44.</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委托无许可证或者超出许可证规定的种类和范围的单位，进行放射性同位素、射线装置作业的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45.</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废旧金属熔炼单位未对废旧金属进行放射性</w:t>
      </w:r>
      <w:r>
        <w:rPr>
          <w:rFonts w:hint="default" w:ascii="Times New Roman" w:hAnsi="Times New Roman" w:eastAsia="方正仿宋_GBK" w:cs="Times New Roman"/>
          <w:color w:val="auto"/>
          <w:sz w:val="32"/>
          <w:szCs w:val="32"/>
          <w:shd w:val="clear" w:color="auto" w:fill="auto"/>
          <w:lang w:val="en-US"/>
        </w:rPr>
        <w:t>监</w:t>
      </w:r>
      <w:r>
        <w:rPr>
          <w:rFonts w:ascii="Times New Roman" w:hAnsi="Times New Roman" w:eastAsia="方正仿宋_GBK" w:cs="Times New Roman"/>
          <w:color w:val="auto"/>
          <w:sz w:val="32"/>
          <w:szCs w:val="32"/>
          <w:shd w:val="clear" w:color="auto" w:fill="auto"/>
        </w:rPr>
        <w:t>测，或者发现</w:t>
      </w:r>
      <w:r>
        <w:rPr>
          <w:rFonts w:hint="default" w:ascii="Times New Roman" w:hAnsi="Times New Roman" w:eastAsia="方正仿宋_GBK" w:cs="Times New Roman"/>
          <w:color w:val="auto"/>
          <w:sz w:val="32"/>
          <w:szCs w:val="32"/>
          <w:shd w:val="clear" w:color="auto" w:fill="auto"/>
          <w:lang w:val="en-US"/>
        </w:rPr>
        <w:t>监</w:t>
      </w:r>
      <w:r>
        <w:rPr>
          <w:rFonts w:ascii="Times New Roman" w:hAnsi="Times New Roman" w:eastAsia="方正仿宋_GBK" w:cs="Times New Roman"/>
          <w:color w:val="auto"/>
          <w:sz w:val="32"/>
          <w:szCs w:val="32"/>
          <w:shd w:val="clear" w:color="auto" w:fill="auto"/>
        </w:rPr>
        <w:t>测结果异常未如实报告的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46.</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拥有电磁辐射设施、设备的单位未按照规定进行申报登记，或者使用电磁辐射设施、设备的单位未按照规定采取有效的漏能控制措施和屏蔽措施的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47.</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擅自拆除或者闲置辐射污染防治设施的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48.</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辐射单位未对工作场所以及周围辐射环境进行定期监测的，或者发现异常情况未及时报告的</w:t>
      </w:r>
      <w:r>
        <w:rPr>
          <w:rFonts w:hint="eastAsia" w:ascii="Times New Roman" w:hAnsi="Times New Roman" w:eastAsia="方正仿宋_GBK" w:cs="Times New Roman"/>
          <w:color w:val="auto"/>
          <w:sz w:val="32"/>
          <w:szCs w:val="32"/>
          <w:shd w:val="clear" w:color="auto" w:fill="auto"/>
          <w:lang w:eastAsia="zh-CN"/>
        </w:rPr>
        <w:t>。</w:t>
      </w:r>
    </w:p>
    <w:p>
      <w:pPr>
        <w:widowControl/>
        <w:shd w:val="clear" w:color="auto" w:fill="auto"/>
        <w:snapToGrid w:val="0"/>
        <w:jc w:val="left"/>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5150"/>
        <w:gridCol w:w="2646"/>
      </w:tblGrid>
      <w:tr>
        <w:trPr>
          <w:trHeight w:val="397" w:hRule="atLeast"/>
          <w:jc w:val="center"/>
        </w:trPr>
        <w:tc>
          <w:tcPr>
            <w:tcW w:w="9060" w:type="dxa"/>
            <w:gridSpan w:val="3"/>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jc w:val="center"/>
        </w:trPr>
        <w:tc>
          <w:tcPr>
            <w:tcW w:w="1264"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96" w:type="dxa"/>
            <w:gridSpan w:val="2"/>
            <w:vAlign w:val="center"/>
          </w:tcPr>
          <w:p>
            <w:pPr>
              <w:shd w:val="clear" w:color="auto" w:fill="auto"/>
              <w:wordWrap/>
              <w:adjustRightInd/>
              <w:snapToGrid w:val="0"/>
              <w:spacing w:before="0" w:beforeAutospacing="0" w:after="0" w:afterAutospacing="0" w:line="35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288" w:name="_Toc27149"/>
            <w:r>
              <w:rPr>
                <w:rFonts w:hint="default" w:ascii="Times New Roman" w:hAnsi="Times New Roman" w:cs="Times New Roman"/>
                <w:color w:val="auto"/>
                <w:sz w:val="20"/>
                <w:szCs w:val="20"/>
                <w:shd w:val="clear" w:color="auto" w:fill="auto"/>
              </w:rPr>
              <w:t>1</w:t>
            </w:r>
            <w:bookmarkEnd w:id="288"/>
          </w:p>
        </w:tc>
      </w:tr>
      <w:tr>
        <w:trPr>
          <w:trHeight w:val="397" w:hRule="atLeast"/>
          <w:jc w:val="center"/>
        </w:trPr>
        <w:tc>
          <w:tcPr>
            <w:tcW w:w="1264"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796"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50" w:lineRule="exact"/>
              <w:ind w:left="0" w:right="0" w:firstLine="420" w:firstLineChars="200"/>
              <w:textAlignment w:val="auto"/>
              <w:outlineLvl w:val="9"/>
              <w:rPr>
                <w:rFonts w:hint="default" w:ascii="Times New Roman" w:hAnsi="Times New Roman" w:cs="Times New Roman"/>
                <w:color w:val="auto"/>
                <w:kern w:val="0"/>
                <w:sz w:val="20"/>
                <w:szCs w:val="20"/>
                <w:shd w:val="clear" w:color="auto" w:fill="auto"/>
              </w:rPr>
            </w:pPr>
            <w:bookmarkStart w:id="289" w:name="_Toc1865"/>
            <w:r>
              <w:rPr>
                <w:rFonts w:hint="default" w:ascii="Times New Roman" w:hAnsi="Times New Roman" w:cs="Times New Roman"/>
                <w:color w:val="auto"/>
                <w:kern w:val="0"/>
                <w:sz w:val="20"/>
                <w:szCs w:val="20"/>
                <w:shd w:val="clear" w:color="auto" w:fill="auto"/>
              </w:rPr>
              <w:t>拒绝环境保护行政主管部门和其他有关部门进行现场检查，或者被检查时不如实反映情况和提供必要资料的</w:t>
            </w:r>
            <w:bookmarkEnd w:id="289"/>
          </w:p>
        </w:tc>
      </w:tr>
      <w:tr>
        <w:trPr>
          <w:trHeight w:val="397" w:hRule="atLeast"/>
          <w:jc w:val="center"/>
        </w:trPr>
        <w:tc>
          <w:tcPr>
            <w:tcW w:w="1264"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96"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50" w:lineRule="exact"/>
              <w:ind w:left="0" w:right="0" w:firstLine="422" w:firstLineChars="200"/>
              <w:jc w:val="left"/>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1.《中华人民共和国放射性污染防治法》第十一条第三款 </w:t>
            </w:r>
            <w:r>
              <w:rPr>
                <w:rFonts w:hint="default" w:ascii="Times New Roman" w:hAnsi="Times New Roman" w:cs="Times New Roman"/>
                <w:color w:val="auto"/>
                <w:kern w:val="0"/>
                <w:sz w:val="20"/>
                <w:szCs w:val="20"/>
                <w:shd w:val="clear" w:color="auto" w:fill="auto"/>
              </w:rPr>
              <w:t>监督检查人员进行现场检查时，应当出示证件。被检查的单位必须如实反映情况，提供必要的资料。监督检查人员应当为被检查单位保守技术秘密和业务秘密。对涉及国家秘密的单位和部位进行检查时，应当遵守国家有关保守国家秘密的规定，依法办理有关审批手续。</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50" w:lineRule="exact"/>
              <w:ind w:left="0" w:right="0" w:firstLine="422" w:firstLineChars="200"/>
              <w:jc w:val="left"/>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sz w:val="20"/>
                <w:szCs w:val="20"/>
                <w:shd w:val="clear" w:color="auto" w:fill="auto"/>
              </w:rPr>
              <w:t>2.《放射性废物安全管理条例》第二十九条第二款</w:t>
            </w:r>
            <w:r>
              <w:rPr>
                <w:rFonts w:hint="default" w:ascii="Times New Roman" w:hAnsi="Times New Roman" w:cs="Times New Roman"/>
                <w:color w:val="auto"/>
                <w:sz w:val="20"/>
                <w:szCs w:val="20"/>
                <w:shd w:val="clear" w:color="auto" w:fill="auto"/>
              </w:rPr>
              <w:t xml:space="preserve"> 被检查单位应当予以配合，如实反映情况，提供必要的资料，不得拒绝和阻碍。</w:t>
            </w:r>
          </w:p>
        </w:tc>
      </w:tr>
      <w:tr>
        <w:trPr>
          <w:trHeight w:val="397" w:hRule="atLeast"/>
          <w:jc w:val="center"/>
        </w:trPr>
        <w:tc>
          <w:tcPr>
            <w:tcW w:w="1264"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96" w:type="dxa"/>
            <w:gridSpan w:val="2"/>
            <w:vAlign w:val="center"/>
          </w:tcPr>
          <w:p>
            <w:pPr>
              <w:widowControl/>
              <w:shd w:val="clear" w:color="auto" w:fill="auto"/>
              <w:wordWrap/>
              <w:adjustRightInd/>
              <w:snapToGrid w:val="0"/>
              <w:spacing w:before="0" w:beforeAutospacing="0" w:after="0" w:afterAutospacing="0" w:line="350" w:lineRule="exact"/>
              <w:ind w:left="0" w:right="0" w:firstLine="422" w:firstLineChars="200"/>
              <w:jc w:val="left"/>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1.《中华人民共和国放射性污染防治法》第四十九条第（二）项 </w:t>
            </w:r>
            <w:r>
              <w:rPr>
                <w:rFonts w:hint="default" w:ascii="Times New Roman" w:hAnsi="Times New Roman" w:cs="Times New Roman"/>
                <w:color w:val="auto"/>
                <w:kern w:val="0"/>
                <w:sz w:val="20"/>
                <w:szCs w:val="20"/>
                <w:shd w:val="clear" w:color="auto" w:fill="auto"/>
              </w:rPr>
              <w:t>违反本法规定，有下列行为之一的，由县级以上人民政府环境保护行政主管部门或者其他有关部门依据职权责令限期改正，可以处二万元以下罚款：</w:t>
            </w:r>
          </w:p>
          <w:p>
            <w:pPr>
              <w:widowControl/>
              <w:shd w:val="clear" w:color="auto" w:fill="auto"/>
              <w:wordWrap/>
              <w:adjustRightInd/>
              <w:snapToGrid w:val="0"/>
              <w:spacing w:before="0" w:beforeAutospacing="0" w:after="0" w:afterAutospacing="0" w:line="350" w:lineRule="exact"/>
              <w:ind w:left="0" w:right="0" w:firstLine="420" w:firstLineChars="200"/>
              <w:jc w:val="left"/>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（二）拒绝环境保护行政主管部门和其他有关部门进行现场检查，或者被检查时不如实反映情况和提供必要资料的。</w:t>
            </w:r>
          </w:p>
          <w:p>
            <w:pPr>
              <w:widowControl/>
              <w:shd w:val="clear" w:color="auto" w:fill="auto"/>
              <w:wordWrap/>
              <w:adjustRightInd/>
              <w:snapToGrid w:val="0"/>
              <w:spacing w:before="0" w:beforeAutospacing="0" w:after="0" w:afterAutospacing="0" w:line="350" w:lineRule="exact"/>
              <w:ind w:left="0" w:right="0" w:firstLine="422" w:firstLineChars="200"/>
              <w:jc w:val="left"/>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sz w:val="20"/>
                <w:szCs w:val="20"/>
                <w:shd w:val="clear" w:color="auto" w:fill="auto"/>
              </w:rPr>
              <w:t>2.《放射性废物安全管理条例》第四十一条</w:t>
            </w:r>
            <w:r>
              <w:rPr>
                <w:rFonts w:hint="default" w:ascii="Times New Roman" w:hAnsi="Times New Roman" w:cs="Times New Roman"/>
                <w:color w:val="auto"/>
                <w:sz w:val="20"/>
                <w:szCs w:val="20"/>
                <w:shd w:val="clear" w:color="auto" w:fill="auto"/>
              </w:rPr>
              <w:t xml:space="preserve"> 违反本条例规定，拒绝、阻碍环境保护主管部门或者其他有关部门的监督检查，或者在接受监督检查时弄虚作假的，由监督检查部门责令改正，处2万元以下的罚款；构成违反治安管理行为的，由公安机关依法给予治安管理处罚；构成犯罪的，依法追究刑事责任。</w:t>
            </w:r>
          </w:p>
        </w:tc>
      </w:tr>
      <w:tr>
        <w:trPr>
          <w:trHeight w:val="425" w:hRule="atLeast"/>
          <w:jc w:val="center"/>
        </w:trPr>
        <w:tc>
          <w:tcPr>
            <w:tcW w:w="1264"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50"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jc w:val="center"/>
        </w:trPr>
        <w:tc>
          <w:tcPr>
            <w:tcW w:w="1264" w:type="dxa"/>
            <w:vMerge w:val="restart"/>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★拒绝检查情形</w:t>
            </w:r>
          </w:p>
        </w:tc>
        <w:tc>
          <w:tcPr>
            <w:tcW w:w="5150" w:type="dxa"/>
            <w:vAlign w:val="center"/>
          </w:tcPr>
          <w:p>
            <w:pPr>
              <w:pStyle w:val="18"/>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迟滞10分钟以上30分钟</w:t>
            </w:r>
            <w:r>
              <w:rPr>
                <w:rFonts w:hint="default" w:ascii="Times New Roman" w:hAnsi="Times New Roman" w:cs="Times New Roman"/>
                <w:color w:val="auto"/>
                <w:sz w:val="21"/>
                <w:szCs w:val="21"/>
                <w:shd w:val="clear" w:color="auto" w:fill="auto"/>
                <w:lang w:eastAsia="zh-CN"/>
              </w:rPr>
              <w:t>以下</w:t>
            </w:r>
          </w:p>
        </w:tc>
        <w:tc>
          <w:tcPr>
            <w:tcW w:w="2646"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264" w:type="dxa"/>
            <w:vMerge w:val="continue"/>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迟滞</w:t>
            </w:r>
            <w:r>
              <w:rPr>
                <w:rFonts w:hint="default" w:ascii="Times New Roman" w:hAnsi="Times New Roman" w:cs="Times New Roman"/>
                <w:color w:val="auto"/>
                <w:sz w:val="20"/>
                <w:szCs w:val="20"/>
                <w:shd w:val="clear" w:color="auto" w:fill="auto"/>
                <w:lang w:eastAsia="zh-CN"/>
              </w:rPr>
              <w:t>3</w:t>
            </w:r>
            <w:r>
              <w:rPr>
                <w:rFonts w:hint="default" w:ascii="Times New Roman" w:hAnsi="Times New Roman" w:cs="Times New Roman"/>
                <w:color w:val="auto"/>
                <w:sz w:val="20"/>
                <w:szCs w:val="20"/>
                <w:shd w:val="clear" w:color="auto" w:fill="auto"/>
                <w:lang w:val="en-US" w:eastAsia="zh-CN"/>
              </w:rPr>
              <w:t>0分钟以上</w:t>
            </w:r>
          </w:p>
        </w:tc>
        <w:tc>
          <w:tcPr>
            <w:tcW w:w="2646"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jc w:val="center"/>
        </w:trPr>
        <w:tc>
          <w:tcPr>
            <w:tcW w:w="1264" w:type="dxa"/>
            <w:vMerge w:val="continue"/>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阻碍或隐匿部分资料</w:t>
            </w:r>
          </w:p>
        </w:tc>
        <w:tc>
          <w:tcPr>
            <w:tcW w:w="2646"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264" w:type="dxa"/>
            <w:vMerge w:val="continue"/>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围堵、滞留执法人员或拒绝提供资料</w:t>
            </w:r>
          </w:p>
        </w:tc>
        <w:tc>
          <w:tcPr>
            <w:tcW w:w="2646"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jc w:val="center"/>
        </w:trPr>
        <w:tc>
          <w:tcPr>
            <w:tcW w:w="1264" w:type="dxa"/>
            <w:vMerge w:val="continue"/>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暴力抗法</w:t>
            </w:r>
          </w:p>
        </w:tc>
        <w:tc>
          <w:tcPr>
            <w:tcW w:w="2646"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264" w:type="dxa"/>
            <w:vMerge w:val="restart"/>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★弄虚作假情形</w:t>
            </w:r>
          </w:p>
        </w:tc>
        <w:tc>
          <w:tcPr>
            <w:tcW w:w="5150"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提供假信息</w:t>
            </w:r>
          </w:p>
        </w:tc>
        <w:tc>
          <w:tcPr>
            <w:tcW w:w="2646"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3</w:t>
            </w:r>
          </w:p>
        </w:tc>
      </w:tr>
      <w:tr>
        <w:trPr>
          <w:trHeight w:val="425" w:hRule="atLeast"/>
          <w:jc w:val="center"/>
        </w:trPr>
        <w:tc>
          <w:tcPr>
            <w:tcW w:w="1264" w:type="dxa"/>
            <w:vMerge w:val="continue"/>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伪造现场或证据</w:t>
            </w:r>
          </w:p>
        </w:tc>
        <w:tc>
          <w:tcPr>
            <w:tcW w:w="2646"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264" w:type="dxa"/>
            <w:vMerge w:val="restart"/>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涉及放射种类</w:t>
            </w:r>
          </w:p>
        </w:tc>
        <w:tc>
          <w:tcPr>
            <w:tcW w:w="5150"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cs="Times New Roman"/>
                <w:color w:val="auto"/>
                <w:sz w:val="20"/>
                <w:szCs w:val="20"/>
                <w:shd w:val="clear" w:color="auto" w:fill="auto"/>
              </w:rPr>
              <w:t>Ⅳ类、Ⅴ类放射源或Ⅲ类射线装置的</w:t>
            </w:r>
          </w:p>
        </w:tc>
        <w:tc>
          <w:tcPr>
            <w:tcW w:w="2646"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264" w:type="dxa"/>
            <w:vMerge w:val="continue"/>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cs="Times New Roman"/>
                <w:color w:val="auto"/>
                <w:sz w:val="20"/>
                <w:szCs w:val="20"/>
                <w:shd w:val="clear" w:color="auto" w:fill="auto"/>
              </w:rPr>
              <w:t>Ⅲ类放射源或Ⅱ类射线装置的</w:t>
            </w:r>
          </w:p>
        </w:tc>
        <w:tc>
          <w:tcPr>
            <w:tcW w:w="2646"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264" w:type="dxa"/>
            <w:vMerge w:val="continue"/>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cs="Times New Roman"/>
                <w:color w:val="auto"/>
                <w:sz w:val="20"/>
                <w:szCs w:val="20"/>
                <w:shd w:val="clear" w:color="auto" w:fill="auto"/>
              </w:rPr>
              <w:t>Ⅰ类、Ⅱ类放射源或Ⅰ类射线装置的</w:t>
            </w:r>
          </w:p>
        </w:tc>
        <w:tc>
          <w:tcPr>
            <w:tcW w:w="2646"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264" w:type="dxa"/>
            <w:vMerge w:val="restart"/>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150"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264" w:type="dxa"/>
            <w:vMerge w:val="continue"/>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25" w:hRule="atLeast"/>
          <w:jc w:val="center"/>
        </w:trPr>
        <w:tc>
          <w:tcPr>
            <w:tcW w:w="1264" w:type="dxa"/>
            <w:vMerge w:val="continue"/>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25" w:hRule="atLeast"/>
          <w:jc w:val="center"/>
        </w:trPr>
        <w:tc>
          <w:tcPr>
            <w:tcW w:w="1264" w:type="dxa"/>
            <w:vMerge w:val="continue"/>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350" w:lineRule="exact"/>
              <w:ind w:left="0" w:right="0" w:firstLine="0" w:firstLineChars="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wordWrap/>
              <w:adjustRightInd/>
              <w:snapToGrid w:val="0"/>
              <w:spacing w:before="0" w:beforeAutospacing="0" w:after="0" w:afterAutospacing="0" w:line="35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管理类别</w:t>
            </w: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次数</w:t>
            </w: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96"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5150"/>
        <w:gridCol w:w="2646"/>
      </w:tblGrid>
      <w:tr>
        <w:trPr>
          <w:trHeight w:val="340"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40" w:hRule="atLeast"/>
          <w:jc w:val="center"/>
        </w:trPr>
        <w:tc>
          <w:tcPr>
            <w:tcW w:w="12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96"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90" w:name="_Toc8121"/>
            <w:r>
              <w:rPr>
                <w:rFonts w:hint="default" w:ascii="Times New Roman" w:hAnsi="Times New Roman" w:cs="Times New Roman"/>
                <w:color w:val="auto"/>
                <w:sz w:val="20"/>
                <w:szCs w:val="20"/>
                <w:shd w:val="clear" w:color="auto" w:fill="auto"/>
              </w:rPr>
              <w:t>2</w:t>
            </w:r>
            <w:bookmarkEnd w:id="290"/>
          </w:p>
        </w:tc>
      </w:tr>
      <w:tr>
        <w:trPr>
          <w:trHeight w:val="340" w:hRule="atLeast"/>
          <w:jc w:val="center"/>
        </w:trPr>
        <w:tc>
          <w:tcPr>
            <w:tcW w:w="12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796"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0" w:firstLineChars="200"/>
              <w:outlineLvl w:val="9"/>
              <w:rPr>
                <w:rFonts w:hint="default" w:ascii="Times New Roman" w:hAnsi="Times New Roman" w:cs="Times New Roman"/>
                <w:color w:val="auto"/>
                <w:kern w:val="0"/>
                <w:sz w:val="20"/>
                <w:szCs w:val="20"/>
                <w:shd w:val="clear" w:color="auto" w:fill="auto"/>
              </w:rPr>
            </w:pPr>
            <w:bookmarkStart w:id="291" w:name="_Toc21678"/>
            <w:r>
              <w:rPr>
                <w:rFonts w:hint="default" w:ascii="Times New Roman" w:hAnsi="Times New Roman" w:cs="Times New Roman"/>
                <w:color w:val="auto"/>
                <w:kern w:val="0"/>
                <w:sz w:val="20"/>
                <w:szCs w:val="20"/>
                <w:shd w:val="clear" w:color="auto" w:fill="auto"/>
              </w:rPr>
              <w:t>无许可证或者不按照许可证规定的种类和范围从事生产、销售、使用、转让、进口、贮存放射性同位素和射线装置以及装备有放射性同位素的仪表的</w:t>
            </w:r>
            <w:bookmarkEnd w:id="291"/>
          </w:p>
        </w:tc>
      </w:tr>
      <w:tr>
        <w:trPr>
          <w:trHeight w:val="340" w:hRule="atLeast"/>
          <w:jc w:val="center"/>
        </w:trPr>
        <w:tc>
          <w:tcPr>
            <w:tcW w:w="12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96"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1.《中华人民共和国放射性污染防治法》第二十八条 </w:t>
            </w:r>
            <w:r>
              <w:rPr>
                <w:rFonts w:hint="default" w:ascii="Times New Roman" w:hAnsi="Times New Roman" w:cs="Times New Roman"/>
                <w:color w:val="auto"/>
                <w:kern w:val="0"/>
                <w:sz w:val="20"/>
                <w:szCs w:val="20"/>
                <w:shd w:val="clear" w:color="auto" w:fill="auto"/>
              </w:rPr>
              <w:t>生产、销售、使用放射性同位素和射线装置的单位，应当按照国务院有关放射性同位素与射线装置放射防护的规定申请领取许可证，办理登记手续。</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转让、进口放射性同位素和射线装置的单位以及装备有放射性同位素的仪表的单位，应当按照国务院有关放射性同位素与射线装置放射防护的规定办理有关手续。</w:t>
            </w:r>
          </w:p>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2.</w:t>
            </w:r>
            <w:r>
              <w:rPr>
                <w:rFonts w:hint="default" w:ascii="Times New Roman" w:hAnsi="Times New Roman" w:cs="Times New Roman"/>
                <w:b/>
                <w:bCs/>
                <w:color w:val="auto"/>
                <w:kern w:val="2"/>
                <w:sz w:val="21"/>
                <w:szCs w:val="21"/>
                <w:shd w:val="clear" w:color="auto" w:fill="auto"/>
              </w:rPr>
              <w:t>《放射性同位素与射线装置安全和防护条例》第五条</w:t>
            </w:r>
            <w:r>
              <w:rPr>
                <w:rFonts w:hint="default" w:ascii="Times New Roman" w:hAnsi="Times New Roman" w:cs="Times New Roman"/>
                <w:color w:val="auto"/>
                <w:kern w:val="2"/>
                <w:sz w:val="21"/>
                <w:szCs w:val="21"/>
                <w:shd w:val="clear" w:color="auto" w:fill="auto"/>
              </w:rPr>
              <w:t xml:space="preserve"> 生产、销售、使用放射性同位素和射线装置的单位，应当依照本章规定取得许可证。</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第十五条第一款</w:t>
            </w:r>
            <w:r>
              <w:rPr>
                <w:rFonts w:hint="default" w:ascii="Times New Roman" w:hAnsi="Times New Roman" w:cs="Times New Roman"/>
                <w:color w:val="auto"/>
                <w:sz w:val="20"/>
                <w:szCs w:val="20"/>
                <w:shd w:val="clear" w:color="auto" w:fill="auto"/>
              </w:rPr>
              <w:t xml:space="preserve"> 禁止无许可证或者不按照许可证规定的种类和范围从事放射性同位素和射线装置的生产、销售、使用活动。</w:t>
            </w:r>
          </w:p>
        </w:tc>
      </w:tr>
      <w:tr>
        <w:trPr>
          <w:trHeight w:val="340" w:hRule="atLeast"/>
          <w:jc w:val="center"/>
        </w:trPr>
        <w:tc>
          <w:tcPr>
            <w:tcW w:w="12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96" w:type="dxa"/>
            <w:gridSpan w:val="2"/>
            <w:vAlign w:val="center"/>
          </w:tcPr>
          <w:p>
            <w:pPr>
              <w:widowControl/>
              <w:shd w:val="clear" w:color="auto" w:fill="auto"/>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1.《中华人民共和国放射性污染防治法》第五十三条 </w:t>
            </w:r>
            <w:r>
              <w:rPr>
                <w:rFonts w:hint="default" w:ascii="Times New Roman" w:hAnsi="Times New Roman" w:cs="Times New Roman"/>
                <w:color w:val="auto"/>
                <w:kern w:val="0"/>
                <w:sz w:val="20"/>
                <w:szCs w:val="20"/>
                <w:shd w:val="clear" w:color="auto" w:fill="auto"/>
              </w:rPr>
              <w:t>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2.</w:t>
            </w:r>
            <w:r>
              <w:rPr>
                <w:rFonts w:hint="default" w:ascii="Times New Roman" w:hAnsi="Times New Roman" w:cs="Times New Roman"/>
                <w:b/>
                <w:bCs/>
                <w:color w:val="auto"/>
                <w:kern w:val="2"/>
                <w:sz w:val="21"/>
                <w:szCs w:val="21"/>
                <w:shd w:val="clear" w:color="auto" w:fill="auto"/>
              </w:rPr>
              <w:t>《放射性同位素与射线装置安全和防护条例》第五十二条第（一）</w:t>
            </w:r>
            <w:r>
              <w:rPr>
                <w:rFonts w:hint="default" w:ascii="Times New Roman" w:hAnsi="Times New Roman" w:cs="Times New Roman"/>
                <w:b/>
                <w:bCs/>
                <w:color w:val="auto"/>
                <w:kern w:val="2"/>
                <w:sz w:val="21"/>
                <w:szCs w:val="21"/>
                <w:shd w:val="clear" w:color="auto" w:fill="auto"/>
                <w:lang w:val="en-US"/>
              </w:rPr>
              <w:t>项</w:t>
            </w:r>
            <w:r>
              <w:rPr>
                <w:rFonts w:hint="default" w:ascii="Times New Roman" w:hAnsi="Times New Roman" w:cs="Times New Roman"/>
                <w:b/>
                <w:bCs/>
                <w:color w:val="auto"/>
                <w:kern w:val="2"/>
                <w:sz w:val="21"/>
                <w:szCs w:val="21"/>
                <w:shd w:val="clear" w:color="auto" w:fill="auto"/>
              </w:rPr>
              <w:t>、</w:t>
            </w:r>
            <w:r>
              <w:rPr>
                <w:rFonts w:hint="default" w:ascii="Times New Roman" w:hAnsi="Times New Roman" w:cs="Times New Roman"/>
                <w:b/>
                <w:bCs/>
                <w:color w:val="auto"/>
                <w:kern w:val="2"/>
                <w:sz w:val="21"/>
                <w:szCs w:val="21"/>
                <w:shd w:val="clear" w:color="auto" w:fill="auto"/>
                <w:lang w:val="en-US"/>
              </w:rPr>
              <w:t>第</w:t>
            </w:r>
            <w:r>
              <w:rPr>
                <w:rFonts w:hint="default" w:ascii="Times New Roman" w:hAnsi="Times New Roman" w:cs="Times New Roman"/>
                <w:b/>
                <w:bCs/>
                <w:color w:val="auto"/>
                <w:kern w:val="2"/>
                <w:sz w:val="21"/>
                <w:szCs w:val="21"/>
                <w:shd w:val="clear" w:color="auto" w:fill="auto"/>
              </w:rPr>
              <w:t xml:space="preserve">（二）项 </w:t>
            </w:r>
            <w:r>
              <w:rPr>
                <w:rFonts w:hint="default" w:ascii="Times New Roman" w:hAnsi="Times New Roman" w:cs="Times New Roman"/>
                <w:color w:val="auto"/>
                <w:kern w:val="2"/>
                <w:sz w:val="21"/>
                <w:szCs w:val="21"/>
                <w:shd w:val="clear" w:color="auto" w:fill="auto"/>
              </w:rPr>
              <w:t>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p>
          <w:p>
            <w:pPr>
              <w:widowControl/>
              <w:shd w:val="clear" w:color="auto" w:fill="auto"/>
              <w:snapToGrid w:val="0"/>
              <w:spacing w:before="0" w:beforeAutospacing="0" w:after="0" w:afterAutospacing="0" w:line="320" w:lineRule="exact"/>
              <w:ind w:left="0" w:right="0" w:firstLine="42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（一）无许可证从事放射性同位素和射线装置生产、销售、使用活动的；</w:t>
            </w:r>
          </w:p>
          <w:p>
            <w:pPr>
              <w:widowControl/>
              <w:shd w:val="clear" w:color="auto" w:fill="auto"/>
              <w:snapToGrid w:val="0"/>
              <w:spacing w:before="0" w:beforeAutospacing="0" w:after="0" w:afterAutospacing="0" w:line="320" w:lineRule="exact"/>
              <w:ind w:left="0" w:right="0" w:firstLine="42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（二）未按照许可证的规定从事放射性同位素和射线装置生产、销售、使用活动的。</w:t>
            </w:r>
          </w:p>
        </w:tc>
      </w:tr>
      <w:tr>
        <w:trPr>
          <w:trHeight w:val="408" w:hRule="atLeast"/>
          <w:jc w:val="center"/>
        </w:trPr>
        <w:tc>
          <w:tcPr>
            <w:tcW w:w="12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08"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★无违法所得</w:t>
            </w:r>
            <w:r>
              <w:rPr>
                <w:rFonts w:hint="default" w:ascii="Times New Roman" w:hAnsi="Times New Roman" w:cs="Times New Roman"/>
                <w:b/>
                <w:bCs/>
                <w:color w:val="auto"/>
                <w:sz w:val="20"/>
                <w:szCs w:val="20"/>
                <w:shd w:val="clear" w:color="auto" w:fill="auto"/>
                <w:lang w:val="en-US"/>
              </w:rPr>
              <w:t>或</w:t>
            </w:r>
            <w:r>
              <w:rPr>
                <w:rFonts w:hint="default" w:ascii="Times New Roman" w:hAnsi="Times New Roman" w:cs="Times New Roman"/>
                <w:b/>
                <w:bCs/>
                <w:color w:val="auto"/>
                <w:sz w:val="20"/>
                <w:szCs w:val="20"/>
                <w:shd w:val="clear" w:color="auto" w:fill="auto"/>
              </w:rPr>
              <w:t>违法所得不足10万元</w:t>
            </w:r>
          </w:p>
        </w:tc>
        <w:tc>
          <w:tcPr>
            <w:tcW w:w="5150" w:type="dxa"/>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无违法所得</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08"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w:t>
            </w:r>
            <w:r>
              <w:rPr>
                <w:rFonts w:hint="default" w:ascii="Times New Roman" w:hAnsi="Times New Roman" w:cs="Times New Roman"/>
                <w:color w:val="auto"/>
                <w:kern w:val="0"/>
                <w:sz w:val="20"/>
                <w:szCs w:val="20"/>
                <w:shd w:val="clear" w:color="auto" w:fill="auto"/>
              </w:rPr>
              <w:t>5万元</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08"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w:t>
            </w:r>
            <w:r>
              <w:rPr>
                <w:rFonts w:hint="default" w:ascii="Times New Roman" w:hAnsi="Times New Roman" w:cs="Times New Roman"/>
                <w:color w:val="auto"/>
                <w:kern w:val="0"/>
                <w:sz w:val="20"/>
                <w:szCs w:val="20"/>
                <w:shd w:val="clear" w:color="auto" w:fill="auto"/>
              </w:rPr>
              <w:t>5万元</w:t>
            </w:r>
            <w:r>
              <w:rPr>
                <w:rFonts w:hint="default" w:ascii="Times New Roman" w:hAnsi="Times New Roman" w:cs="Times New Roman"/>
                <w:color w:val="auto"/>
                <w:kern w:val="0"/>
                <w:sz w:val="20"/>
                <w:szCs w:val="20"/>
                <w:shd w:val="clear" w:color="auto" w:fill="auto"/>
                <w:lang w:val="en-US"/>
              </w:rPr>
              <w:t>以上</w:t>
            </w:r>
            <w:r>
              <w:rPr>
                <w:rFonts w:hint="default" w:ascii="Times New Roman" w:hAnsi="Times New Roman" w:cs="Times New Roman"/>
                <w:color w:val="auto"/>
                <w:kern w:val="0"/>
                <w:sz w:val="20"/>
                <w:szCs w:val="20"/>
                <w:shd w:val="clear" w:color="auto" w:fill="auto"/>
              </w:rPr>
              <w:t>10万元</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08"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★违法所得10万元</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以上</w:t>
            </w:r>
          </w:p>
        </w:tc>
        <w:tc>
          <w:tcPr>
            <w:tcW w:w="5150" w:type="dxa"/>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w:t>
            </w:r>
            <w:r>
              <w:rPr>
                <w:rFonts w:hint="default" w:ascii="Times New Roman" w:hAnsi="Times New Roman" w:cs="Times New Roman"/>
                <w:color w:val="auto"/>
                <w:kern w:val="0"/>
                <w:sz w:val="20"/>
                <w:szCs w:val="20"/>
                <w:shd w:val="clear" w:color="auto" w:fill="auto"/>
              </w:rPr>
              <w:t>10万元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上</w:t>
            </w:r>
            <w:r>
              <w:rPr>
                <w:rFonts w:hint="default" w:ascii="Times New Roman" w:hAnsi="Times New Roman" w:cs="Times New Roman"/>
                <w:color w:val="auto"/>
                <w:kern w:val="0"/>
                <w:sz w:val="20"/>
                <w:szCs w:val="20"/>
                <w:shd w:val="clear" w:color="auto" w:fill="auto"/>
              </w:rPr>
              <w:t>20万元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08"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违法所得2</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上</w:t>
            </w:r>
            <w:r>
              <w:rPr>
                <w:rFonts w:hint="default" w:ascii="Times New Roman" w:hAnsi="Times New Roman" w:cs="Times New Roman"/>
                <w:color w:val="auto"/>
                <w:kern w:val="0"/>
                <w:sz w:val="20"/>
                <w:szCs w:val="20"/>
                <w:shd w:val="clear" w:color="auto" w:fill="auto"/>
                <w:lang/>
              </w:rPr>
              <w:t>3</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08"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违法所得3</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上</w:t>
            </w:r>
            <w:r>
              <w:rPr>
                <w:rFonts w:hint="default" w:ascii="Times New Roman" w:hAnsi="Times New Roman" w:cs="Times New Roman"/>
                <w:color w:val="auto"/>
                <w:kern w:val="0"/>
                <w:sz w:val="20"/>
                <w:szCs w:val="20"/>
                <w:shd w:val="clear" w:color="auto" w:fill="auto"/>
              </w:rPr>
              <w:t>40万元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08"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违法所得4</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上</w:t>
            </w:r>
            <w:r>
              <w:rPr>
                <w:rFonts w:hint="default" w:ascii="Times New Roman" w:hAnsi="Times New Roman" w:cs="Times New Roman"/>
                <w:color w:val="auto"/>
                <w:kern w:val="0"/>
                <w:sz w:val="20"/>
                <w:szCs w:val="20"/>
                <w:shd w:val="clear" w:color="auto" w:fill="auto"/>
                <w:lang/>
              </w:rPr>
              <w:t>5</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08"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违法所得50万元以上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涉及放射种类</w:t>
            </w: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Ⅳ类、Ⅴ类放射源或Ⅲ类射线装置的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Ⅲ类放射源或Ⅱ类射线装置的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Ⅰ类、Ⅱ类放射源或Ⅰ类射线装置的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非密封放射性物质工作场所分类</w:t>
            </w: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丙级工作场所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乙级工作场所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甲级工作场所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工作场所防护情况</w:t>
            </w: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有防护措施</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有防护措施但不完备</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无防护措施</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90"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区域影响</w:t>
            </w: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县级行政区域内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90"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跨县级行政区域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90"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跨市级行政区域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90"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跨省级行政区域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90" w:hRule="atLeast"/>
          <w:jc w:val="center"/>
        </w:trPr>
        <w:tc>
          <w:tcPr>
            <w:tcW w:w="126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违法行为</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持续时间</w:t>
            </w:r>
          </w:p>
        </w:tc>
        <w:tc>
          <w:tcPr>
            <w:tcW w:w="515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1个月以下的</w:t>
            </w:r>
            <w:r>
              <w:rPr>
                <w:rFonts w:hint="default" w:ascii="Times New Roman" w:hAnsi="Times New Roman" w:cs="Times New Roman"/>
                <w:color w:val="auto"/>
                <w:sz w:val="20"/>
                <w:szCs w:val="20"/>
                <w:shd w:val="clear" w:color="auto" w:fill="auto"/>
                <w:lang/>
              </w:rPr>
              <w:t>　</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1个月以上3个月以下的</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3个月以上6个月以下的</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6个月以上1年以下的</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1年以上的</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eastAsia="zh-CN" w:bidi="ar-SA"/>
              </w:rPr>
              <w:t>4</w:t>
            </w:r>
          </w:p>
        </w:tc>
      </w:tr>
      <w:tr>
        <w:trPr>
          <w:trHeight w:val="397"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2</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受处罚</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次数</w:t>
            </w: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kern w:val="0"/>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kern w:val="0"/>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5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96"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对于“违法所得10万元以上”的情形，法定处罚金额上限M=违法所得×5，法定处罚金额下限N=违法所得×1。</w:t>
            </w:r>
          </w:p>
        </w:tc>
      </w:tr>
    </w:tbl>
    <w:p>
      <w:pPr>
        <w:shd w:val="clear" w:color="auto" w:fill="auto"/>
        <w:snapToGrid w:val="0"/>
        <w:rPr>
          <w:rFonts w:hint="default" w:ascii="Times New Roman" w:hAnsi="Times New Roman" w:cs="Times New Roman"/>
          <w:color w:val="auto"/>
          <w:shd w:val="clear" w:color="auto" w:fill="auto"/>
        </w:rPr>
      </w:pP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6"/>
        <w:gridCol w:w="2646"/>
      </w:tblGrid>
      <w:tr>
        <w:trPr>
          <w:trHeight w:val="397" w:hRule="atLeast"/>
          <w:jc w:val="center"/>
        </w:trPr>
        <w:tc>
          <w:tcPr>
            <w:tcW w:w="9060" w:type="dxa"/>
            <w:gridSpan w:val="3"/>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jc w:val="center"/>
        </w:trPr>
        <w:tc>
          <w:tcPr>
            <w:tcW w:w="1368"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wordWrap/>
              <w:adjustRightInd/>
              <w:snapToGrid w:val="0"/>
              <w:spacing w:before="0" w:beforeAutospacing="0" w:after="0" w:afterAutospacing="0" w:line="33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292" w:name="_Toc3827"/>
            <w:r>
              <w:rPr>
                <w:rFonts w:hint="default" w:ascii="Times New Roman" w:hAnsi="Times New Roman" w:cs="Times New Roman"/>
                <w:color w:val="auto"/>
                <w:sz w:val="20"/>
                <w:szCs w:val="20"/>
                <w:shd w:val="clear" w:color="auto" w:fill="auto"/>
              </w:rPr>
              <w:t>3</w:t>
            </w:r>
            <w:bookmarkEnd w:id="292"/>
          </w:p>
        </w:tc>
      </w:tr>
      <w:tr>
        <w:trPr>
          <w:trHeight w:val="397" w:hRule="atLeast"/>
          <w:jc w:val="center"/>
        </w:trPr>
        <w:tc>
          <w:tcPr>
            <w:tcW w:w="1368"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69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30" w:lineRule="exact"/>
              <w:ind w:left="0" w:right="0" w:firstLine="420" w:firstLineChars="200"/>
              <w:textAlignment w:val="auto"/>
              <w:outlineLvl w:val="9"/>
              <w:rPr>
                <w:rFonts w:hint="default" w:ascii="Times New Roman" w:hAnsi="Times New Roman" w:cs="Times New Roman"/>
                <w:color w:val="auto"/>
                <w:kern w:val="0"/>
                <w:sz w:val="20"/>
                <w:szCs w:val="20"/>
                <w:shd w:val="clear" w:color="auto" w:fill="auto"/>
              </w:rPr>
            </w:pPr>
            <w:bookmarkStart w:id="293" w:name="_Toc6376"/>
            <w:r>
              <w:rPr>
                <w:rFonts w:hint="default" w:ascii="Times New Roman" w:hAnsi="Times New Roman" w:cs="Times New Roman"/>
                <w:color w:val="auto"/>
                <w:kern w:val="0"/>
                <w:sz w:val="20"/>
                <w:szCs w:val="20"/>
                <w:shd w:val="clear" w:color="auto" w:fill="auto"/>
              </w:rPr>
              <w:t>未建造尾矿库或者不按照放射性污染防治的要求建造尾矿库，贮存、处置铀（钍）矿和伴生放射性矿的尾矿的</w:t>
            </w:r>
            <w:bookmarkEnd w:id="293"/>
          </w:p>
        </w:tc>
      </w:tr>
      <w:tr>
        <w:trPr>
          <w:trHeight w:val="397" w:hRule="atLeast"/>
          <w:jc w:val="center"/>
        </w:trPr>
        <w:tc>
          <w:tcPr>
            <w:tcW w:w="1368"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30" w:lineRule="exact"/>
              <w:ind w:left="0" w:right="0" w:firstLine="422" w:firstLineChars="200"/>
              <w:jc w:val="left"/>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《中华人民共和国放射性污染防治法》第三十七条 </w:t>
            </w:r>
            <w:r>
              <w:rPr>
                <w:rFonts w:hint="default" w:ascii="Times New Roman" w:hAnsi="Times New Roman" w:cs="Times New Roman"/>
                <w:color w:val="auto"/>
                <w:kern w:val="0"/>
                <w:sz w:val="20"/>
                <w:szCs w:val="20"/>
                <w:shd w:val="clear" w:color="auto" w:fill="auto"/>
              </w:rPr>
              <w:t>对铀（钍）矿和伴生放射性矿开发利用过程中产生的尾矿，应当建造尾矿库进行贮存、处置；建造的尾矿库应当符合放射性污染防治的要求。</w:t>
            </w:r>
          </w:p>
        </w:tc>
      </w:tr>
      <w:tr>
        <w:trPr>
          <w:trHeight w:val="397" w:hRule="atLeast"/>
          <w:jc w:val="center"/>
        </w:trPr>
        <w:tc>
          <w:tcPr>
            <w:tcW w:w="1368"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widowControl/>
              <w:shd w:val="clear" w:color="auto" w:fill="auto"/>
              <w:wordWrap/>
              <w:adjustRightInd/>
              <w:snapToGrid w:val="0"/>
              <w:spacing w:before="0" w:beforeAutospacing="0" w:after="0" w:afterAutospacing="0" w:line="330" w:lineRule="exact"/>
              <w:ind w:left="0" w:right="0" w:firstLine="422" w:firstLineChars="200"/>
              <w:jc w:val="left"/>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《中华人民共和国放射性污染防治法》第五十四条第（一）项 、</w:t>
            </w:r>
            <w:r>
              <w:rPr>
                <w:rFonts w:hint="default" w:ascii="Times New Roman" w:hAnsi="Times New Roman" w:cs="Times New Roman"/>
                <w:b/>
                <w:bCs/>
                <w:color w:val="auto"/>
                <w:kern w:val="0"/>
                <w:sz w:val="20"/>
                <w:szCs w:val="20"/>
                <w:shd w:val="clear" w:color="auto" w:fill="auto"/>
                <w:lang w:val="en-US"/>
              </w:rPr>
              <w:t>第二款</w:t>
            </w:r>
            <w:r>
              <w:rPr>
                <w:rFonts w:hint="default" w:ascii="Times New Roman" w:hAnsi="Times New Roman" w:cs="Times New Roman"/>
                <w:color w:val="auto"/>
                <w:kern w:val="0"/>
                <w:sz w:val="20"/>
                <w:szCs w:val="20"/>
                <w:shd w:val="clear" w:color="auto" w:fill="auto"/>
              </w:rPr>
              <w:t>违反本法规定，有下列行为之一的，由县级以上人民政府环境保护行政主管部门责令停止违法行为，限期改正，处以罚款；构成犯罪的，依法追究刑事责任：</w:t>
            </w:r>
          </w:p>
          <w:p>
            <w:pPr>
              <w:widowControl/>
              <w:shd w:val="clear" w:color="auto" w:fill="auto"/>
              <w:wordWrap/>
              <w:adjustRightInd/>
              <w:snapToGrid w:val="0"/>
              <w:spacing w:before="0" w:beforeAutospacing="0" w:after="0" w:afterAutospacing="0" w:line="330" w:lineRule="exact"/>
              <w:ind w:left="0" w:right="0" w:firstLine="420" w:firstLineChars="200"/>
              <w:jc w:val="left"/>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（一）未建造尾矿库或者不按照放射性污染防治的要求建造尾矿库，贮存、处置铀（钍）矿和伴生放射性矿的尾矿的。</w:t>
            </w:r>
          </w:p>
          <w:p>
            <w:pPr>
              <w:widowControl/>
              <w:shd w:val="clear" w:color="auto" w:fill="auto"/>
              <w:wordWrap/>
              <w:adjustRightInd/>
              <w:snapToGrid w:val="0"/>
              <w:spacing w:before="0" w:beforeAutospacing="0" w:after="0" w:afterAutospacing="0" w:line="330" w:lineRule="exact"/>
              <w:ind w:left="0" w:right="0" w:firstLine="420" w:firstLineChars="200"/>
              <w:jc w:val="left"/>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有前款第（一）项、第（二）项、第（三）项、第（五）项行为之一的，处十万元以上二十万元以下罚款；有前款第（四）项行为的，处一万元以上十万元以下罚款。</w:t>
            </w:r>
          </w:p>
        </w:tc>
      </w:tr>
      <w:tr>
        <w:trPr>
          <w:trHeight w:val="397" w:hRule="atLeast"/>
          <w:jc w:val="center"/>
        </w:trPr>
        <w:tc>
          <w:tcPr>
            <w:tcW w:w="1368"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6"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jc w:val="center"/>
        </w:trPr>
        <w:tc>
          <w:tcPr>
            <w:tcW w:w="1368" w:type="dxa"/>
            <w:vMerge w:val="restart"/>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46" w:type="dxa"/>
            <w:vAlign w:val="center"/>
          </w:tcPr>
          <w:p>
            <w:pPr>
              <w:widowControl/>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未按放射性污染防治的要求建设尾矿库</w:t>
            </w:r>
          </w:p>
        </w:tc>
        <w:tc>
          <w:tcPr>
            <w:tcW w:w="2646"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未建设尾矿库</w:t>
            </w:r>
          </w:p>
        </w:tc>
        <w:tc>
          <w:tcPr>
            <w:tcW w:w="2646"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涉及尾矿库规模</w:t>
            </w:r>
          </w:p>
        </w:tc>
        <w:tc>
          <w:tcPr>
            <w:tcW w:w="5046" w:type="dxa"/>
            <w:vAlign w:val="center"/>
          </w:tcPr>
          <w:p>
            <w:pPr>
              <w:pStyle w:val="19"/>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1000m</w:t>
            </w:r>
            <w:r>
              <w:rPr>
                <w:rFonts w:hint="default" w:ascii="Times New Roman" w:hAnsi="Times New Roman" w:cs="Times New Roman"/>
                <w:color w:val="auto"/>
                <w:sz w:val="21"/>
                <w:szCs w:val="21"/>
                <w:shd w:val="clear" w:color="auto" w:fill="auto"/>
                <w:vertAlign w:val="superscript"/>
              </w:rPr>
              <w:t>3</w:t>
            </w:r>
            <w:r>
              <w:rPr>
                <w:rFonts w:hint="default" w:ascii="Times New Roman" w:hAnsi="Times New Roman" w:cs="Times New Roman"/>
                <w:color w:val="auto"/>
                <w:sz w:val="21"/>
                <w:szCs w:val="21"/>
                <w:shd w:val="clear" w:color="auto" w:fill="auto"/>
                <w:lang w:eastAsia="zh-CN"/>
              </w:rPr>
              <w:t>以下</w:t>
            </w:r>
            <w:r>
              <w:rPr>
                <w:rFonts w:hint="default" w:ascii="Times New Roman" w:hAnsi="Times New Roman" w:cs="Times New Roman"/>
                <w:color w:val="auto"/>
                <w:sz w:val="21"/>
                <w:szCs w:val="21"/>
                <w:shd w:val="clear" w:color="auto" w:fill="auto"/>
              </w:rPr>
              <w:t>的</w:t>
            </w:r>
          </w:p>
        </w:tc>
        <w:tc>
          <w:tcPr>
            <w:tcW w:w="2646" w:type="dxa"/>
            <w:vAlign w:val="center"/>
          </w:tcPr>
          <w:p>
            <w:pPr>
              <w:pStyle w:val="18"/>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397" w:hRule="atLeast"/>
          <w:jc w:val="center"/>
        </w:trPr>
        <w:tc>
          <w:tcPr>
            <w:tcW w:w="1368" w:type="dxa"/>
            <w:vMerge w:val="continue"/>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46" w:type="dxa"/>
            <w:vAlign w:val="center"/>
          </w:tcPr>
          <w:p>
            <w:pPr>
              <w:pStyle w:val="18"/>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1000m</w:t>
            </w:r>
            <w:r>
              <w:rPr>
                <w:rFonts w:hint="default" w:ascii="Times New Roman" w:hAnsi="Times New Roman" w:cs="Times New Roman"/>
                <w:color w:val="auto"/>
                <w:sz w:val="21"/>
                <w:szCs w:val="21"/>
                <w:shd w:val="clear" w:color="auto" w:fill="auto"/>
                <w:vertAlign w:val="superscript"/>
              </w:rPr>
              <w:t>3</w:t>
            </w:r>
            <w:r>
              <w:rPr>
                <w:rFonts w:hint="default" w:ascii="Times New Roman" w:hAnsi="Times New Roman" w:cs="Times New Roman"/>
                <w:color w:val="auto"/>
                <w:sz w:val="21"/>
                <w:szCs w:val="21"/>
                <w:shd w:val="clear" w:color="auto" w:fill="auto"/>
              </w:rPr>
              <w:t>以上2000m</w:t>
            </w:r>
            <w:r>
              <w:rPr>
                <w:rFonts w:hint="default" w:ascii="Times New Roman" w:hAnsi="Times New Roman" w:cs="Times New Roman"/>
                <w:color w:val="auto"/>
                <w:sz w:val="21"/>
                <w:szCs w:val="21"/>
                <w:shd w:val="clear" w:color="auto" w:fill="auto"/>
                <w:vertAlign w:val="superscript"/>
              </w:rPr>
              <w:t>3</w:t>
            </w:r>
            <w:r>
              <w:rPr>
                <w:rFonts w:hint="default" w:ascii="Times New Roman" w:hAnsi="Times New Roman" w:cs="Times New Roman"/>
                <w:color w:val="auto"/>
                <w:sz w:val="21"/>
                <w:szCs w:val="21"/>
                <w:shd w:val="clear" w:color="auto" w:fill="auto"/>
                <w:lang w:eastAsia="zh-CN"/>
              </w:rPr>
              <w:t>以下</w:t>
            </w:r>
            <w:r>
              <w:rPr>
                <w:rFonts w:hint="default" w:ascii="Times New Roman" w:hAnsi="Times New Roman" w:cs="Times New Roman"/>
                <w:color w:val="auto"/>
                <w:sz w:val="21"/>
                <w:szCs w:val="21"/>
                <w:shd w:val="clear" w:color="auto" w:fill="auto"/>
              </w:rPr>
              <w:t>的</w:t>
            </w:r>
          </w:p>
        </w:tc>
        <w:tc>
          <w:tcPr>
            <w:tcW w:w="2646" w:type="dxa"/>
            <w:vAlign w:val="center"/>
          </w:tcPr>
          <w:p>
            <w:pPr>
              <w:pStyle w:val="18"/>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397" w:hRule="atLeast"/>
          <w:jc w:val="center"/>
        </w:trPr>
        <w:tc>
          <w:tcPr>
            <w:tcW w:w="1368" w:type="dxa"/>
            <w:vMerge w:val="continue"/>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46" w:type="dxa"/>
            <w:vAlign w:val="center"/>
          </w:tcPr>
          <w:p>
            <w:pPr>
              <w:pStyle w:val="18"/>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2000m</w:t>
            </w:r>
            <w:r>
              <w:rPr>
                <w:rFonts w:hint="default" w:ascii="Times New Roman" w:hAnsi="Times New Roman" w:cs="Times New Roman"/>
                <w:color w:val="auto"/>
                <w:sz w:val="21"/>
                <w:szCs w:val="21"/>
                <w:shd w:val="clear" w:color="auto" w:fill="auto"/>
                <w:vertAlign w:val="superscript"/>
              </w:rPr>
              <w:t>3</w:t>
            </w:r>
            <w:r>
              <w:rPr>
                <w:rFonts w:hint="default" w:ascii="Times New Roman" w:hAnsi="Times New Roman" w:cs="Times New Roman"/>
                <w:color w:val="auto"/>
                <w:sz w:val="21"/>
                <w:szCs w:val="21"/>
                <w:shd w:val="clear" w:color="auto" w:fill="auto"/>
              </w:rPr>
              <w:t>以上3000m</w:t>
            </w:r>
            <w:r>
              <w:rPr>
                <w:rFonts w:hint="default" w:ascii="Times New Roman" w:hAnsi="Times New Roman" w:cs="Times New Roman"/>
                <w:color w:val="auto"/>
                <w:sz w:val="21"/>
                <w:szCs w:val="21"/>
                <w:shd w:val="clear" w:color="auto" w:fill="auto"/>
                <w:vertAlign w:val="superscript"/>
              </w:rPr>
              <w:t>3</w:t>
            </w:r>
            <w:r>
              <w:rPr>
                <w:rFonts w:hint="default" w:ascii="Times New Roman" w:hAnsi="Times New Roman" w:cs="Times New Roman"/>
                <w:color w:val="auto"/>
                <w:sz w:val="21"/>
                <w:szCs w:val="21"/>
                <w:shd w:val="clear" w:color="auto" w:fill="auto"/>
                <w:lang w:eastAsia="zh-CN"/>
              </w:rPr>
              <w:t>以下</w:t>
            </w:r>
            <w:r>
              <w:rPr>
                <w:rFonts w:hint="default" w:ascii="Times New Roman" w:hAnsi="Times New Roman" w:cs="Times New Roman"/>
                <w:color w:val="auto"/>
                <w:sz w:val="21"/>
                <w:szCs w:val="21"/>
                <w:shd w:val="clear" w:color="auto" w:fill="auto"/>
              </w:rPr>
              <w:t>的</w:t>
            </w:r>
          </w:p>
        </w:tc>
        <w:tc>
          <w:tcPr>
            <w:tcW w:w="2646" w:type="dxa"/>
            <w:vAlign w:val="center"/>
          </w:tcPr>
          <w:p>
            <w:pPr>
              <w:pStyle w:val="18"/>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397" w:hRule="atLeast"/>
          <w:jc w:val="center"/>
        </w:trPr>
        <w:tc>
          <w:tcPr>
            <w:tcW w:w="1368" w:type="dxa"/>
            <w:vMerge w:val="continue"/>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46" w:type="dxa"/>
            <w:vAlign w:val="center"/>
          </w:tcPr>
          <w:p>
            <w:pPr>
              <w:pStyle w:val="18"/>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color w:val="auto"/>
                <w:sz w:val="21"/>
                <w:szCs w:val="21"/>
                <w:shd w:val="clear" w:color="auto" w:fill="auto"/>
              </w:rPr>
              <w:t>3000m</w:t>
            </w:r>
            <w:r>
              <w:rPr>
                <w:rFonts w:hint="default" w:ascii="Times New Roman" w:hAnsi="Times New Roman" w:cs="Times New Roman"/>
                <w:color w:val="auto"/>
                <w:sz w:val="21"/>
                <w:szCs w:val="21"/>
                <w:shd w:val="clear" w:color="auto" w:fill="auto"/>
                <w:vertAlign w:val="superscript"/>
              </w:rPr>
              <w:t>3</w:t>
            </w:r>
            <w:r>
              <w:rPr>
                <w:rFonts w:hint="default" w:ascii="Times New Roman" w:hAnsi="Times New Roman" w:cs="Times New Roman"/>
                <w:color w:val="auto"/>
                <w:sz w:val="21"/>
                <w:szCs w:val="21"/>
                <w:shd w:val="clear" w:color="auto" w:fill="auto"/>
              </w:rPr>
              <w:t>以上5000m</w:t>
            </w:r>
            <w:r>
              <w:rPr>
                <w:rFonts w:hint="default" w:ascii="Times New Roman" w:hAnsi="Times New Roman" w:cs="Times New Roman"/>
                <w:color w:val="auto"/>
                <w:sz w:val="21"/>
                <w:szCs w:val="21"/>
                <w:shd w:val="clear" w:color="auto" w:fill="auto"/>
                <w:vertAlign w:val="superscript"/>
              </w:rPr>
              <w:t>3</w:t>
            </w:r>
            <w:r>
              <w:rPr>
                <w:rFonts w:hint="default" w:ascii="Times New Roman" w:hAnsi="Times New Roman" w:cs="Times New Roman"/>
                <w:color w:val="auto"/>
                <w:sz w:val="21"/>
                <w:szCs w:val="21"/>
                <w:shd w:val="clear" w:color="auto" w:fill="auto"/>
                <w:lang w:eastAsia="zh-CN"/>
              </w:rPr>
              <w:t>以下</w:t>
            </w:r>
            <w:r>
              <w:rPr>
                <w:rFonts w:hint="default" w:ascii="Times New Roman" w:hAnsi="Times New Roman" w:cs="Times New Roman"/>
                <w:color w:val="auto"/>
                <w:sz w:val="21"/>
                <w:szCs w:val="21"/>
                <w:shd w:val="clear" w:color="auto" w:fill="auto"/>
              </w:rPr>
              <w:t>的</w:t>
            </w:r>
          </w:p>
        </w:tc>
        <w:tc>
          <w:tcPr>
            <w:tcW w:w="2646" w:type="dxa"/>
            <w:vAlign w:val="center"/>
          </w:tcPr>
          <w:p>
            <w:pPr>
              <w:pStyle w:val="18"/>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4</w:t>
            </w:r>
          </w:p>
        </w:tc>
      </w:tr>
      <w:tr>
        <w:trPr>
          <w:trHeight w:val="397" w:hRule="atLeast"/>
          <w:jc w:val="center"/>
        </w:trPr>
        <w:tc>
          <w:tcPr>
            <w:tcW w:w="1368" w:type="dxa"/>
            <w:vMerge w:val="continue"/>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46" w:type="dxa"/>
            <w:vAlign w:val="center"/>
          </w:tcPr>
          <w:p>
            <w:pPr>
              <w:pStyle w:val="18"/>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5000m</w:t>
            </w:r>
            <w:r>
              <w:rPr>
                <w:rFonts w:hint="default" w:ascii="Times New Roman" w:hAnsi="Times New Roman" w:cs="Times New Roman"/>
                <w:color w:val="auto"/>
                <w:sz w:val="21"/>
                <w:szCs w:val="21"/>
                <w:shd w:val="clear" w:color="auto" w:fill="auto"/>
                <w:vertAlign w:val="superscript"/>
              </w:rPr>
              <w:t>3</w:t>
            </w:r>
            <w:r>
              <w:rPr>
                <w:rFonts w:hint="default" w:ascii="Times New Roman" w:hAnsi="Times New Roman" w:cs="Times New Roman"/>
                <w:color w:val="auto"/>
                <w:sz w:val="21"/>
                <w:szCs w:val="21"/>
                <w:shd w:val="clear" w:color="auto" w:fill="auto"/>
              </w:rPr>
              <w:t>以上的</w:t>
            </w:r>
          </w:p>
        </w:tc>
        <w:tc>
          <w:tcPr>
            <w:tcW w:w="2646" w:type="dxa"/>
            <w:vAlign w:val="center"/>
          </w:tcPr>
          <w:p>
            <w:pPr>
              <w:pStyle w:val="18"/>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w:t>
            </w:r>
          </w:p>
        </w:tc>
      </w:tr>
      <w:tr>
        <w:trPr>
          <w:trHeight w:val="397" w:hRule="atLeast"/>
          <w:jc w:val="center"/>
        </w:trPr>
        <w:tc>
          <w:tcPr>
            <w:tcW w:w="1368" w:type="dxa"/>
            <w:vMerge w:val="restart"/>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对社会影响或环境污染、生态环境破坏程度</w:t>
            </w:r>
          </w:p>
        </w:tc>
        <w:tc>
          <w:tcPr>
            <w:tcW w:w="5046"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未造成社会影响与环境污染、生态环境破坏的</w:t>
            </w:r>
          </w:p>
        </w:tc>
        <w:tc>
          <w:tcPr>
            <w:tcW w:w="2646"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46"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造成社会影响或环境污染、生态环境破坏轻微的</w:t>
            </w:r>
          </w:p>
        </w:tc>
        <w:tc>
          <w:tcPr>
            <w:tcW w:w="2646"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46"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造成社会影响或环境污染、生态环境破坏严重的</w:t>
            </w:r>
          </w:p>
        </w:tc>
        <w:tc>
          <w:tcPr>
            <w:tcW w:w="2646"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rPr>
              <w:t>放射性废物类型</w:t>
            </w:r>
          </w:p>
        </w:tc>
        <w:tc>
          <w:tcPr>
            <w:tcW w:w="5046"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cs="Times New Roman"/>
                <w:color w:val="auto"/>
                <w:kern w:val="0"/>
                <w:sz w:val="20"/>
                <w:szCs w:val="20"/>
                <w:shd w:val="clear" w:color="auto" w:fill="auto"/>
              </w:rPr>
              <w:t>极短寿命放射性废物</w:t>
            </w:r>
          </w:p>
        </w:tc>
        <w:tc>
          <w:tcPr>
            <w:tcW w:w="2646"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046"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极低水平放射性废物</w:t>
            </w:r>
          </w:p>
        </w:tc>
        <w:tc>
          <w:tcPr>
            <w:tcW w:w="2646"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368" w:type="dxa"/>
            <w:vMerge w:val="continue"/>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046"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低水平放射性废物</w:t>
            </w:r>
          </w:p>
        </w:tc>
        <w:tc>
          <w:tcPr>
            <w:tcW w:w="2646"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046"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cs="Times New Roman"/>
                <w:color w:val="auto"/>
                <w:sz w:val="20"/>
                <w:szCs w:val="20"/>
                <w:shd w:val="clear" w:color="auto" w:fill="auto"/>
              </w:rPr>
              <w:t>中水平放射性废物</w:t>
            </w:r>
          </w:p>
        </w:tc>
        <w:tc>
          <w:tcPr>
            <w:tcW w:w="2646"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68" w:type="dxa"/>
            <w:vMerge w:val="continue"/>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046"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cs="Times New Roman"/>
                <w:color w:val="auto"/>
                <w:sz w:val="20"/>
                <w:szCs w:val="20"/>
                <w:shd w:val="clear" w:color="auto" w:fill="auto"/>
              </w:rPr>
              <w:t>高水平放射性废物</w:t>
            </w:r>
          </w:p>
        </w:tc>
        <w:tc>
          <w:tcPr>
            <w:tcW w:w="2646"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046"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68" w:type="dxa"/>
            <w:vMerge w:val="continue"/>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wordWrap/>
              <w:adjustRightInd/>
              <w:snapToGrid w:val="0"/>
              <w:spacing w:before="0" w:beforeAutospacing="0" w:after="0" w:afterAutospacing="0" w:line="330" w:lineRule="exact"/>
              <w:ind w:left="0" w:right="0" w:firstLine="0" w:firstLineChars="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eastAsia="zh-CN" w:bidi="ar-SA"/>
              </w:rPr>
              <w:t>4</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46"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 xml:space="preserve"> </w:t>
            </w: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68"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违法行为</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rPr>
              <w:t>持续时间</w:t>
            </w:r>
          </w:p>
        </w:tc>
        <w:tc>
          <w:tcPr>
            <w:tcW w:w="50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1个月以下的</w:t>
            </w:r>
            <w:r>
              <w:rPr>
                <w:rFonts w:hint="default" w:ascii="Times New Roman" w:hAnsi="Times New Roman" w:cs="Times New Roman"/>
                <w:color w:val="auto"/>
                <w:sz w:val="20"/>
                <w:szCs w:val="20"/>
                <w:shd w:val="clear" w:color="auto" w:fill="auto"/>
                <w:lang/>
              </w:rPr>
              <w:t>　</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1个月以上3个月以下的</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3个月以上6个月以下的</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6个月以上1年以下的</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1年以上的</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5509"/>
        <w:gridCol w:w="2287"/>
      </w:tblGrid>
      <w:tr>
        <w:trPr>
          <w:trHeight w:val="284"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05" w:hRule="atLeast"/>
          <w:jc w:val="center"/>
        </w:trPr>
        <w:tc>
          <w:tcPr>
            <w:tcW w:w="12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96"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94" w:name="_Toc17448"/>
            <w:r>
              <w:rPr>
                <w:rFonts w:hint="default" w:ascii="Times New Roman" w:hAnsi="Times New Roman" w:cs="Times New Roman"/>
                <w:color w:val="auto"/>
                <w:sz w:val="20"/>
                <w:szCs w:val="20"/>
                <w:shd w:val="clear" w:color="auto" w:fill="auto"/>
              </w:rPr>
              <w:t>4</w:t>
            </w:r>
            <w:bookmarkEnd w:id="294"/>
          </w:p>
        </w:tc>
      </w:tr>
      <w:tr>
        <w:trPr>
          <w:trHeight w:val="284" w:hRule="atLeast"/>
          <w:jc w:val="center"/>
        </w:trPr>
        <w:tc>
          <w:tcPr>
            <w:tcW w:w="12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796"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outlineLvl w:val="9"/>
              <w:rPr>
                <w:rFonts w:hint="default" w:ascii="Times New Roman" w:hAnsi="Times New Roman" w:cs="Times New Roman"/>
                <w:color w:val="auto"/>
                <w:kern w:val="0"/>
                <w:sz w:val="20"/>
                <w:szCs w:val="20"/>
                <w:shd w:val="clear" w:color="auto" w:fill="auto"/>
              </w:rPr>
            </w:pPr>
            <w:bookmarkStart w:id="295" w:name="_Toc19646"/>
            <w:r>
              <w:rPr>
                <w:rFonts w:hint="default" w:ascii="Times New Roman" w:hAnsi="Times New Roman" w:cs="Times New Roman"/>
                <w:color w:val="auto"/>
                <w:kern w:val="0"/>
                <w:sz w:val="20"/>
                <w:szCs w:val="20"/>
                <w:shd w:val="clear" w:color="auto" w:fill="auto"/>
              </w:rPr>
              <w:t>向环境排放不得排放的放射性废气、废液的</w:t>
            </w:r>
            <w:bookmarkEnd w:id="295"/>
          </w:p>
        </w:tc>
      </w:tr>
      <w:tr>
        <w:trPr>
          <w:trHeight w:val="90" w:hRule="atLeast"/>
          <w:jc w:val="center"/>
        </w:trPr>
        <w:tc>
          <w:tcPr>
            <w:tcW w:w="12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96"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《中华人民共和国放射性污染防治法》第四十条</w:t>
            </w:r>
            <w:r>
              <w:rPr>
                <w:rFonts w:hint="default" w:ascii="Times New Roman" w:hAnsi="Times New Roman" w:cs="Times New Roman"/>
                <w:color w:val="auto"/>
                <w:kern w:val="0"/>
                <w:sz w:val="20"/>
                <w:szCs w:val="20"/>
                <w:shd w:val="clear" w:color="auto" w:fill="auto"/>
              </w:rPr>
              <w:t xml:space="preserve"> 向环境排放放射性废气、废液，必须符合国家放射性污染防治标准。</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《中华人民共和国放射性污染防治法》第四十二条 </w:t>
            </w:r>
            <w:r>
              <w:rPr>
                <w:rFonts w:hint="default" w:ascii="Times New Roman" w:hAnsi="Times New Roman" w:cs="Times New Roman"/>
                <w:color w:val="auto"/>
                <w:kern w:val="0"/>
                <w:sz w:val="20"/>
                <w:szCs w:val="20"/>
                <w:shd w:val="clear" w:color="auto" w:fill="auto"/>
              </w:rPr>
              <w:t>产生放射性废液的单位，必须按照国家放射性污染防治标准的要求，对不得向环境排放的放射性废液进行处理或者贮存。</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0" w:firstLineChars="200"/>
              <w:jc w:val="left"/>
              <w:rPr>
                <w:rFonts w:hint="default" w:ascii="Times New Roman" w:hAnsi="Times New Roman" w:cs="Times New Roman"/>
                <w:color w:val="auto"/>
                <w:kern w:val="0"/>
                <w:sz w:val="20"/>
                <w:szCs w:val="20"/>
                <w:highlight w:val="none"/>
                <w:shd w:val="clear" w:color="auto" w:fill="auto"/>
              </w:rPr>
            </w:pPr>
            <w:r>
              <w:rPr>
                <w:rFonts w:hint="default" w:ascii="Times New Roman" w:hAnsi="Times New Roman" w:cs="Times New Roman"/>
                <w:color w:val="auto"/>
                <w:kern w:val="0"/>
                <w:sz w:val="20"/>
                <w:szCs w:val="20"/>
                <w:highlight w:val="none"/>
                <w:shd w:val="clear" w:color="auto" w:fill="auto"/>
              </w:rPr>
              <w:t>产生放射性废液的单位，向环境排放符合国家放射性污染防治标准的放射性废液，必须采用符合国务院环境保护行政主管部门规定的排放方式。</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highlight w:val="none"/>
                <w:shd w:val="clear" w:color="auto" w:fill="auto"/>
              </w:rPr>
              <w:t>禁止利用渗井、渗坑、天然裂隙、溶洞或者国家禁止的其他方式排放放射性废液。</w:t>
            </w:r>
          </w:p>
        </w:tc>
      </w:tr>
      <w:tr>
        <w:trPr>
          <w:trHeight w:val="284" w:hRule="atLeast"/>
          <w:jc w:val="center"/>
        </w:trPr>
        <w:tc>
          <w:tcPr>
            <w:tcW w:w="12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96" w:type="dxa"/>
            <w:gridSpan w:val="2"/>
            <w:vAlign w:val="center"/>
          </w:tcPr>
          <w:p>
            <w:pPr>
              <w:widowControl/>
              <w:shd w:val="clear" w:color="auto" w:fill="auto"/>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《中华人民共和国放射性污染防治法》第五十四条第（二）项 、</w:t>
            </w:r>
            <w:r>
              <w:rPr>
                <w:rFonts w:hint="default" w:ascii="Times New Roman" w:hAnsi="Times New Roman" w:cs="Times New Roman"/>
                <w:b/>
                <w:bCs/>
                <w:color w:val="auto"/>
                <w:kern w:val="0"/>
                <w:sz w:val="20"/>
                <w:szCs w:val="20"/>
                <w:shd w:val="clear" w:color="auto" w:fill="auto"/>
                <w:lang w:val="en-US"/>
              </w:rPr>
              <w:t>第二款</w:t>
            </w:r>
            <w:r>
              <w:rPr>
                <w:rFonts w:hint="default" w:ascii="Times New Roman" w:hAnsi="Times New Roman" w:cs="Times New Roman"/>
                <w:color w:val="auto"/>
                <w:kern w:val="0"/>
                <w:sz w:val="20"/>
                <w:szCs w:val="20"/>
                <w:shd w:val="clear" w:color="auto" w:fill="auto"/>
              </w:rPr>
              <w:t>违反本法规定，有下列行为之一的，由县级以上人民政府环境保护行政主管部门责令停止违法行为，限期改正，处以罚款；构成犯罪的，依法追究刑事责任：</w:t>
            </w:r>
          </w:p>
          <w:p>
            <w:pPr>
              <w:widowControl/>
              <w:shd w:val="clear" w:color="auto" w:fill="auto"/>
              <w:snapToGrid w:val="0"/>
              <w:spacing w:before="0" w:beforeAutospacing="0" w:after="0" w:afterAutospacing="0" w:line="320" w:lineRule="exact"/>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（二）向环境排放不得排放的放射性废气、废液的。</w:t>
            </w:r>
          </w:p>
          <w:p>
            <w:pPr>
              <w:widowControl/>
              <w:shd w:val="clear" w:color="auto" w:fill="auto"/>
              <w:snapToGrid w:val="0"/>
              <w:spacing w:before="0" w:beforeAutospacing="0" w:after="0" w:afterAutospacing="0" w:line="320" w:lineRule="exact"/>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有前款第（一）项、第（二）项、第（三）项、第（五）项行为之一的，处十万元以上二十万元以下罚款；有前款第（四）项行为的，处一万元以上十万元以下罚款。</w:t>
            </w:r>
          </w:p>
        </w:tc>
      </w:tr>
      <w:tr>
        <w:trPr>
          <w:trHeight w:val="386" w:hRule="atLeast"/>
          <w:jc w:val="center"/>
        </w:trPr>
        <w:tc>
          <w:tcPr>
            <w:tcW w:w="12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5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★放射性废物类型</w:t>
            </w:r>
          </w:p>
        </w:tc>
        <w:tc>
          <w:tcPr>
            <w:tcW w:w="55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极短寿命放射性废物</w:t>
            </w:r>
          </w:p>
        </w:tc>
        <w:tc>
          <w:tcPr>
            <w:tcW w:w="2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极低水平放射性废物</w:t>
            </w:r>
          </w:p>
        </w:tc>
        <w:tc>
          <w:tcPr>
            <w:tcW w:w="2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低水平放射性废物</w:t>
            </w:r>
          </w:p>
        </w:tc>
        <w:tc>
          <w:tcPr>
            <w:tcW w:w="2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中水平放射性废物</w:t>
            </w:r>
          </w:p>
        </w:tc>
        <w:tc>
          <w:tcPr>
            <w:tcW w:w="2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高水平放射性废物</w:t>
            </w:r>
          </w:p>
        </w:tc>
        <w:tc>
          <w:tcPr>
            <w:tcW w:w="2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排放地点</w:t>
            </w:r>
          </w:p>
        </w:tc>
        <w:tc>
          <w:tcPr>
            <w:tcW w:w="55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符合环境功能区划</w:t>
            </w:r>
          </w:p>
        </w:tc>
        <w:tc>
          <w:tcPr>
            <w:tcW w:w="2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64"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不符合环境功能区划，但不在保护区内符合环境功能区划</w:t>
            </w:r>
          </w:p>
        </w:tc>
        <w:tc>
          <w:tcPr>
            <w:tcW w:w="2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264"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饮用水水源准保护区</w:t>
            </w:r>
          </w:p>
        </w:tc>
        <w:tc>
          <w:tcPr>
            <w:tcW w:w="2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264"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位于自然保护区实验区/饮用水水源二级保护区</w:t>
            </w:r>
          </w:p>
        </w:tc>
        <w:tc>
          <w:tcPr>
            <w:tcW w:w="2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264"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位于自然保护区缓冲区/位于自然保护区核心区/饮用水水源一级保护区</w:t>
            </w:r>
          </w:p>
        </w:tc>
        <w:tc>
          <w:tcPr>
            <w:tcW w:w="2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264" w:type="dxa"/>
            <w:vMerge w:val="restart"/>
            <w:tcMar>
              <w:left w:w="57" w:type="dxa"/>
              <w:right w:w="57" w:type="dxa"/>
            </w:tcMar>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对社会影响或环境污染、生态环境破坏程度</w:t>
            </w:r>
          </w:p>
        </w:tc>
        <w:tc>
          <w:tcPr>
            <w:tcW w:w="5509"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kern w:val="0"/>
                <w:sz w:val="20"/>
                <w:szCs w:val="20"/>
                <w:shd w:val="clear" w:color="auto" w:fill="auto"/>
              </w:rPr>
              <w:t>未造成社会影响与环境污染、生态环境破坏的</w:t>
            </w:r>
          </w:p>
        </w:tc>
        <w:tc>
          <w:tcPr>
            <w:tcW w:w="2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09"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造成社会影响或环境污染、生态环境破坏轻微的</w:t>
            </w:r>
          </w:p>
        </w:tc>
        <w:tc>
          <w:tcPr>
            <w:tcW w:w="2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09"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造成社会影响或环境污染、生态环境破坏严重的</w:t>
            </w:r>
          </w:p>
        </w:tc>
        <w:tc>
          <w:tcPr>
            <w:tcW w:w="2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5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09"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eastAsia="zh-CN" w:bidi="ar-SA"/>
              </w:rPr>
              <w:t>4</w:t>
            </w:r>
          </w:p>
        </w:tc>
      </w:tr>
      <w:tr>
        <w:trPr>
          <w:trHeight w:val="369"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509"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69"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09"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区域影响</w:t>
            </w:r>
          </w:p>
        </w:tc>
        <w:tc>
          <w:tcPr>
            <w:tcW w:w="55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县级行政区域内</w:t>
            </w:r>
          </w:p>
        </w:tc>
        <w:tc>
          <w:tcPr>
            <w:tcW w:w="2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跨县级行政区域</w:t>
            </w:r>
          </w:p>
        </w:tc>
        <w:tc>
          <w:tcPr>
            <w:tcW w:w="2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跨市级行政区域</w:t>
            </w:r>
          </w:p>
        </w:tc>
        <w:tc>
          <w:tcPr>
            <w:tcW w:w="2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跨省级行政区域</w:t>
            </w:r>
          </w:p>
        </w:tc>
        <w:tc>
          <w:tcPr>
            <w:tcW w:w="2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26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违法行为</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rPr>
              <w:t>持续时间</w:t>
            </w:r>
          </w:p>
        </w:tc>
        <w:tc>
          <w:tcPr>
            <w:tcW w:w="550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1个月以下的</w:t>
            </w:r>
            <w:r>
              <w:rPr>
                <w:rFonts w:hint="default" w:ascii="Times New Roman" w:hAnsi="Times New Roman" w:cs="Times New Roman"/>
                <w:color w:val="auto"/>
                <w:sz w:val="20"/>
                <w:szCs w:val="20"/>
                <w:shd w:val="clear" w:color="auto" w:fill="auto"/>
                <w:lang/>
              </w:rPr>
              <w:t>　</w:t>
            </w:r>
          </w:p>
        </w:tc>
        <w:tc>
          <w:tcPr>
            <w:tcW w:w="228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0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1个月以上3个月以下的</w:t>
            </w:r>
          </w:p>
        </w:tc>
        <w:tc>
          <w:tcPr>
            <w:tcW w:w="228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0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3个月以上6个月以下的</w:t>
            </w:r>
          </w:p>
        </w:tc>
        <w:tc>
          <w:tcPr>
            <w:tcW w:w="228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0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6个月以上1年以下的</w:t>
            </w:r>
          </w:p>
        </w:tc>
        <w:tc>
          <w:tcPr>
            <w:tcW w:w="228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09"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1年以上的</w:t>
            </w:r>
          </w:p>
        </w:tc>
        <w:tc>
          <w:tcPr>
            <w:tcW w:w="2287"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次数</w:t>
            </w:r>
          </w:p>
        </w:tc>
        <w:tc>
          <w:tcPr>
            <w:tcW w:w="55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0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28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50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28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0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28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0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28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0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28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jc w:val="center"/>
        </w:trPr>
        <w:tc>
          <w:tcPr>
            <w:tcW w:w="12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96"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p>
      <w:pPr>
        <w:shd w:val="clear" w:color="auto" w:fill="auto"/>
        <w:snapToGrid w:val="0"/>
        <w:spacing w:line="20" w:lineRule="exact"/>
        <w:rPr>
          <w:rFonts w:hint="default" w:ascii="Times New Roman" w:hAnsi="Times New Roman" w:cs="Times New Roman"/>
          <w:color w:val="auto"/>
          <w:shd w:val="clear" w:color="auto" w:fill="auto"/>
        </w:rPr>
      </w:pP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5554"/>
        <w:gridCol w:w="2242"/>
      </w:tblGrid>
      <w:tr>
        <w:trPr>
          <w:trHeight w:val="255"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90" w:hRule="atLeast"/>
          <w:jc w:val="center"/>
        </w:trPr>
        <w:tc>
          <w:tcPr>
            <w:tcW w:w="12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96"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96" w:name="_Toc8935"/>
            <w:r>
              <w:rPr>
                <w:rFonts w:hint="default" w:ascii="Times New Roman" w:hAnsi="Times New Roman" w:cs="Times New Roman"/>
                <w:color w:val="auto"/>
                <w:sz w:val="20"/>
                <w:szCs w:val="20"/>
                <w:shd w:val="clear" w:color="auto" w:fill="auto"/>
              </w:rPr>
              <w:t>5</w:t>
            </w:r>
            <w:bookmarkEnd w:id="296"/>
          </w:p>
        </w:tc>
      </w:tr>
      <w:tr>
        <w:trPr>
          <w:trHeight w:val="255" w:hRule="atLeast"/>
          <w:jc w:val="center"/>
        </w:trPr>
        <w:tc>
          <w:tcPr>
            <w:tcW w:w="12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796"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0" w:firstLineChars="200"/>
              <w:outlineLvl w:val="9"/>
              <w:rPr>
                <w:rFonts w:hint="default" w:ascii="Times New Roman" w:hAnsi="Times New Roman" w:cs="Times New Roman"/>
                <w:color w:val="auto"/>
                <w:kern w:val="0"/>
                <w:sz w:val="20"/>
                <w:szCs w:val="20"/>
                <w:shd w:val="clear" w:color="auto" w:fill="auto"/>
              </w:rPr>
            </w:pPr>
            <w:bookmarkStart w:id="297" w:name="_Toc25563"/>
            <w:r>
              <w:rPr>
                <w:rFonts w:hint="default" w:ascii="Times New Roman" w:hAnsi="Times New Roman" w:cs="Times New Roman"/>
                <w:color w:val="auto"/>
                <w:kern w:val="0"/>
                <w:sz w:val="20"/>
                <w:szCs w:val="20"/>
                <w:shd w:val="clear" w:color="auto" w:fill="auto"/>
              </w:rPr>
              <w:t>不按照规定的方式排放放射性废液，利用渗井、渗坑、天然裂隙、溶洞或者国家禁止的其他方式排放放射性废液的</w:t>
            </w:r>
            <w:bookmarkEnd w:id="297"/>
          </w:p>
        </w:tc>
      </w:tr>
      <w:tr>
        <w:trPr>
          <w:trHeight w:val="255" w:hRule="atLeast"/>
          <w:jc w:val="center"/>
        </w:trPr>
        <w:tc>
          <w:tcPr>
            <w:tcW w:w="12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96"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《中华人民共和国放射性污染防治法》第四十二条第二款、第三款 </w:t>
            </w:r>
            <w:r>
              <w:rPr>
                <w:rFonts w:hint="default" w:ascii="Times New Roman" w:hAnsi="Times New Roman" w:cs="Times New Roman"/>
                <w:color w:val="auto"/>
                <w:kern w:val="0"/>
                <w:sz w:val="20"/>
                <w:szCs w:val="20"/>
                <w:shd w:val="clear" w:color="auto" w:fill="auto"/>
              </w:rPr>
              <w:t>产生放射性废液的单位，向环境排放符合国家放射性污染防治标准的放射性废液，必须采用符合国务院环境保护行政主管部门规定的排放方式。</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禁止利用渗井、渗坑、天然裂隙、溶洞或者国家禁止的其他方式排放放射性废液。</w:t>
            </w:r>
          </w:p>
        </w:tc>
      </w:tr>
      <w:tr>
        <w:trPr>
          <w:trHeight w:val="255" w:hRule="atLeast"/>
          <w:jc w:val="center"/>
        </w:trPr>
        <w:tc>
          <w:tcPr>
            <w:tcW w:w="12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96" w:type="dxa"/>
            <w:gridSpan w:val="2"/>
            <w:vAlign w:val="center"/>
          </w:tcPr>
          <w:p>
            <w:pPr>
              <w:widowControl/>
              <w:shd w:val="clear" w:color="auto" w:fill="auto"/>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《中华人民共和国放射性污染防治法》第五十四条第（三）项、</w:t>
            </w:r>
            <w:r>
              <w:rPr>
                <w:rFonts w:hint="default" w:ascii="Times New Roman" w:hAnsi="Times New Roman" w:cs="Times New Roman"/>
                <w:b/>
                <w:bCs/>
                <w:color w:val="auto"/>
                <w:kern w:val="0"/>
                <w:sz w:val="20"/>
                <w:szCs w:val="20"/>
                <w:shd w:val="clear" w:color="auto" w:fill="auto"/>
                <w:lang w:val="en-US"/>
              </w:rPr>
              <w:t>第二款</w:t>
            </w:r>
            <w:r>
              <w:rPr>
                <w:rFonts w:hint="default" w:ascii="Times New Roman" w:hAnsi="Times New Roman" w:cs="Times New Roman"/>
                <w:b/>
                <w:bCs/>
                <w:color w:val="auto"/>
                <w:kern w:val="0"/>
                <w:sz w:val="20"/>
                <w:szCs w:val="20"/>
                <w:shd w:val="clear" w:color="auto" w:fill="auto"/>
              </w:rPr>
              <w:t xml:space="preserve"> </w:t>
            </w:r>
            <w:r>
              <w:rPr>
                <w:rFonts w:hint="default" w:ascii="Times New Roman" w:hAnsi="Times New Roman" w:cs="Times New Roman"/>
                <w:color w:val="auto"/>
                <w:kern w:val="0"/>
                <w:sz w:val="20"/>
                <w:szCs w:val="20"/>
                <w:shd w:val="clear" w:color="auto" w:fill="auto"/>
              </w:rPr>
              <w:t>违反本法规定，有下列行为之一的，由县级以上人民政府环境保护行政主管部门责令停止违法行为，限期改正，处以罚款；构成犯罪的，依法追究刑事责任：</w:t>
            </w:r>
          </w:p>
          <w:p>
            <w:pPr>
              <w:widowControl/>
              <w:shd w:val="clear" w:color="auto" w:fill="auto"/>
              <w:snapToGrid w:val="0"/>
              <w:spacing w:before="0" w:beforeAutospacing="0" w:after="0" w:afterAutospacing="0" w:line="320" w:lineRule="exact"/>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（三）不按照规定的方式排放放射性废液，利用渗井、渗坑、天然裂隙、溶洞或者国家禁止的其他方式排放放射性废液的。</w:t>
            </w:r>
          </w:p>
          <w:p>
            <w:pPr>
              <w:widowControl/>
              <w:shd w:val="clear" w:color="auto" w:fill="auto"/>
              <w:snapToGrid w:val="0"/>
              <w:spacing w:before="0" w:beforeAutospacing="0" w:after="0" w:afterAutospacing="0" w:line="320" w:lineRule="exact"/>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有前款第（一）项、第（二）项、第（三）项、第（五）项行为之一的，处十万元以上二十万元以下罚款；有前款第（四）项行为的，处一万元以上十万元以下罚款。</w:t>
            </w:r>
          </w:p>
        </w:tc>
      </w:tr>
      <w:tr>
        <w:trPr>
          <w:trHeight w:val="397" w:hRule="atLeast"/>
          <w:jc w:val="center"/>
        </w:trPr>
        <w:tc>
          <w:tcPr>
            <w:tcW w:w="12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★放射性废物类型</w:t>
            </w: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0"/>
                <w:sz w:val="20"/>
                <w:szCs w:val="20"/>
                <w:shd w:val="clear" w:color="auto" w:fill="auto"/>
              </w:rPr>
              <w:t>极短寿命放射性废物</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极低水平放射性废物</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低水平放射性废物</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中水平放射性废物</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高水平放射性废物</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项目应编制的环评文件类别</w:t>
            </w:r>
          </w:p>
        </w:tc>
        <w:tc>
          <w:tcPr>
            <w:tcW w:w="5554"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1"/>
                <w:shd w:val="clear" w:color="auto" w:fill="auto"/>
              </w:rPr>
              <w:t>报告表</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54"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1"/>
                <w:shd w:val="clear" w:color="auto" w:fill="auto"/>
              </w:rPr>
              <w:t>报告书（非生产型）</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54"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1"/>
                <w:shd w:val="clear" w:color="auto" w:fill="auto"/>
              </w:rPr>
              <w:t>报告书（生产型）</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w:t>
            </w:r>
            <w:r>
              <w:rPr>
                <w:rFonts w:hint="default" w:ascii="Times New Roman" w:hAnsi="Times New Roman" w:cs="Times New Roman"/>
                <w:b/>
                <w:bCs/>
                <w:color w:val="auto"/>
                <w:sz w:val="20"/>
                <w:szCs w:val="20"/>
                <w:shd w:val="clear" w:color="auto" w:fill="auto"/>
                <w:lang w:val="en-US"/>
              </w:rPr>
              <w:t>行为</w:t>
            </w:r>
          </w:p>
        </w:tc>
        <w:tc>
          <w:tcPr>
            <w:tcW w:w="5554"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rPr>
              <w:t>部分处理设施不能正常运行</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部分处理设施停运</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整体或关键处理设施不能正常运行</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整体或关键处理设施停运/为逃避现场检查临时停产</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正常生产时不通过处理设施利用其他方式直接排放</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放射性</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废液数量</w:t>
            </w:r>
          </w:p>
        </w:tc>
        <w:tc>
          <w:tcPr>
            <w:tcW w:w="5554"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10千克</w:t>
            </w:r>
            <w:r>
              <w:rPr>
                <w:rFonts w:hint="default" w:ascii="Times New Roman" w:hAnsi="Times New Roman" w:cs="Times New Roman"/>
                <w:color w:val="auto"/>
                <w:sz w:val="21"/>
                <w:szCs w:val="21"/>
                <w:shd w:val="clear" w:color="auto" w:fill="auto"/>
                <w:lang w:eastAsia="zh-CN"/>
              </w:rPr>
              <w:t>以下</w:t>
            </w:r>
          </w:p>
        </w:tc>
        <w:tc>
          <w:tcPr>
            <w:tcW w:w="224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10千克以上100千克</w:t>
            </w:r>
            <w:r>
              <w:rPr>
                <w:rFonts w:hint="default" w:ascii="Times New Roman" w:hAnsi="Times New Roman" w:cs="Times New Roman"/>
                <w:color w:val="auto"/>
                <w:sz w:val="21"/>
                <w:szCs w:val="21"/>
                <w:shd w:val="clear" w:color="auto" w:fill="auto"/>
                <w:lang w:eastAsia="zh-CN"/>
              </w:rPr>
              <w:t>以下</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100千克以上</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排污超标</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状况</w:t>
            </w: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符合国家放射性污染防治标准</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不符合</w:t>
            </w:r>
            <w:r>
              <w:rPr>
                <w:rFonts w:hint="default" w:ascii="Times New Roman" w:hAnsi="Times New Roman" w:cs="Times New Roman"/>
                <w:color w:val="auto"/>
                <w:kern w:val="0"/>
                <w:sz w:val="20"/>
                <w:szCs w:val="20"/>
                <w:shd w:val="clear" w:color="auto" w:fill="auto"/>
              </w:rPr>
              <w:t>国家放射性污染防治标准</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排放地点</w:t>
            </w: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符合环境功能区划</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64"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不符合环境功能区划，但不在保护区内符合环境功能区划</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264"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饮用水水源准保护区</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64"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位于自然保护区实验区/饮用水水源二级保护区</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264"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位于自然保护区缓冲区/位于自然保护区核心区/饮用水水源一级保护区</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rPr>
              <w:t>区域影响</w:t>
            </w: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县级行政区域内</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跨县级行政区域</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跨市级行政区域</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跨省级行政区域</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54"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eastAsia="zh-CN" w:bidi="ar-SA"/>
              </w:rPr>
              <w:t>4</w:t>
            </w:r>
          </w:p>
        </w:tc>
      </w:tr>
      <w:tr>
        <w:trPr>
          <w:trHeight w:val="397"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554"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54"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64"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55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24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jc w:val="center"/>
        </w:trPr>
        <w:tc>
          <w:tcPr>
            <w:tcW w:w="126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55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24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jc w:val="center"/>
        </w:trPr>
        <w:tc>
          <w:tcPr>
            <w:tcW w:w="126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55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24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jc w:val="center"/>
        </w:trPr>
        <w:tc>
          <w:tcPr>
            <w:tcW w:w="126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55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24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jc w:val="center"/>
        </w:trPr>
        <w:tc>
          <w:tcPr>
            <w:tcW w:w="126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55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24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次数</w:t>
            </w: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2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55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24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5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24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5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24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5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24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96"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spacing w:line="20" w:lineRule="exact"/>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6"/>
        <w:gridCol w:w="2646"/>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298" w:name="_Toc23843"/>
            <w:r>
              <w:rPr>
                <w:rFonts w:hint="default" w:ascii="Times New Roman" w:hAnsi="Times New Roman" w:cs="Times New Roman"/>
                <w:color w:val="auto"/>
                <w:sz w:val="20"/>
                <w:szCs w:val="20"/>
                <w:shd w:val="clear" w:color="auto" w:fill="auto"/>
              </w:rPr>
              <w:t>6</w:t>
            </w:r>
            <w:bookmarkEnd w:id="298"/>
          </w:p>
        </w:tc>
      </w:tr>
      <w:tr>
        <w:trPr>
          <w:trHeight w:val="42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69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outlineLvl w:val="9"/>
              <w:rPr>
                <w:rFonts w:hint="default" w:ascii="Times New Roman" w:hAnsi="Times New Roman" w:cs="Times New Roman"/>
                <w:color w:val="auto"/>
                <w:kern w:val="0"/>
                <w:sz w:val="20"/>
                <w:szCs w:val="20"/>
                <w:shd w:val="clear" w:color="auto" w:fill="auto"/>
              </w:rPr>
            </w:pPr>
            <w:bookmarkStart w:id="299" w:name="_Toc27026"/>
            <w:r>
              <w:rPr>
                <w:rFonts w:hint="default" w:ascii="Times New Roman" w:hAnsi="Times New Roman" w:cs="Times New Roman"/>
                <w:color w:val="auto"/>
                <w:kern w:val="0"/>
                <w:sz w:val="20"/>
                <w:szCs w:val="20"/>
                <w:shd w:val="clear" w:color="auto" w:fill="auto"/>
              </w:rPr>
              <w:t>不按照规定处理或者贮存不得向环境排放的放射性废液的</w:t>
            </w:r>
            <w:bookmarkEnd w:id="299"/>
          </w:p>
        </w:tc>
      </w:tr>
      <w:tr>
        <w:trPr>
          <w:trHeight w:val="1070"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2" w:firstLineChars="200"/>
              <w:jc w:val="both"/>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《中华人民共和国放射性污染防治法》第四十二条第一款 </w:t>
            </w:r>
            <w:r>
              <w:rPr>
                <w:rFonts w:hint="default" w:ascii="Times New Roman" w:hAnsi="Times New Roman" w:cs="Times New Roman"/>
                <w:color w:val="auto"/>
                <w:kern w:val="0"/>
                <w:sz w:val="20"/>
                <w:szCs w:val="20"/>
                <w:shd w:val="clear" w:color="auto" w:fill="auto"/>
              </w:rPr>
              <w:t>产生放射性废液的单位，必须按照国家放射性污染防治标准的要求，对不得向环境排放的放射性废液进行处理或者贮存。</w:t>
            </w:r>
          </w:p>
        </w:tc>
      </w:tr>
      <w:tr>
        <w:trPr>
          <w:trHeight w:val="2370"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widowControl/>
              <w:shd w:val="clear" w:color="auto" w:fill="auto"/>
              <w:snapToGrid w:val="0"/>
              <w:spacing w:before="0" w:beforeAutospacing="0" w:after="0" w:afterAutospacing="0" w:line="320" w:lineRule="exact"/>
              <w:ind w:left="0" w:right="0" w:firstLine="422" w:firstLineChars="200"/>
              <w:jc w:val="both"/>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《中华人民共和国放射性污染防治法》第五十四条第（四）项 、</w:t>
            </w:r>
            <w:r>
              <w:rPr>
                <w:rFonts w:hint="default" w:ascii="Times New Roman" w:hAnsi="Times New Roman" w:cs="Times New Roman"/>
                <w:b/>
                <w:bCs/>
                <w:color w:val="auto"/>
                <w:kern w:val="0"/>
                <w:sz w:val="20"/>
                <w:szCs w:val="20"/>
                <w:shd w:val="clear" w:color="auto" w:fill="auto"/>
                <w:lang w:val="en-US"/>
              </w:rPr>
              <w:t>第二款</w:t>
            </w:r>
            <w:r>
              <w:rPr>
                <w:rFonts w:hint="default" w:ascii="Times New Roman" w:hAnsi="Times New Roman" w:cs="Times New Roman"/>
                <w:color w:val="auto"/>
                <w:kern w:val="0"/>
                <w:sz w:val="20"/>
                <w:szCs w:val="20"/>
                <w:shd w:val="clear" w:color="auto" w:fill="auto"/>
              </w:rPr>
              <w:t>违反本法规定，有下列行为之一的，由县级以上人民政府环境保护行政主管部门责令停止违法行为，限期改正，处以罚款；构成犯罪的，依法追究刑事责任：</w:t>
            </w:r>
          </w:p>
          <w:p>
            <w:pPr>
              <w:widowControl/>
              <w:shd w:val="clear" w:color="auto" w:fill="auto"/>
              <w:snapToGrid w:val="0"/>
              <w:spacing w:before="0" w:beforeAutospacing="0" w:after="0" w:afterAutospacing="0" w:line="320" w:lineRule="exact"/>
              <w:ind w:left="0" w:right="0" w:firstLine="420" w:firstLineChars="200"/>
              <w:jc w:val="both"/>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（四）不按照规定处理或者贮存不得向环境排放的放射性废液的。</w:t>
            </w:r>
          </w:p>
          <w:p>
            <w:pPr>
              <w:widowControl/>
              <w:shd w:val="clear" w:color="auto" w:fill="auto"/>
              <w:snapToGrid w:val="0"/>
              <w:spacing w:before="0" w:beforeAutospacing="0" w:after="0" w:afterAutospacing="0" w:line="320" w:lineRule="exact"/>
              <w:ind w:left="0" w:right="0" w:firstLine="420" w:firstLineChars="200"/>
              <w:jc w:val="both"/>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有前款第（一）项、第（二）项、第（三）项、第（五）项行为之一的，处十万元以上二十万元以下罚款；有前款第（四）项行为的，处一万元以上十万元以下罚款。</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★放射性废物类型</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极短寿命放射性废物</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极低水平放射性废物</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低水平放射性废物</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中水平放射性废物</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高水平放射性废物</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放射性</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废液数量</w:t>
            </w:r>
          </w:p>
        </w:tc>
        <w:tc>
          <w:tcPr>
            <w:tcW w:w="5046"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10千克</w:t>
            </w:r>
            <w:r>
              <w:rPr>
                <w:rFonts w:hint="default" w:ascii="Times New Roman" w:hAnsi="Times New Roman" w:cs="Times New Roman"/>
                <w:color w:val="auto"/>
                <w:sz w:val="21"/>
                <w:szCs w:val="21"/>
                <w:shd w:val="clear" w:color="auto" w:fill="auto"/>
                <w:lang w:eastAsia="zh-CN"/>
              </w:rPr>
              <w:t>以下</w:t>
            </w:r>
          </w:p>
        </w:tc>
        <w:tc>
          <w:tcPr>
            <w:tcW w:w="2646"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10千克以上100千克</w:t>
            </w:r>
            <w:r>
              <w:rPr>
                <w:rFonts w:hint="default" w:ascii="Times New Roman" w:hAnsi="Times New Roman" w:cs="Times New Roman"/>
                <w:color w:val="auto"/>
                <w:sz w:val="21"/>
                <w:szCs w:val="21"/>
                <w:shd w:val="clear" w:color="auto" w:fill="auto"/>
                <w:lang w:eastAsia="zh-CN"/>
              </w:rPr>
              <w:t>以下</w:t>
            </w:r>
          </w:p>
        </w:tc>
        <w:tc>
          <w:tcPr>
            <w:tcW w:w="2646"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100千克以上</w:t>
            </w:r>
          </w:p>
        </w:tc>
        <w:tc>
          <w:tcPr>
            <w:tcW w:w="2646"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w:t>
            </w:r>
          </w:p>
        </w:tc>
      </w:tr>
      <w:tr>
        <w:trPr>
          <w:trHeight w:val="425" w:hRule="atLeast"/>
          <w:jc w:val="center"/>
        </w:trPr>
        <w:tc>
          <w:tcPr>
            <w:tcW w:w="1368" w:type="dxa"/>
            <w:vMerge w:val="restart"/>
            <w:tcMar>
              <w:left w:w="57" w:type="dxa"/>
              <w:right w:w="57" w:type="dxa"/>
            </w:tcMar>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对社会影响或环境污染、生态环境破坏程度</w:t>
            </w:r>
          </w:p>
        </w:tc>
        <w:tc>
          <w:tcPr>
            <w:tcW w:w="5046"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kern w:val="0"/>
                <w:sz w:val="20"/>
                <w:szCs w:val="20"/>
                <w:shd w:val="clear" w:color="auto" w:fill="auto"/>
              </w:rPr>
              <w:t>未造成社会影响与环境污染、生态环境破坏的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造成社会影响或环境污染、生态环境破坏轻微的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造成社会影响或环境污染、生态环境破坏严重的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区域影响</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县级行政区域内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跨县级行政区域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跨市级行政区域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跨省级行政区域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eastAsia="zh-CN" w:bidi="ar-SA"/>
              </w:rPr>
              <w:t>4</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46"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改正时间</w:t>
            </w:r>
          </w:p>
        </w:tc>
        <w:tc>
          <w:tcPr>
            <w:tcW w:w="50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69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5150"/>
        <w:gridCol w:w="2646"/>
      </w:tblGrid>
      <w:tr>
        <w:trPr>
          <w:trHeight w:val="284" w:hRule="atLeast"/>
          <w:jc w:val="center"/>
        </w:trPr>
        <w:tc>
          <w:tcPr>
            <w:tcW w:w="9060" w:type="dxa"/>
            <w:gridSpan w:val="3"/>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284" w:hRule="atLeast"/>
          <w:jc w:val="center"/>
        </w:trPr>
        <w:tc>
          <w:tcPr>
            <w:tcW w:w="1264"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96" w:type="dxa"/>
            <w:gridSpan w:val="2"/>
            <w:vAlign w:val="center"/>
          </w:tcPr>
          <w:p>
            <w:pPr>
              <w:shd w:val="clear" w:color="auto" w:fill="auto"/>
              <w:wordWrap/>
              <w:adjustRightInd/>
              <w:snapToGrid w:val="0"/>
              <w:spacing w:before="0" w:beforeAutospacing="0" w:after="0" w:afterAutospacing="0" w:line="31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300" w:name="_Toc5475"/>
            <w:r>
              <w:rPr>
                <w:rFonts w:hint="default" w:ascii="Times New Roman" w:hAnsi="Times New Roman" w:cs="Times New Roman"/>
                <w:color w:val="auto"/>
                <w:sz w:val="20"/>
                <w:szCs w:val="20"/>
                <w:shd w:val="clear" w:color="auto" w:fill="auto"/>
              </w:rPr>
              <w:t>7</w:t>
            </w:r>
            <w:bookmarkEnd w:id="300"/>
          </w:p>
        </w:tc>
      </w:tr>
      <w:tr>
        <w:trPr>
          <w:trHeight w:val="284" w:hRule="atLeast"/>
          <w:jc w:val="center"/>
        </w:trPr>
        <w:tc>
          <w:tcPr>
            <w:tcW w:w="1264"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796"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10" w:lineRule="exact"/>
              <w:ind w:left="0" w:right="0"/>
              <w:jc w:val="center"/>
              <w:textAlignment w:val="auto"/>
              <w:outlineLvl w:val="9"/>
              <w:rPr>
                <w:rFonts w:hint="default" w:ascii="Times New Roman" w:hAnsi="Times New Roman" w:cs="Times New Roman"/>
                <w:color w:val="auto"/>
                <w:kern w:val="0"/>
                <w:sz w:val="20"/>
                <w:szCs w:val="20"/>
                <w:shd w:val="clear" w:color="auto" w:fill="auto"/>
              </w:rPr>
            </w:pPr>
            <w:bookmarkStart w:id="301" w:name="_Toc12484"/>
            <w:r>
              <w:rPr>
                <w:rFonts w:hint="default" w:ascii="Times New Roman" w:hAnsi="Times New Roman" w:cs="Times New Roman"/>
                <w:color w:val="auto"/>
                <w:kern w:val="0"/>
                <w:sz w:val="20"/>
                <w:szCs w:val="20"/>
                <w:shd w:val="clear" w:color="auto" w:fill="auto"/>
              </w:rPr>
              <w:t>将放射性固体废物或者废旧放射源提供或者委托给无许可证的单位贮存和处置的</w:t>
            </w:r>
            <w:bookmarkEnd w:id="301"/>
          </w:p>
        </w:tc>
      </w:tr>
      <w:tr>
        <w:trPr>
          <w:trHeight w:val="284" w:hRule="atLeast"/>
          <w:jc w:val="center"/>
        </w:trPr>
        <w:tc>
          <w:tcPr>
            <w:tcW w:w="1264"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96" w:type="dxa"/>
            <w:gridSpan w:val="2"/>
            <w:vAlign w:val="center"/>
          </w:tcPr>
          <w:p>
            <w:pPr>
              <w:shd w:val="clear" w:color="auto" w:fill="auto"/>
              <w:wordWrap/>
              <w:adjustRightInd/>
              <w:spacing w:before="62" w:beforeAutospacing="0" w:after="0" w:afterAutospacing="0" w:line="310" w:lineRule="exact"/>
              <w:ind w:left="0" w:right="0" w:firstLine="422"/>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1.《中华人民共和国放射性污染防治法》第四十六条第三款 </w:t>
            </w:r>
            <w:r>
              <w:rPr>
                <w:rFonts w:hint="default" w:ascii="Times New Roman" w:hAnsi="Times New Roman" w:cs="Times New Roman"/>
                <w:color w:val="auto"/>
                <w:sz w:val="20"/>
                <w:szCs w:val="20"/>
                <w:shd w:val="clear" w:color="auto" w:fill="auto"/>
              </w:rPr>
              <w:t>禁止将放射性固体废物提供或者委托给无许可证的单位贮存和处置。</w:t>
            </w:r>
          </w:p>
          <w:p>
            <w:pPr>
              <w:pStyle w:val="27"/>
              <w:shd w:val="clear" w:color="auto" w:fill="auto"/>
              <w:wordWrap/>
              <w:adjustRightInd/>
              <w:spacing w:before="0" w:beforeAutospacing="0" w:after="0" w:afterAutospacing="0" w:line="310" w:lineRule="exact"/>
              <w:ind w:left="0" w:right="0" w:firstLine="413"/>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2.《河南省辐射污染防治条例》第十七条 </w:t>
            </w:r>
            <w:r>
              <w:rPr>
                <w:rFonts w:hint="default" w:ascii="Times New Roman" w:hAnsi="Times New Roman" w:cs="Times New Roman"/>
                <w:color w:val="auto"/>
                <w:sz w:val="21"/>
                <w:szCs w:val="21"/>
                <w:shd w:val="clear" w:color="auto" w:fill="auto"/>
              </w:rPr>
              <w:t>产生放射性废物的单位应当按照国家有关规定，及时将废旧放射性材料或者其他放射性废物交回原生产单位、返回原出口方或者送交有放射性废物贮存、处置许可证的单位进行贮存或者处置。</w:t>
            </w:r>
          </w:p>
          <w:p>
            <w:pPr>
              <w:pStyle w:val="18"/>
              <w:shd w:val="clear" w:color="auto" w:fill="auto"/>
              <w:wordWrap/>
              <w:adjustRightInd/>
              <w:spacing w:before="0" w:beforeAutospacing="0" w:after="0" w:afterAutospacing="0" w:line="310" w:lineRule="exact"/>
              <w:ind w:left="0" w:right="0" w:firstLine="414"/>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禁止将废旧放射性材料或者其他放射性废物提供或者委托给无许可证的单位贮存、处置或者擅自处置。</w:t>
            </w:r>
          </w:p>
          <w:p>
            <w:pPr>
              <w:pStyle w:val="18"/>
              <w:shd w:val="clear" w:color="auto" w:fill="auto"/>
              <w:wordWrap/>
              <w:adjustRightInd/>
              <w:spacing w:before="0" w:beforeAutospacing="0" w:after="0" w:afterAutospacing="0" w:line="310" w:lineRule="exact"/>
              <w:ind w:left="0" w:right="0" w:firstLine="413"/>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color w:val="auto"/>
                <w:sz w:val="21"/>
                <w:szCs w:val="21"/>
                <w:shd w:val="clear" w:color="auto" w:fill="auto"/>
              </w:rPr>
              <w:t>3.</w:t>
            </w:r>
            <w:r>
              <w:rPr>
                <w:rFonts w:hint="default" w:ascii="Times New Roman" w:hAnsi="Times New Roman" w:cs="Times New Roman"/>
                <w:b/>
                <w:bCs/>
                <w:color w:val="auto"/>
                <w:sz w:val="21"/>
                <w:szCs w:val="21"/>
                <w:shd w:val="clear" w:color="auto" w:fill="auto"/>
              </w:rPr>
              <w:t>《放射性废物安全管理条例》第十条</w:t>
            </w:r>
            <w:r>
              <w:rPr>
                <w:rFonts w:hint="default" w:ascii="Times New Roman" w:hAnsi="Times New Roman" w:cs="Times New Roman"/>
                <w:color w:val="auto"/>
                <w:sz w:val="21"/>
                <w:szCs w:val="21"/>
                <w:shd w:val="clear" w:color="auto" w:fill="auto"/>
              </w:rPr>
              <w:t xml:space="preserve"> </w:t>
            </w:r>
            <w:r>
              <w:rPr>
                <w:rFonts w:hint="default" w:ascii="Times New Roman" w:hAnsi="Times New Roman" w:cs="Times New Roman"/>
                <w:color w:val="auto"/>
                <w:sz w:val="21"/>
                <w:szCs w:val="21"/>
                <w:shd w:val="clear" w:color="auto" w:fill="auto"/>
                <w:lang w:val="en-US"/>
              </w:rPr>
              <w:t>核</w:t>
            </w:r>
            <w:r>
              <w:rPr>
                <w:rFonts w:hint="default" w:ascii="Times New Roman" w:hAnsi="Times New Roman" w:cs="Times New Roman"/>
                <w:color w:val="auto"/>
                <w:sz w:val="21"/>
                <w:szCs w:val="21"/>
                <w:shd w:val="clear" w:color="auto" w:fill="auto"/>
              </w:rPr>
              <w:t>设施营运单位应当将其产生的不能回收利用并不能返回原生产单位或者出口方的废旧放射源（以下简称废旧放射源），送交取得相应许可证的放射性固体废物贮存单位集中贮存，或者直接送交取得相应许可证的放射性固体废物处置单位处置。</w:t>
            </w:r>
          </w:p>
          <w:p>
            <w:pPr>
              <w:shd w:val="clear" w:color="auto" w:fill="auto"/>
              <w:wordWrap/>
              <w:adjustRightInd/>
              <w:spacing w:before="0" w:beforeAutospacing="0" w:after="0" w:afterAutospacing="0" w:line="310" w:lineRule="exact"/>
              <w:ind w:left="0" w:right="0" w:firstLine="42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核设施营运单位应当对其产生的除废旧放射源以外的放射性固体废物和不能经净化排放的放射性废液进行处理，使其转变为稳定的、标准化的固体废物后自行贮存，并及时送交取得相应许可证的放射性固体废物处置单位处置。</w:t>
            </w:r>
          </w:p>
          <w:p>
            <w:pPr>
              <w:shd w:val="clear" w:color="auto" w:fill="auto"/>
              <w:wordWrap/>
              <w:adjustRightInd/>
              <w:spacing w:before="0" w:beforeAutospacing="0" w:after="0" w:afterAutospacing="0" w:line="310" w:lineRule="exact"/>
              <w:ind w:left="0" w:right="0" w:firstLine="42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r>
              <w:rPr>
                <w:rFonts w:hint="default" w:ascii="Times New Roman" w:hAnsi="Times New Roman" w:cs="Times New Roman"/>
                <w:b/>
                <w:bCs/>
                <w:color w:val="auto"/>
                <w:sz w:val="20"/>
                <w:szCs w:val="20"/>
                <w:shd w:val="clear" w:color="auto" w:fill="auto"/>
              </w:rPr>
              <w:t>《放射性废物安全管理条例》第十一条第二款</w:t>
            </w:r>
            <w:r>
              <w:rPr>
                <w:rFonts w:hint="default" w:ascii="Times New Roman" w:hAnsi="Times New Roman" w:cs="Times New Roman"/>
                <w:color w:val="auto"/>
                <w:sz w:val="20"/>
                <w:szCs w:val="20"/>
                <w:shd w:val="clear" w:color="auto" w:fill="auto"/>
              </w:rPr>
              <w:t xml:space="preserve"> 核技术利用单位应当及时将其产生的废旧放射源和其他放射性固体废物，送交取得相应许可证的放射性固体废物贮存单位集中贮存，或者直接送交取得相应许可证的放射性固体废物处置单位处置。</w:t>
            </w:r>
          </w:p>
          <w:p>
            <w:pPr>
              <w:shd w:val="clear" w:color="auto" w:fill="auto"/>
              <w:wordWrap/>
              <w:adjustRightInd/>
              <w:spacing w:before="0" w:beforeAutospacing="0" w:after="0" w:afterAutospacing="0" w:line="310" w:lineRule="exact"/>
              <w:ind w:left="0" w:right="0" w:firstLine="42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highlight w:val="none"/>
                <w:shd w:val="clear" w:color="auto" w:fill="auto"/>
              </w:rPr>
              <w:t>5.</w:t>
            </w:r>
            <w:r>
              <w:rPr>
                <w:rFonts w:hint="default" w:ascii="Times New Roman" w:hAnsi="Times New Roman" w:cs="Times New Roman"/>
                <w:b/>
                <w:bCs/>
                <w:color w:val="auto"/>
                <w:sz w:val="20"/>
                <w:szCs w:val="20"/>
                <w:highlight w:val="none"/>
                <w:shd w:val="clear" w:color="auto" w:fill="auto"/>
              </w:rPr>
              <w:t>《放射性废物安全管理条例》第十七条第一款</w:t>
            </w:r>
            <w:r>
              <w:rPr>
                <w:rFonts w:hint="default" w:ascii="Times New Roman" w:hAnsi="Times New Roman" w:cs="Times New Roman"/>
                <w:color w:val="auto"/>
                <w:sz w:val="20"/>
                <w:szCs w:val="20"/>
                <w:highlight w:val="none"/>
                <w:shd w:val="clear" w:color="auto" w:fill="auto"/>
              </w:rPr>
              <w:t xml:space="preserve"> 放射性固体废物贮存单位应当按照国家有关放射性污染防治标准和国务院环境保护主管部门的规定，对其接收的废旧放射源和其他放射性固体废物进行分类存放和清理，及时予以清洁解控或者送交取得相应许可证的放射性固体废物处置单位处置。</w:t>
            </w:r>
          </w:p>
        </w:tc>
      </w:tr>
      <w:tr>
        <w:trPr>
          <w:trHeight w:val="284" w:hRule="atLeast"/>
          <w:jc w:val="center"/>
        </w:trPr>
        <w:tc>
          <w:tcPr>
            <w:tcW w:w="1264" w:type="dxa"/>
            <w:vAlign w:val="center"/>
          </w:tcPr>
          <w:p>
            <w:pPr>
              <w:shd w:val="clear" w:color="auto" w:fill="auto"/>
              <w:wordWrap/>
              <w:adjustRightInd/>
              <w:snapToGrid w:val="0"/>
              <w:spacing w:before="0" w:beforeAutospacing="0" w:after="0" w:afterAutospacing="0" w:line="31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96" w:type="dxa"/>
            <w:gridSpan w:val="2"/>
            <w:vAlign w:val="center"/>
          </w:tcPr>
          <w:p>
            <w:pPr>
              <w:widowControl/>
              <w:shd w:val="clear" w:color="auto" w:fill="auto"/>
              <w:wordWrap/>
              <w:adjustRightInd/>
              <w:snapToGrid w:val="0"/>
              <w:spacing w:before="62" w:beforeAutospacing="0" w:after="0" w:afterAutospacing="0" w:line="310" w:lineRule="exact"/>
              <w:ind w:left="0" w:right="0" w:firstLine="422"/>
              <w:jc w:val="left"/>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1.《中华人民共和国放射性污染防治法》第五十四条第（五）项、</w:t>
            </w:r>
            <w:r>
              <w:rPr>
                <w:rFonts w:hint="default" w:ascii="Times New Roman" w:hAnsi="Times New Roman" w:cs="Times New Roman"/>
                <w:b/>
                <w:bCs/>
                <w:color w:val="auto"/>
                <w:kern w:val="0"/>
                <w:sz w:val="20"/>
                <w:szCs w:val="20"/>
                <w:shd w:val="clear" w:color="auto" w:fill="auto"/>
                <w:lang w:val="en-US"/>
              </w:rPr>
              <w:t>第二款</w:t>
            </w:r>
            <w:r>
              <w:rPr>
                <w:rFonts w:hint="default" w:ascii="Times New Roman" w:hAnsi="Times New Roman" w:cs="Times New Roman"/>
                <w:b/>
                <w:bCs/>
                <w:color w:val="auto"/>
                <w:kern w:val="0"/>
                <w:sz w:val="20"/>
                <w:szCs w:val="20"/>
                <w:shd w:val="clear" w:color="auto" w:fill="auto"/>
              </w:rPr>
              <w:t xml:space="preserve"> </w:t>
            </w:r>
            <w:r>
              <w:rPr>
                <w:rFonts w:hint="default" w:ascii="Times New Roman" w:hAnsi="Times New Roman" w:cs="Times New Roman"/>
                <w:color w:val="auto"/>
                <w:kern w:val="0"/>
                <w:sz w:val="20"/>
                <w:szCs w:val="20"/>
                <w:shd w:val="clear" w:color="auto" w:fill="auto"/>
              </w:rPr>
              <w:t>违反本法规定，有下列行为之一的，由县级以上人民政府环境保护行政主管部门责令停止违法行为，限期改正，处以罚款；构成犯罪的，依法追究刑事责任：</w:t>
            </w:r>
          </w:p>
          <w:p>
            <w:pPr>
              <w:widowControl/>
              <w:shd w:val="clear" w:color="auto" w:fill="auto"/>
              <w:wordWrap/>
              <w:adjustRightInd/>
              <w:snapToGrid w:val="0"/>
              <w:spacing w:before="0" w:beforeAutospacing="0" w:after="0" w:afterAutospacing="0" w:line="310" w:lineRule="exact"/>
              <w:ind w:left="0" w:right="0" w:firstLine="420"/>
              <w:jc w:val="left"/>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（五）将放射性固体废物提供或者委托给无许可证的单位贮存和处置的。</w:t>
            </w:r>
          </w:p>
          <w:p>
            <w:pPr>
              <w:widowControl/>
              <w:shd w:val="clear" w:color="auto" w:fill="auto"/>
              <w:wordWrap/>
              <w:adjustRightInd/>
              <w:snapToGrid w:val="0"/>
              <w:spacing w:before="0" w:beforeAutospacing="0" w:after="0" w:afterAutospacing="0" w:line="310" w:lineRule="exact"/>
              <w:ind w:left="0" w:right="0" w:firstLine="420"/>
              <w:jc w:val="left"/>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有前款第（一）项、第（二）项、第（三）项、第（五）项行为之一的，处十万元以上二十万元以下罚款；有前款第（四）项行为的，处一万元以上十万元以下罚款。</w:t>
            </w:r>
          </w:p>
          <w:p>
            <w:pPr>
              <w:widowControl/>
              <w:shd w:val="clear" w:color="auto" w:fill="auto"/>
              <w:wordWrap/>
              <w:adjustRightInd/>
              <w:snapToGrid w:val="0"/>
              <w:spacing w:before="0" w:beforeAutospacing="0" w:after="0" w:afterAutospacing="0" w:line="310" w:lineRule="exact"/>
              <w:ind w:left="0" w:right="0" w:firstLine="422"/>
              <w:jc w:val="left"/>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2.《放射性废物安全管理条例》第三十七条</w:t>
            </w:r>
            <w:r>
              <w:rPr>
                <w:rFonts w:hint="default" w:ascii="Times New Roman" w:hAnsi="Times New Roman" w:cs="Times New Roman"/>
                <w:color w:val="auto"/>
                <w:sz w:val="20"/>
                <w:szCs w:val="20"/>
                <w:shd w:val="clear" w:color="auto" w:fill="auto"/>
              </w:rPr>
              <w:t xml:space="preserve"> 违反本条例规定，有下列行为之一的，由县级以上人民政府环境保护主管部门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w:t>
            </w:r>
          </w:p>
          <w:p>
            <w:pPr>
              <w:widowControl/>
              <w:shd w:val="clear" w:color="auto" w:fill="auto"/>
              <w:wordWrap/>
              <w:adjustRightInd/>
              <w:snapToGrid w:val="0"/>
              <w:spacing w:before="0" w:beforeAutospacing="0" w:after="0" w:afterAutospacing="0" w:line="310" w:lineRule="exact"/>
              <w:ind w:left="0" w:right="0" w:firstLine="420"/>
              <w:jc w:val="left"/>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（一）核设施营运单位将废旧放射源送交无相应许可证的单位贮存、处置，或者将其他放射性固体废物送交无相应许可证的单位处置，或者擅自处置的；</w:t>
            </w:r>
          </w:p>
          <w:p>
            <w:pPr>
              <w:widowControl/>
              <w:shd w:val="clear" w:color="auto" w:fill="auto"/>
              <w:wordWrap/>
              <w:adjustRightInd/>
              <w:snapToGrid w:val="0"/>
              <w:spacing w:before="0" w:beforeAutospacing="0" w:after="0" w:afterAutospacing="0" w:line="310" w:lineRule="exact"/>
              <w:ind w:left="0" w:right="0" w:firstLine="420"/>
              <w:jc w:val="left"/>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（二）核技术利用单位将废旧放射源或者其他放射性固体废物送交无相应许可证的单位贮存、处置，或者擅自处置的；</w:t>
            </w:r>
          </w:p>
          <w:p>
            <w:pPr>
              <w:widowControl/>
              <w:shd w:val="clear" w:color="auto" w:fill="auto"/>
              <w:wordWrap/>
              <w:adjustRightInd/>
              <w:snapToGrid w:val="0"/>
              <w:spacing w:before="0" w:beforeAutospacing="0" w:after="0" w:afterAutospacing="0" w:line="310" w:lineRule="exact"/>
              <w:ind w:left="0" w:right="0" w:firstLine="420"/>
              <w:jc w:val="left"/>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（三）放射性固体废物贮存单位将废旧放射源或者其他放射性固体废物送交无相应许可证的单位处置，或者擅自处置的。</w:t>
            </w:r>
          </w:p>
        </w:tc>
      </w:tr>
      <w:tr>
        <w:trPr>
          <w:trHeight w:val="255" w:hRule="atLeast"/>
          <w:jc w:val="center"/>
        </w:trPr>
        <w:tc>
          <w:tcPr>
            <w:tcW w:w="126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5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255" w:hRule="atLeast"/>
          <w:jc w:val="center"/>
        </w:trPr>
        <w:tc>
          <w:tcPr>
            <w:tcW w:w="1264"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★废旧放射源类型</w:t>
            </w:r>
          </w:p>
        </w:tc>
        <w:tc>
          <w:tcPr>
            <w:tcW w:w="515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Ⅳ类、Ⅴ类放射源</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1</w:t>
            </w:r>
          </w:p>
        </w:tc>
      </w:tr>
      <w:tr>
        <w:trPr>
          <w:trHeight w:val="255" w:hRule="atLeast"/>
          <w:jc w:val="center"/>
        </w:trPr>
        <w:tc>
          <w:tcPr>
            <w:tcW w:w="126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Ⅲ类放射源</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3</w:t>
            </w:r>
          </w:p>
        </w:tc>
      </w:tr>
      <w:tr>
        <w:trPr>
          <w:trHeight w:val="255" w:hRule="atLeast"/>
          <w:jc w:val="center"/>
        </w:trPr>
        <w:tc>
          <w:tcPr>
            <w:tcW w:w="126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Ⅰ类、Ⅱ类放射源</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5</w:t>
            </w:r>
          </w:p>
        </w:tc>
      </w:tr>
      <w:tr>
        <w:trPr>
          <w:trHeight w:val="255" w:hRule="atLeast"/>
          <w:jc w:val="center"/>
        </w:trPr>
        <w:tc>
          <w:tcPr>
            <w:tcW w:w="1264"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★放射性废物类型</w:t>
            </w:r>
          </w:p>
        </w:tc>
        <w:tc>
          <w:tcPr>
            <w:tcW w:w="515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0"/>
                <w:sz w:val="20"/>
                <w:szCs w:val="20"/>
                <w:shd w:val="clear" w:color="auto" w:fill="auto"/>
              </w:rPr>
              <w:t>极短寿命放射性废物</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1</w:t>
            </w:r>
          </w:p>
        </w:tc>
      </w:tr>
      <w:tr>
        <w:trPr>
          <w:trHeight w:val="255" w:hRule="atLeast"/>
          <w:jc w:val="center"/>
        </w:trPr>
        <w:tc>
          <w:tcPr>
            <w:tcW w:w="126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极低水平放射性废物</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2</w:t>
            </w:r>
          </w:p>
        </w:tc>
      </w:tr>
      <w:tr>
        <w:trPr>
          <w:trHeight w:val="255" w:hRule="atLeast"/>
          <w:jc w:val="center"/>
        </w:trPr>
        <w:tc>
          <w:tcPr>
            <w:tcW w:w="126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低水平放射性废物</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3</w:t>
            </w:r>
          </w:p>
        </w:tc>
      </w:tr>
      <w:tr>
        <w:trPr>
          <w:trHeight w:val="255" w:hRule="atLeast"/>
          <w:jc w:val="center"/>
        </w:trPr>
        <w:tc>
          <w:tcPr>
            <w:tcW w:w="126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中水平放射性废物</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4</w:t>
            </w:r>
          </w:p>
        </w:tc>
      </w:tr>
      <w:tr>
        <w:trPr>
          <w:trHeight w:val="255" w:hRule="atLeast"/>
          <w:jc w:val="center"/>
        </w:trPr>
        <w:tc>
          <w:tcPr>
            <w:tcW w:w="126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高水平放射性废物</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5</w:t>
            </w:r>
          </w:p>
        </w:tc>
      </w:tr>
      <w:tr>
        <w:trPr>
          <w:trHeight w:val="255" w:hRule="atLeast"/>
          <w:jc w:val="center"/>
        </w:trPr>
        <w:tc>
          <w:tcPr>
            <w:tcW w:w="1264"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放射性</w:t>
            </w:r>
          </w:p>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废物数量</w:t>
            </w:r>
          </w:p>
        </w:tc>
        <w:tc>
          <w:tcPr>
            <w:tcW w:w="5150" w:type="dxa"/>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10千克</w:t>
            </w:r>
            <w:r>
              <w:rPr>
                <w:rFonts w:hint="default" w:ascii="Times New Roman" w:hAnsi="Times New Roman" w:cs="Times New Roman"/>
                <w:color w:val="auto"/>
                <w:sz w:val="21"/>
                <w:szCs w:val="21"/>
                <w:shd w:val="clear" w:color="auto" w:fill="auto"/>
                <w:lang w:eastAsia="zh-CN"/>
              </w:rPr>
              <w:t>以下</w:t>
            </w:r>
          </w:p>
        </w:tc>
        <w:tc>
          <w:tcPr>
            <w:tcW w:w="2646" w:type="dxa"/>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255" w:hRule="atLeast"/>
          <w:jc w:val="center"/>
        </w:trPr>
        <w:tc>
          <w:tcPr>
            <w:tcW w:w="126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10千克以上100千克</w:t>
            </w:r>
            <w:r>
              <w:rPr>
                <w:rFonts w:hint="default" w:ascii="Times New Roman" w:hAnsi="Times New Roman" w:cs="Times New Roman"/>
                <w:color w:val="auto"/>
                <w:sz w:val="21"/>
                <w:szCs w:val="21"/>
                <w:shd w:val="clear" w:color="auto" w:fill="auto"/>
                <w:lang w:eastAsia="zh-CN"/>
              </w:rPr>
              <w:t>以下</w:t>
            </w:r>
          </w:p>
        </w:tc>
        <w:tc>
          <w:tcPr>
            <w:tcW w:w="2646" w:type="dxa"/>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255" w:hRule="atLeast"/>
          <w:jc w:val="center"/>
        </w:trPr>
        <w:tc>
          <w:tcPr>
            <w:tcW w:w="126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100千克以上</w:t>
            </w:r>
          </w:p>
        </w:tc>
        <w:tc>
          <w:tcPr>
            <w:tcW w:w="2646" w:type="dxa"/>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w:t>
            </w:r>
          </w:p>
        </w:tc>
      </w:tr>
      <w:tr>
        <w:trPr>
          <w:trHeight w:val="255" w:hRule="atLeast"/>
          <w:jc w:val="center"/>
        </w:trPr>
        <w:tc>
          <w:tcPr>
            <w:tcW w:w="1264"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rPr>
              <w:t>对社会影响或环境污染、生态环境破坏程度</w:t>
            </w:r>
          </w:p>
        </w:tc>
        <w:tc>
          <w:tcPr>
            <w:tcW w:w="5150"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kern w:val="0"/>
                <w:sz w:val="20"/>
                <w:szCs w:val="20"/>
                <w:shd w:val="clear" w:color="auto" w:fill="auto"/>
              </w:rPr>
              <w:t>未造成社会影响与环境污染、生态环境破坏的</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1</w:t>
            </w:r>
          </w:p>
        </w:tc>
      </w:tr>
      <w:tr>
        <w:trPr>
          <w:trHeight w:val="255" w:hRule="atLeast"/>
          <w:jc w:val="center"/>
        </w:trPr>
        <w:tc>
          <w:tcPr>
            <w:tcW w:w="126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150"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kern w:val="0"/>
                <w:sz w:val="20"/>
                <w:szCs w:val="20"/>
                <w:shd w:val="clear" w:color="auto" w:fill="auto"/>
              </w:rPr>
              <w:t>造成社会影响或环境污染、生态环境破坏轻微的</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3</w:t>
            </w:r>
          </w:p>
        </w:tc>
      </w:tr>
      <w:tr>
        <w:trPr>
          <w:trHeight w:val="255" w:hRule="atLeast"/>
          <w:jc w:val="center"/>
        </w:trPr>
        <w:tc>
          <w:tcPr>
            <w:tcW w:w="126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150"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kern w:val="0"/>
                <w:sz w:val="20"/>
                <w:szCs w:val="20"/>
                <w:shd w:val="clear" w:color="auto" w:fill="auto"/>
              </w:rPr>
              <w:t>造成社会影响或环境污染、生态环境破坏严重的</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255" w:hRule="atLeast"/>
          <w:jc w:val="center"/>
        </w:trPr>
        <w:tc>
          <w:tcPr>
            <w:tcW w:w="1264"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rPr>
              <w:t>区域影响</w:t>
            </w:r>
          </w:p>
        </w:tc>
        <w:tc>
          <w:tcPr>
            <w:tcW w:w="515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rPr>
              <w:t>县级行政区域内</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1</w:t>
            </w:r>
          </w:p>
        </w:tc>
      </w:tr>
      <w:tr>
        <w:trPr>
          <w:trHeight w:val="255" w:hRule="atLeast"/>
          <w:jc w:val="center"/>
        </w:trPr>
        <w:tc>
          <w:tcPr>
            <w:tcW w:w="126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15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rPr>
              <w:t>跨县级行政区域</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3</w:t>
            </w:r>
          </w:p>
        </w:tc>
      </w:tr>
      <w:tr>
        <w:trPr>
          <w:trHeight w:val="255" w:hRule="atLeast"/>
          <w:jc w:val="center"/>
        </w:trPr>
        <w:tc>
          <w:tcPr>
            <w:tcW w:w="126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15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rPr>
              <w:t>跨市级行政区域</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4</w:t>
            </w:r>
          </w:p>
        </w:tc>
      </w:tr>
      <w:tr>
        <w:trPr>
          <w:trHeight w:val="255" w:hRule="atLeast"/>
          <w:jc w:val="center"/>
        </w:trPr>
        <w:tc>
          <w:tcPr>
            <w:tcW w:w="126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15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rPr>
              <w:t>跨省级行政区域</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255" w:hRule="atLeast"/>
          <w:jc w:val="center"/>
        </w:trPr>
        <w:tc>
          <w:tcPr>
            <w:tcW w:w="1264"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val="en-US"/>
              </w:rPr>
              <w:t>改正时间</w:t>
            </w:r>
          </w:p>
        </w:tc>
        <w:tc>
          <w:tcPr>
            <w:tcW w:w="5150"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kern w:val="2"/>
                <w:sz w:val="21"/>
                <w:szCs w:val="21"/>
                <w:shd w:val="clear" w:color="auto" w:fill="auto"/>
                <w:lang w:eastAsia="zh-CN"/>
              </w:rPr>
              <w:t>限期改正</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255" w:hRule="atLeast"/>
          <w:jc w:val="center"/>
        </w:trPr>
        <w:tc>
          <w:tcPr>
            <w:tcW w:w="126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15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255" w:hRule="atLeast"/>
          <w:jc w:val="center"/>
        </w:trPr>
        <w:tc>
          <w:tcPr>
            <w:tcW w:w="126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255" w:hRule="atLeast"/>
          <w:jc w:val="center"/>
        </w:trPr>
        <w:tc>
          <w:tcPr>
            <w:tcW w:w="126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255" w:hRule="atLeast"/>
          <w:jc w:val="center"/>
        </w:trPr>
        <w:tc>
          <w:tcPr>
            <w:tcW w:w="1264" w:type="dxa"/>
            <w:vMerge w:val="restart"/>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50"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255" w:hRule="atLeast"/>
          <w:jc w:val="center"/>
        </w:trPr>
        <w:tc>
          <w:tcPr>
            <w:tcW w:w="1264" w:type="dxa"/>
            <w:vMerge w:val="continue"/>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255" w:hRule="atLeast"/>
          <w:jc w:val="center"/>
        </w:trPr>
        <w:tc>
          <w:tcPr>
            <w:tcW w:w="1264" w:type="dxa"/>
            <w:vMerge w:val="continue"/>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255" w:hRule="atLeast"/>
          <w:jc w:val="center"/>
        </w:trPr>
        <w:tc>
          <w:tcPr>
            <w:tcW w:w="1264" w:type="dxa"/>
            <w:vMerge w:val="continue"/>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255" w:hRule="atLeast"/>
          <w:jc w:val="center"/>
        </w:trPr>
        <w:tc>
          <w:tcPr>
            <w:tcW w:w="1264" w:type="dxa"/>
            <w:vMerge w:val="continue"/>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255" w:hRule="atLeast"/>
          <w:jc w:val="center"/>
        </w:trPr>
        <w:tc>
          <w:tcPr>
            <w:tcW w:w="1264"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15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255" w:hRule="atLeast"/>
          <w:jc w:val="center"/>
        </w:trPr>
        <w:tc>
          <w:tcPr>
            <w:tcW w:w="126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255" w:hRule="atLeast"/>
          <w:jc w:val="center"/>
        </w:trPr>
        <w:tc>
          <w:tcPr>
            <w:tcW w:w="126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255" w:hRule="atLeast"/>
          <w:jc w:val="center"/>
        </w:trPr>
        <w:tc>
          <w:tcPr>
            <w:tcW w:w="126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290" w:lineRule="exact"/>
              <w:ind w:left="0" w:right="0" w:firstLine="0" w:firstLineChars="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eastAsia="zh-CN" w:bidi="ar-SA"/>
              </w:rPr>
              <w:t>4</w:t>
            </w:r>
          </w:p>
        </w:tc>
      </w:tr>
      <w:tr>
        <w:trPr>
          <w:trHeight w:val="255" w:hRule="atLeast"/>
          <w:jc w:val="center"/>
        </w:trPr>
        <w:tc>
          <w:tcPr>
            <w:tcW w:w="1264"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150" w:type="dxa"/>
            <w:vAlign w:val="center"/>
          </w:tcPr>
          <w:p>
            <w:pPr>
              <w:shd w:val="clear" w:color="auto" w:fill="auto"/>
              <w:wordWrap/>
              <w:adjustRightInd/>
              <w:snapToGrid w:val="0"/>
              <w:spacing w:before="0" w:beforeAutospacing="0" w:after="0" w:afterAutospacing="0" w:line="290" w:lineRule="exact"/>
              <w:ind w:left="0" w:right="0" w:firstLine="2100" w:firstLineChars="1000"/>
              <w:jc w:val="both"/>
              <w:textAlignment w:val="auto"/>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255" w:hRule="atLeast"/>
          <w:jc w:val="center"/>
        </w:trPr>
        <w:tc>
          <w:tcPr>
            <w:tcW w:w="126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255" w:hRule="atLeast"/>
          <w:jc w:val="center"/>
        </w:trPr>
        <w:tc>
          <w:tcPr>
            <w:tcW w:w="126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290" w:lineRule="exact"/>
              <w:ind w:left="0" w:right="0" w:firstLine="2100" w:firstLineChars="1000"/>
              <w:jc w:val="both"/>
              <w:textAlignment w:val="auto"/>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255" w:hRule="atLeast"/>
          <w:jc w:val="center"/>
        </w:trPr>
        <w:tc>
          <w:tcPr>
            <w:tcW w:w="1264"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w:t>
            </w:r>
          </w:p>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次数</w:t>
            </w:r>
          </w:p>
        </w:tc>
        <w:tc>
          <w:tcPr>
            <w:tcW w:w="5150" w:type="dxa"/>
            <w:vAlign w:val="center"/>
          </w:tcPr>
          <w:p>
            <w:pPr>
              <w:shd w:val="clear" w:color="auto" w:fill="auto"/>
              <w:wordWrap/>
              <w:adjustRightInd/>
              <w:snapToGrid w:val="0"/>
              <w:spacing w:before="0" w:beforeAutospacing="0" w:after="0" w:afterAutospacing="0" w:line="290" w:lineRule="exact"/>
              <w:ind w:left="0" w:right="0" w:firstLine="0" w:firstLineChars="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255" w:hRule="atLeast"/>
          <w:jc w:val="center"/>
        </w:trPr>
        <w:tc>
          <w:tcPr>
            <w:tcW w:w="126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290" w:lineRule="exact"/>
              <w:ind w:left="0" w:right="0" w:firstLine="0" w:firstLineChars="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255" w:hRule="atLeast"/>
          <w:jc w:val="center"/>
        </w:trPr>
        <w:tc>
          <w:tcPr>
            <w:tcW w:w="126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290" w:lineRule="exact"/>
              <w:ind w:left="0" w:right="0" w:firstLine="0" w:firstLineChars="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255" w:hRule="atLeast"/>
          <w:jc w:val="center"/>
        </w:trPr>
        <w:tc>
          <w:tcPr>
            <w:tcW w:w="1264"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5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255" w:hRule="atLeast"/>
          <w:jc w:val="center"/>
        </w:trPr>
        <w:tc>
          <w:tcPr>
            <w:tcW w:w="126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255" w:hRule="atLeast"/>
          <w:jc w:val="center"/>
        </w:trPr>
        <w:tc>
          <w:tcPr>
            <w:tcW w:w="126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255" w:hRule="atLeast"/>
          <w:jc w:val="center"/>
        </w:trPr>
        <w:tc>
          <w:tcPr>
            <w:tcW w:w="126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55" w:hRule="atLeast"/>
          <w:jc w:val="center"/>
        </w:trPr>
        <w:tc>
          <w:tcPr>
            <w:tcW w:w="126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96" w:type="dxa"/>
            <w:gridSpan w:val="2"/>
            <w:vAlign w:val="center"/>
          </w:tcPr>
          <w:p>
            <w:pPr>
              <w:shd w:val="clear" w:color="auto" w:fill="auto"/>
              <w:wordWrap/>
              <w:adjustRightInd/>
              <w:snapToGrid w:val="0"/>
              <w:spacing w:before="0" w:beforeAutospacing="0" w:after="0" w:afterAutospacing="0" w:line="290" w:lineRule="exact"/>
              <w:ind w:left="0" w:right="0" w:firstLine="420"/>
              <w:jc w:val="center"/>
              <w:textAlignment w:val="auto"/>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6"/>
        <w:gridCol w:w="2646"/>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302" w:name="_Toc2967"/>
            <w:r>
              <w:rPr>
                <w:rFonts w:hint="default" w:ascii="Times New Roman" w:hAnsi="Times New Roman" w:cs="Times New Roman"/>
                <w:color w:val="auto"/>
                <w:sz w:val="20"/>
                <w:szCs w:val="20"/>
                <w:shd w:val="clear" w:color="auto" w:fill="auto"/>
              </w:rPr>
              <w:t>8</w:t>
            </w:r>
            <w:bookmarkEnd w:id="302"/>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69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outlineLvl w:val="9"/>
              <w:rPr>
                <w:rFonts w:hint="default" w:ascii="Times New Roman" w:hAnsi="Times New Roman" w:cs="Times New Roman"/>
                <w:color w:val="auto"/>
                <w:kern w:val="0"/>
                <w:sz w:val="20"/>
                <w:szCs w:val="20"/>
                <w:shd w:val="clear" w:color="auto" w:fill="auto"/>
              </w:rPr>
            </w:pPr>
            <w:bookmarkStart w:id="303" w:name="_Toc6125"/>
            <w:r>
              <w:rPr>
                <w:rFonts w:hint="default" w:ascii="Times New Roman" w:hAnsi="Times New Roman" w:cs="Times New Roman"/>
                <w:color w:val="auto"/>
                <w:kern w:val="0"/>
                <w:sz w:val="20"/>
                <w:szCs w:val="20"/>
                <w:shd w:val="clear" w:color="auto" w:fill="auto"/>
              </w:rPr>
              <w:t>不按照规定设置放射性标识、标志、中文警示说明，责令限期改正逾期不改正的</w:t>
            </w:r>
            <w:bookmarkEnd w:id="303"/>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《中华人民共和国放射性污染防治法》第十六条 </w:t>
            </w:r>
            <w:r>
              <w:rPr>
                <w:rFonts w:hint="default" w:ascii="Times New Roman" w:hAnsi="Times New Roman" w:cs="Times New Roman"/>
                <w:color w:val="auto"/>
                <w:kern w:val="0"/>
                <w:sz w:val="20"/>
                <w:szCs w:val="20"/>
                <w:shd w:val="clear" w:color="auto" w:fill="auto"/>
              </w:rPr>
              <w:t>放射性物质和射线装置应当设置明显的放射性标识和中文警示说明。生产、销售、使用、贮存、处置放射性物质和射线装置的场所，以及运输放射性物质和含放射源的射线装置的工具，应当设置明显的放射性标志。</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《中华人民共和国放射性污染防治法》第五十五条第（一）项 </w:t>
            </w:r>
            <w:r>
              <w:rPr>
                <w:rFonts w:hint="default" w:ascii="Times New Roman" w:hAnsi="Times New Roman" w:cs="Times New Roman"/>
                <w:color w:val="auto"/>
                <w:sz w:val="20"/>
                <w:szCs w:val="20"/>
                <w:shd w:val="clear" w:color="auto" w:fill="auto"/>
              </w:rPr>
              <w:t>违反本法规定，有下列行为之一的，由县级以上人民政府环境保护行政主管部门或者其他有关部门依据职权责令限期改正；逾期不改正的，责令停产停业，并处二万元以上十万元以下罚款；构成犯罪的，依法追究刑事责任：</w:t>
            </w:r>
            <w:bookmarkStart w:id="304" w:name="_Toc5782189"/>
            <w:bookmarkStart w:id="305" w:name="_Toc8221260"/>
          </w:p>
          <w:p>
            <w:pPr>
              <w:shd w:val="clear" w:color="auto" w:fill="auto"/>
              <w:snapToGrid w:val="0"/>
              <w:spacing w:before="0" w:beforeAutospacing="0" w:after="0" w:afterAutospacing="0" w:line="320" w:lineRule="exact"/>
              <w:ind w:left="0" w:right="0" w:firstLine="420"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（一）不按照规定设置放射性标识、标志、中文警示说明的</w:t>
            </w:r>
            <w:bookmarkEnd w:id="304"/>
            <w:bookmarkEnd w:id="305"/>
            <w:r>
              <w:rPr>
                <w:rFonts w:hint="default" w:ascii="Times New Roman" w:hAnsi="Times New Roman" w:cs="Times New Roman"/>
                <w:color w:val="auto"/>
                <w:sz w:val="20"/>
                <w:szCs w:val="20"/>
                <w:shd w:val="clear" w:color="auto" w:fill="auto"/>
              </w:rPr>
              <w:t>。</w:t>
            </w:r>
          </w:p>
        </w:tc>
      </w:tr>
      <w:tr>
        <w:trPr>
          <w:trHeight w:val="90"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46"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放射性标识、标志、中文警示说明设置不规范的</w:t>
            </w:r>
          </w:p>
        </w:tc>
        <w:tc>
          <w:tcPr>
            <w:tcW w:w="2646"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未设置放射性标识、标志、中文警示说明</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类型</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Ⅳ类、Ⅴ类放射源或Ⅲ类射线装置的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Ⅲ类放射源或Ⅱ类射线装置的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Ⅰ类、Ⅱ类放射源或Ⅰ类射线装置的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非密封放射性物质工作场所分类</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丙级工作场所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乙级工作场所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甲级工作场所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046" w:type="dxa"/>
            <w:vAlign w:val="center"/>
          </w:tcPr>
          <w:p>
            <w:pPr>
              <w:shd w:val="clear" w:color="auto" w:fill="auto"/>
              <w:spacing w:before="0" w:beforeAutospacing="0" w:after="0" w:afterAutospacing="0" w:line="320" w:lineRule="exact"/>
              <w:ind w:left="0" w:right="0" w:firstLine="2100" w:firstLineChars="1000"/>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4</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pacing w:before="0" w:beforeAutospacing="0" w:after="0" w:afterAutospacing="0" w:line="320" w:lineRule="exact"/>
              <w:ind w:left="0" w:right="0" w:firstLine="2100" w:firstLineChars="100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7天</w:t>
            </w:r>
            <w:r>
              <w:rPr>
                <w:rFonts w:hint="eastAsia" w:ascii="Times New Roman" w:hAnsi="Times New Roman" w:cs="Times New Roman"/>
                <w:color w:val="auto"/>
                <w:sz w:val="20"/>
                <w:szCs w:val="20"/>
                <w:shd w:val="clear" w:color="auto" w:fill="auto"/>
                <w:lang w:val="en-US" w:eastAsia="zh-CN"/>
              </w:rPr>
              <w:t>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5</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046"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eastAsia="zh-CN" w:bidi="ar-SA"/>
              </w:rPr>
              <w:t>4</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46"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69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5184"/>
        <w:gridCol w:w="2434"/>
      </w:tblGrid>
      <w:tr>
        <w:trPr>
          <w:trHeight w:val="340"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40" w:hRule="atLeast"/>
          <w:jc w:val="center"/>
        </w:trPr>
        <w:tc>
          <w:tcPr>
            <w:tcW w:w="14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18"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9</w:t>
            </w:r>
          </w:p>
        </w:tc>
      </w:tr>
      <w:tr>
        <w:trPr>
          <w:trHeight w:val="340" w:hRule="atLeast"/>
          <w:jc w:val="center"/>
        </w:trPr>
        <w:tc>
          <w:tcPr>
            <w:tcW w:w="14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618"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0" w:firstLineChars="200"/>
              <w:outlineLvl w:val="9"/>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不按照规定制定事故应急计划或者应急措施，责令限期改正逾期不改正的</w:t>
            </w:r>
          </w:p>
        </w:tc>
      </w:tr>
      <w:tr>
        <w:trPr>
          <w:trHeight w:val="340" w:hRule="atLeast"/>
          <w:jc w:val="center"/>
        </w:trPr>
        <w:tc>
          <w:tcPr>
            <w:tcW w:w="14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18"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《中华人民共和国放射性污染防治法》第二十五条第二款、第三款 </w:t>
            </w:r>
            <w:r>
              <w:rPr>
                <w:rFonts w:hint="default" w:ascii="Times New Roman" w:hAnsi="Times New Roman" w:cs="Times New Roman"/>
                <w:color w:val="auto"/>
                <w:kern w:val="0"/>
                <w:sz w:val="20"/>
                <w:szCs w:val="20"/>
                <w:shd w:val="clear" w:color="auto" w:fill="auto"/>
              </w:rPr>
              <w:t>核设施营运单位应当按照核设施的规模和性质制定核事故场内应急计划，做好应急准备。</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出现核事故应急状态时，核设施营运单位必须立即采取有效的应急措施控制事故，并向核设施主管部门和环境保护行政主管部门、卫生行政部门、公安部门以及其他有关部门报告。</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第三十三条第一款</w:t>
            </w:r>
            <w:r>
              <w:rPr>
                <w:rFonts w:hint="default" w:ascii="Times New Roman" w:hAnsi="Times New Roman" w:cs="Times New Roman"/>
                <w:b/>
                <w:bCs/>
                <w:color w:val="auto"/>
                <w:kern w:val="0"/>
                <w:sz w:val="20"/>
                <w:szCs w:val="20"/>
                <w:shd w:val="clear" w:color="auto" w:fill="auto"/>
                <w:lang w:val="en-US" w:eastAsia="zh-CN"/>
              </w:rPr>
              <w:t xml:space="preserve"> </w:t>
            </w:r>
            <w:r>
              <w:rPr>
                <w:rFonts w:hint="default" w:ascii="Times New Roman" w:hAnsi="Times New Roman" w:cs="Times New Roman"/>
                <w:color w:val="auto"/>
                <w:kern w:val="0"/>
                <w:sz w:val="20"/>
                <w:szCs w:val="20"/>
                <w:shd w:val="clear" w:color="auto" w:fill="auto"/>
              </w:rPr>
              <w:t>生产、销售、使用、贮存放射源的单位，应当建立健全安全保卫制度，指定专人负责，落实安全责任制，制定必要的事故应急措施。发生放射源丢失、被盗和放射性污染事故时，有关单位和个人必须立即采取应急措施，并向公安部门、卫生行政部门和环境保护行政主管部门报告。</w:t>
            </w:r>
          </w:p>
        </w:tc>
      </w:tr>
      <w:tr>
        <w:trPr>
          <w:trHeight w:val="340" w:hRule="atLeast"/>
          <w:jc w:val="center"/>
        </w:trPr>
        <w:tc>
          <w:tcPr>
            <w:tcW w:w="14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18" w:type="dxa"/>
            <w:gridSpan w:val="2"/>
            <w:vAlign w:val="center"/>
          </w:tcPr>
          <w:p>
            <w:pPr>
              <w:widowControl/>
              <w:shd w:val="clear" w:color="auto" w:fill="auto"/>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《中华人民共和国放射性污染防治法》第五十五条第（二）项 </w:t>
            </w:r>
            <w:r>
              <w:rPr>
                <w:rFonts w:hint="default" w:ascii="Times New Roman" w:hAnsi="Times New Roman" w:cs="Times New Roman"/>
                <w:color w:val="auto"/>
                <w:kern w:val="0"/>
                <w:sz w:val="20"/>
                <w:szCs w:val="20"/>
                <w:shd w:val="clear" w:color="auto" w:fill="auto"/>
              </w:rPr>
              <w:t>违反本法规定，有下列行为之一的，由县级以上人民政府环境保护行政主管部门或者其他有关部门依据职权责令限期改正；逾期不改正的，责令停产停业，并处二万元以上十万元以下罚款；构成犯罪的，依法追究刑事责任：</w:t>
            </w:r>
          </w:p>
          <w:p>
            <w:pPr>
              <w:widowControl/>
              <w:shd w:val="clear" w:color="auto" w:fill="auto"/>
              <w:snapToGrid w:val="0"/>
              <w:spacing w:before="0" w:beforeAutospacing="0" w:after="0" w:afterAutospacing="0" w:line="320" w:lineRule="exact"/>
              <w:ind w:left="0" w:right="0" w:firstLine="396"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pacing w:val="-6"/>
                <w:kern w:val="0"/>
                <w:sz w:val="20"/>
                <w:szCs w:val="20"/>
                <w:shd w:val="clear" w:color="auto" w:fill="auto"/>
              </w:rPr>
              <w:t>（二）不按照规定建立健全安全保卫制度和制定事故应急计划或者应急措施的。</w:t>
            </w:r>
          </w:p>
        </w:tc>
      </w:tr>
      <w:tr>
        <w:trPr>
          <w:trHeight w:val="351" w:hRule="atLeast"/>
          <w:jc w:val="center"/>
        </w:trPr>
        <w:tc>
          <w:tcPr>
            <w:tcW w:w="14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51" w:hRule="atLeast"/>
          <w:jc w:val="center"/>
        </w:trPr>
        <w:tc>
          <w:tcPr>
            <w:tcW w:w="144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制定事故应急计划或者应急措施不健全</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51"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未制定事故应急计划或者应急措施</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51" w:hRule="atLeast"/>
          <w:jc w:val="center"/>
        </w:trPr>
        <w:tc>
          <w:tcPr>
            <w:tcW w:w="144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辐射事故</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等级</w:t>
            </w:r>
          </w:p>
        </w:tc>
        <w:tc>
          <w:tcPr>
            <w:tcW w:w="51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未造成辐射事故</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51"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造成一般辐射事故</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51"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造成较大辐射事故</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51"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造成重大辐射事故</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51"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造成特别重大辐射事故</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51" w:hRule="atLeast"/>
          <w:jc w:val="center"/>
        </w:trPr>
        <w:tc>
          <w:tcPr>
            <w:tcW w:w="144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涉及放射源类型</w:t>
            </w:r>
          </w:p>
        </w:tc>
        <w:tc>
          <w:tcPr>
            <w:tcW w:w="51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Ⅳ类、Ⅴ类放射源</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51"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Ⅲ类放射源</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51"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Ⅰ类、Ⅱ类放射源</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51" w:hRule="atLeast"/>
          <w:jc w:val="center"/>
        </w:trPr>
        <w:tc>
          <w:tcPr>
            <w:tcW w:w="1442"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184" w:type="dxa"/>
            <w:vAlign w:val="center"/>
          </w:tcPr>
          <w:p>
            <w:pPr>
              <w:pStyle w:val="18"/>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3天以下</w:t>
            </w:r>
          </w:p>
        </w:tc>
        <w:tc>
          <w:tcPr>
            <w:tcW w:w="24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3</w:t>
            </w:r>
          </w:p>
        </w:tc>
      </w:tr>
      <w:tr>
        <w:trPr>
          <w:trHeight w:val="351" w:hRule="atLeast"/>
          <w:jc w:val="center"/>
        </w:trPr>
        <w:tc>
          <w:tcPr>
            <w:tcW w:w="144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pStyle w:val="18"/>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3天以上7天以下</w:t>
            </w:r>
          </w:p>
        </w:tc>
        <w:tc>
          <w:tcPr>
            <w:tcW w:w="24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4</w:t>
            </w:r>
          </w:p>
        </w:tc>
      </w:tr>
      <w:tr>
        <w:trPr>
          <w:trHeight w:val="351" w:hRule="atLeast"/>
          <w:jc w:val="center"/>
        </w:trPr>
        <w:tc>
          <w:tcPr>
            <w:tcW w:w="144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pStyle w:val="18"/>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7天以上</w:t>
            </w:r>
          </w:p>
        </w:tc>
        <w:tc>
          <w:tcPr>
            <w:tcW w:w="24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5</w:t>
            </w:r>
          </w:p>
        </w:tc>
      </w:tr>
      <w:tr>
        <w:trPr>
          <w:trHeight w:val="351" w:hRule="atLeast"/>
          <w:jc w:val="center"/>
        </w:trPr>
        <w:tc>
          <w:tcPr>
            <w:tcW w:w="144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184"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51"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51"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51"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eastAsia="zh-CN" w:bidi="ar-SA"/>
              </w:rPr>
              <w:t>4</w:t>
            </w:r>
          </w:p>
        </w:tc>
      </w:tr>
      <w:tr>
        <w:trPr>
          <w:trHeight w:val="351" w:hRule="atLeast"/>
          <w:jc w:val="center"/>
        </w:trPr>
        <w:tc>
          <w:tcPr>
            <w:tcW w:w="144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184"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51"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51"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12" w:hRule="atLeast"/>
          <w:jc w:val="center"/>
        </w:trPr>
        <w:tc>
          <w:tcPr>
            <w:tcW w:w="1442"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8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43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12" w:hRule="atLeast"/>
          <w:jc w:val="center"/>
        </w:trPr>
        <w:tc>
          <w:tcPr>
            <w:tcW w:w="144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43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12" w:hRule="atLeast"/>
          <w:jc w:val="center"/>
        </w:trPr>
        <w:tc>
          <w:tcPr>
            <w:tcW w:w="144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43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12" w:hRule="atLeast"/>
          <w:jc w:val="center"/>
        </w:trPr>
        <w:tc>
          <w:tcPr>
            <w:tcW w:w="144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43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12" w:hRule="atLeast"/>
          <w:jc w:val="center"/>
        </w:trPr>
        <w:tc>
          <w:tcPr>
            <w:tcW w:w="144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43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12" w:hRule="atLeast"/>
          <w:jc w:val="center"/>
        </w:trPr>
        <w:tc>
          <w:tcPr>
            <w:tcW w:w="144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12"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12"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4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12" w:hRule="atLeast"/>
          <w:jc w:val="center"/>
        </w:trPr>
        <w:tc>
          <w:tcPr>
            <w:tcW w:w="144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4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12"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4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12"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4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12" w:hRule="atLeast"/>
          <w:jc w:val="center"/>
        </w:trPr>
        <w:tc>
          <w:tcPr>
            <w:tcW w:w="144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4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12" w:hRule="atLeast"/>
          <w:jc w:val="center"/>
        </w:trPr>
        <w:tc>
          <w:tcPr>
            <w:tcW w:w="144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18"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6"/>
        <w:gridCol w:w="2646"/>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306" w:name="_Toc10823"/>
            <w:r>
              <w:rPr>
                <w:rFonts w:hint="default" w:ascii="Times New Roman" w:hAnsi="Times New Roman" w:cs="Times New Roman"/>
                <w:color w:val="auto"/>
                <w:sz w:val="20"/>
                <w:szCs w:val="20"/>
                <w:shd w:val="clear" w:color="auto" w:fill="auto"/>
              </w:rPr>
              <w:t>10</w:t>
            </w:r>
            <w:bookmarkEnd w:id="306"/>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69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0" w:firstLineChars="200"/>
              <w:outlineLvl w:val="9"/>
              <w:rPr>
                <w:rFonts w:hint="default" w:ascii="Times New Roman" w:hAnsi="Times New Roman" w:cs="Times New Roman"/>
                <w:color w:val="auto"/>
                <w:kern w:val="0"/>
                <w:sz w:val="20"/>
                <w:szCs w:val="20"/>
                <w:shd w:val="clear" w:color="auto" w:fill="auto"/>
              </w:rPr>
            </w:pPr>
            <w:bookmarkStart w:id="307" w:name="_Toc29721"/>
            <w:r>
              <w:rPr>
                <w:rFonts w:hint="default" w:ascii="Times New Roman" w:hAnsi="Times New Roman" w:cs="Times New Roman"/>
                <w:color w:val="auto"/>
                <w:kern w:val="0"/>
                <w:sz w:val="20"/>
                <w:szCs w:val="20"/>
                <w:shd w:val="clear" w:color="auto" w:fill="auto"/>
              </w:rPr>
              <w:t>不按照规定报告放射源丢失、被盗情况或者放射性污染事故，责令限期改正逾期不改正的</w:t>
            </w:r>
            <w:bookmarkEnd w:id="307"/>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《中华人民共和国放射性污染防治法》第三十三条第一款</w:t>
            </w:r>
            <w:r>
              <w:rPr>
                <w:rFonts w:hint="default" w:ascii="Times New Roman" w:hAnsi="Times New Roman" w:cs="Times New Roman"/>
                <w:b/>
                <w:bCs/>
                <w:color w:val="auto"/>
                <w:kern w:val="0"/>
                <w:sz w:val="20"/>
                <w:szCs w:val="20"/>
                <w:shd w:val="clear" w:color="auto" w:fill="auto"/>
                <w:lang w:val="en-US" w:eastAsia="zh-CN"/>
              </w:rPr>
              <w:t xml:space="preserve"> </w:t>
            </w:r>
            <w:r>
              <w:rPr>
                <w:rFonts w:hint="default" w:ascii="Times New Roman" w:hAnsi="Times New Roman" w:cs="Times New Roman"/>
                <w:color w:val="auto"/>
                <w:kern w:val="0"/>
                <w:sz w:val="20"/>
                <w:szCs w:val="20"/>
                <w:shd w:val="clear" w:color="auto" w:fill="auto"/>
              </w:rPr>
              <w:t>生产、销售、使用、贮存放射源的单位，应当建立健全安全保卫制度，指定专人负责，落实安全责任制，制定必要的事故应急措施。发生放射源丢失、被盗和放射性污染事故时，有关单位和个人必须立即采取应急措施，并向公安部门、卫生行政部门和环境保护行政主管部门报告。</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widowControl/>
              <w:shd w:val="clear" w:color="auto" w:fill="auto"/>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《中华人民共和国放射性污染防治法》第五十五条第（三）项 </w:t>
            </w:r>
            <w:r>
              <w:rPr>
                <w:rFonts w:hint="default" w:ascii="Times New Roman" w:hAnsi="Times New Roman" w:cs="Times New Roman"/>
                <w:color w:val="auto"/>
                <w:kern w:val="0"/>
                <w:sz w:val="20"/>
                <w:szCs w:val="20"/>
                <w:shd w:val="clear" w:color="auto" w:fill="auto"/>
              </w:rPr>
              <w:t>违反本法规定，有下列行为之一的，由县级以上人民政府环境保护行政主管部门或者其他有关部门依据职权责令限期改正；逾期不改正的，责令停产停业，并处二万元以上十万元以下罚款；构成犯罪的，依法追究刑事责任：</w:t>
            </w:r>
          </w:p>
          <w:p>
            <w:pPr>
              <w:widowControl/>
              <w:shd w:val="clear" w:color="auto" w:fill="auto"/>
              <w:snapToGrid w:val="0"/>
              <w:spacing w:before="0" w:beforeAutospacing="0" w:after="0" w:afterAutospacing="0" w:line="320" w:lineRule="exact"/>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（三）不按照规定报告放射源丢失、被盗情况或者放射性污染事故的。</w:t>
            </w:r>
          </w:p>
        </w:tc>
      </w:tr>
      <w:tr>
        <w:trPr>
          <w:trHeight w:val="386"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86"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报告不及时</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未报告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谎报瞒报</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涉及放射源类型</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Ⅳ类、Ⅴ类放射源</w:t>
            </w:r>
          </w:p>
        </w:tc>
        <w:tc>
          <w:tcPr>
            <w:tcW w:w="2646"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Ⅲ类放射源</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Ⅰ类、Ⅱ类放射源</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jc w:val="center"/>
        </w:trPr>
        <w:tc>
          <w:tcPr>
            <w:tcW w:w="1368" w:type="dxa"/>
            <w:vMerge w:val="restart"/>
            <w:tcMar>
              <w:left w:w="57" w:type="dxa"/>
              <w:right w:w="57" w:type="dxa"/>
            </w:tcMar>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辐射事故</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等级</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造成一般辐射事故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86" w:hRule="atLeast"/>
          <w:jc w:val="center"/>
        </w:trPr>
        <w:tc>
          <w:tcPr>
            <w:tcW w:w="1368" w:type="dxa"/>
            <w:vMerge w:val="continue"/>
            <w:tcMar>
              <w:left w:w="57" w:type="dxa"/>
              <w:right w:w="57" w:type="dxa"/>
            </w:tcMar>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造成较大辐射事故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jc w:val="center"/>
        </w:trPr>
        <w:tc>
          <w:tcPr>
            <w:tcW w:w="1368" w:type="dxa"/>
            <w:vMerge w:val="continue"/>
            <w:tcMar>
              <w:left w:w="57" w:type="dxa"/>
              <w:right w:w="57" w:type="dxa"/>
            </w:tcMar>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造成重大辐射事故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86" w:hRule="atLeast"/>
          <w:jc w:val="center"/>
        </w:trPr>
        <w:tc>
          <w:tcPr>
            <w:tcW w:w="1368" w:type="dxa"/>
            <w:vMerge w:val="continue"/>
            <w:tcMar>
              <w:left w:w="57" w:type="dxa"/>
              <w:right w:w="57" w:type="dxa"/>
            </w:tcMar>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造成特别重大辐射事故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jc w:val="center"/>
        </w:trPr>
        <w:tc>
          <w:tcPr>
            <w:tcW w:w="1368" w:type="dxa"/>
            <w:vMerge w:val="restart"/>
            <w:tcMar>
              <w:left w:w="57" w:type="dxa"/>
              <w:right w:w="57" w:type="dxa"/>
            </w:tcMar>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046"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3</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4</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5</w:t>
            </w:r>
          </w:p>
        </w:tc>
      </w:tr>
      <w:tr>
        <w:trPr>
          <w:trHeight w:val="386"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区域影响</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县级行政区域内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跨县级行政区域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跨市级行政区域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跨省级行政区域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046"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86"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eastAsia="zh-CN" w:bidi="ar-SA"/>
              </w:rPr>
              <w:t>4</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46"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jc w:val="center"/>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046"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69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50"/>
        <w:gridCol w:w="5092"/>
        <w:gridCol w:w="2616"/>
      </w:tblGrid>
      <w:tr>
        <w:trPr>
          <w:trHeight w:val="397" w:hRule="atLeast"/>
          <w:jc w:val="center"/>
        </w:trPr>
        <w:tc>
          <w:tcPr>
            <w:tcW w:w="8958"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jc w:val="center"/>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08"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11</w:t>
            </w:r>
          </w:p>
        </w:tc>
      </w:tr>
      <w:tr>
        <w:trPr>
          <w:trHeight w:val="397" w:hRule="atLeast"/>
          <w:jc w:val="center"/>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708"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outlineLvl w:val="9"/>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不按照规定对其产生的放射性固体废物进行处置的，责令限期改正逾期不改正的</w:t>
            </w:r>
          </w:p>
        </w:tc>
      </w:tr>
      <w:tr>
        <w:trPr>
          <w:trHeight w:val="397" w:hRule="atLeast"/>
          <w:jc w:val="center"/>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08"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《中华人民共和国放射性污染防治法》第四十五条第一款 </w:t>
            </w:r>
            <w:r>
              <w:rPr>
                <w:rFonts w:hint="default" w:ascii="Times New Roman" w:hAnsi="Times New Roman" w:cs="Times New Roman"/>
                <w:color w:val="auto"/>
                <w:kern w:val="0"/>
                <w:sz w:val="20"/>
                <w:szCs w:val="20"/>
                <w:shd w:val="clear" w:color="auto" w:fill="auto"/>
              </w:rPr>
              <w:t>产生放射性固体废物的单位，应当按照国务院环境保护行政主管部门的规定，对其产生的放射性固体废物进行处理后，送交放射性固体废物处置单位处置，并承担处置费用。</w:t>
            </w:r>
          </w:p>
        </w:tc>
      </w:tr>
      <w:tr>
        <w:trPr>
          <w:trHeight w:val="397" w:hRule="atLeast"/>
          <w:jc w:val="center"/>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08" w:type="dxa"/>
            <w:gridSpan w:val="2"/>
            <w:vAlign w:val="center"/>
          </w:tcPr>
          <w:p>
            <w:pPr>
              <w:widowControl/>
              <w:shd w:val="clear" w:color="auto" w:fill="auto"/>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《中华人民共和国放射性污染防治法》第五十六条 </w:t>
            </w:r>
            <w:r>
              <w:rPr>
                <w:rFonts w:hint="default" w:ascii="Times New Roman" w:hAnsi="Times New Roman" w:cs="Times New Roman"/>
                <w:color w:val="auto"/>
                <w:kern w:val="0"/>
                <w:sz w:val="20"/>
                <w:szCs w:val="20"/>
                <w:shd w:val="clear" w:color="auto" w:fill="auto"/>
              </w:rPr>
              <w:t>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tc>
      </w:tr>
      <w:tr>
        <w:trPr>
          <w:trHeight w:val="340" w:hRule="atLeast"/>
          <w:jc w:val="center"/>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40" w:hRule="atLeast"/>
          <w:jc w:val="center"/>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未对产生的放射性固体废物规范处置的</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未对产生的放射性固体废物处置的</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放射性</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废物数量</w:t>
            </w:r>
          </w:p>
        </w:tc>
        <w:tc>
          <w:tcPr>
            <w:tcW w:w="509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10千克</w:t>
            </w:r>
            <w:r>
              <w:rPr>
                <w:rFonts w:hint="default" w:ascii="Times New Roman" w:hAnsi="Times New Roman" w:cs="Times New Roman"/>
                <w:color w:val="auto"/>
                <w:sz w:val="21"/>
                <w:szCs w:val="21"/>
                <w:shd w:val="clear" w:color="auto" w:fill="auto"/>
                <w:lang w:eastAsia="zh-CN"/>
              </w:rPr>
              <w:t>以下</w:t>
            </w:r>
          </w:p>
        </w:tc>
        <w:tc>
          <w:tcPr>
            <w:tcW w:w="2616"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340"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10千克以上100千克</w:t>
            </w:r>
            <w:r>
              <w:rPr>
                <w:rFonts w:hint="default" w:ascii="Times New Roman" w:hAnsi="Times New Roman" w:cs="Times New Roman"/>
                <w:color w:val="auto"/>
                <w:sz w:val="21"/>
                <w:szCs w:val="21"/>
                <w:shd w:val="clear" w:color="auto" w:fill="auto"/>
                <w:lang w:eastAsia="zh-CN"/>
              </w:rPr>
              <w:t>以下</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100千克以上</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放射性废物类型</w:t>
            </w:r>
          </w:p>
        </w:tc>
        <w:tc>
          <w:tcPr>
            <w:tcW w:w="50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极短寿命放射性废物</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极低水平放射性废物</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40"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低水平放射性废物</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中水平放射性废物</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40"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高水平放射性废物</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250"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1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40" w:hRule="atLeast"/>
          <w:jc w:val="center"/>
        </w:trPr>
        <w:tc>
          <w:tcPr>
            <w:tcW w:w="125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1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40" w:hRule="atLeast"/>
          <w:jc w:val="center"/>
        </w:trPr>
        <w:tc>
          <w:tcPr>
            <w:tcW w:w="125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1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40" w:hRule="atLeast"/>
          <w:jc w:val="center"/>
        </w:trPr>
        <w:tc>
          <w:tcPr>
            <w:tcW w:w="125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1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40" w:hRule="atLeast"/>
          <w:jc w:val="center"/>
        </w:trPr>
        <w:tc>
          <w:tcPr>
            <w:tcW w:w="125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1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40" w:hRule="atLeast"/>
          <w:jc w:val="center"/>
        </w:trPr>
        <w:tc>
          <w:tcPr>
            <w:tcW w:w="1250"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092"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3天以下</w:t>
            </w:r>
          </w:p>
        </w:tc>
        <w:tc>
          <w:tcPr>
            <w:tcW w:w="26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3</w:t>
            </w:r>
          </w:p>
        </w:tc>
      </w:tr>
      <w:tr>
        <w:trPr>
          <w:trHeight w:val="340" w:hRule="atLeast"/>
          <w:jc w:val="center"/>
        </w:trPr>
        <w:tc>
          <w:tcPr>
            <w:tcW w:w="1250"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3天以上7天以下</w:t>
            </w:r>
          </w:p>
        </w:tc>
        <w:tc>
          <w:tcPr>
            <w:tcW w:w="26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4</w:t>
            </w:r>
          </w:p>
        </w:tc>
      </w:tr>
      <w:tr>
        <w:trPr>
          <w:trHeight w:val="340" w:hRule="atLeast"/>
          <w:jc w:val="center"/>
        </w:trPr>
        <w:tc>
          <w:tcPr>
            <w:tcW w:w="1250"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7天以上</w:t>
            </w:r>
          </w:p>
        </w:tc>
        <w:tc>
          <w:tcPr>
            <w:tcW w:w="26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5</w:t>
            </w:r>
          </w:p>
        </w:tc>
      </w:tr>
      <w:tr>
        <w:trPr>
          <w:trHeight w:val="340" w:hRule="atLeast"/>
          <w:jc w:val="center"/>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对社会影响或环境污染、生态环境破坏程度</w:t>
            </w:r>
          </w:p>
        </w:tc>
        <w:tc>
          <w:tcPr>
            <w:tcW w:w="5092"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未造成社会影响与环境污染、生态环境破坏的</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造成社会影响或环境污染、生态环境破坏轻微的</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造成社会影响或环境污染、生态环境破坏严重的</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0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40"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40"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eastAsia="zh-CN" w:bidi="ar-SA"/>
              </w:rPr>
              <w:t>4</w:t>
            </w:r>
          </w:p>
        </w:tc>
      </w:tr>
      <w:tr>
        <w:trPr>
          <w:trHeight w:val="369" w:hRule="atLeast"/>
          <w:jc w:val="center"/>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92"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69"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092"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9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90" w:hRule="atLeast"/>
          <w:jc w:val="center"/>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08"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eastAsia="宋体" w:cs="Times New Roman"/>
                <w:color w:val="auto"/>
                <w:sz w:val="20"/>
                <w:szCs w:val="20"/>
                <w:shd w:val="clear" w:color="auto" w:fill="auto"/>
                <w:lang w:val="en-US"/>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5150"/>
        <w:gridCol w:w="2646"/>
      </w:tblGrid>
      <w:tr>
        <w:trPr>
          <w:trHeight w:val="397" w:hRule="atLeast"/>
          <w:jc w:val="center"/>
        </w:trPr>
        <w:tc>
          <w:tcPr>
            <w:tcW w:w="9060" w:type="dxa"/>
            <w:gridSpan w:val="3"/>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jc w:val="center"/>
        </w:trPr>
        <w:tc>
          <w:tcPr>
            <w:tcW w:w="1264"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96" w:type="dxa"/>
            <w:gridSpan w:val="2"/>
            <w:vAlign w:val="center"/>
          </w:tcPr>
          <w:p>
            <w:pPr>
              <w:shd w:val="clear" w:color="auto" w:fill="auto"/>
              <w:snapToGrid w:val="0"/>
              <w:spacing w:before="0" w:beforeAutospacing="0" w:after="0" w:afterAutospacing="0"/>
              <w:ind w:left="0" w:right="0"/>
              <w:jc w:val="center"/>
              <w:outlineLvl w:val="9"/>
              <w:rPr>
                <w:rFonts w:hint="default" w:ascii="Times New Roman" w:hAnsi="Times New Roman" w:cs="Times New Roman"/>
                <w:color w:val="auto"/>
                <w:sz w:val="20"/>
                <w:szCs w:val="20"/>
                <w:shd w:val="clear" w:color="auto" w:fill="auto"/>
              </w:rPr>
            </w:pPr>
            <w:bookmarkStart w:id="308" w:name="_Toc9165"/>
            <w:r>
              <w:rPr>
                <w:rFonts w:hint="default" w:ascii="Times New Roman" w:hAnsi="Times New Roman" w:cs="Times New Roman"/>
                <w:color w:val="auto"/>
                <w:sz w:val="20"/>
                <w:szCs w:val="20"/>
                <w:shd w:val="clear" w:color="auto" w:fill="auto"/>
              </w:rPr>
              <w:t>12</w:t>
            </w:r>
            <w:bookmarkEnd w:id="308"/>
          </w:p>
        </w:tc>
      </w:tr>
      <w:tr>
        <w:trPr>
          <w:trHeight w:val="90" w:hRule="atLeast"/>
          <w:jc w:val="center"/>
        </w:trPr>
        <w:tc>
          <w:tcPr>
            <w:tcW w:w="1264"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796"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ind w:left="0" w:right="0"/>
              <w:jc w:val="center"/>
              <w:outlineLvl w:val="9"/>
              <w:rPr>
                <w:rFonts w:hint="default" w:ascii="Times New Roman" w:hAnsi="Times New Roman" w:cs="Times New Roman"/>
                <w:color w:val="auto"/>
                <w:kern w:val="0"/>
                <w:sz w:val="20"/>
                <w:szCs w:val="20"/>
                <w:shd w:val="clear" w:color="auto" w:fill="auto"/>
              </w:rPr>
            </w:pPr>
            <w:bookmarkStart w:id="309" w:name="_Toc22491"/>
            <w:r>
              <w:rPr>
                <w:rFonts w:hint="default" w:ascii="Times New Roman" w:hAnsi="Times New Roman" w:cs="Times New Roman"/>
                <w:color w:val="auto"/>
                <w:kern w:val="0"/>
                <w:sz w:val="20"/>
                <w:szCs w:val="20"/>
                <w:shd w:val="clear" w:color="auto" w:fill="auto"/>
              </w:rPr>
              <w:t>未经许可，擅自从事废旧放射源或者其他放射性固体废物的贮存、处置活动的</w:t>
            </w:r>
            <w:bookmarkEnd w:id="309"/>
          </w:p>
        </w:tc>
      </w:tr>
      <w:tr>
        <w:trPr>
          <w:trHeight w:val="397" w:hRule="atLeast"/>
          <w:jc w:val="center"/>
        </w:trPr>
        <w:tc>
          <w:tcPr>
            <w:tcW w:w="1264" w:type="dxa"/>
            <w:vAlign w:val="center"/>
          </w:tcPr>
          <w:p>
            <w:pPr>
              <w:shd w:val="clear" w:color="auto" w:fill="auto"/>
              <w:snapToGrid w:val="0"/>
              <w:spacing w:before="0" w:beforeAutospacing="0" w:after="0" w:afterAutospacing="0" w:line="288" w:lineRule="auto"/>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96"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Autospacing="0" w:after="0" w:afterAutospacing="0" w:line="288" w:lineRule="auto"/>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1.《中华人民共和国放射性污染防治法》第四十六条第二款 </w:t>
            </w:r>
            <w:r>
              <w:rPr>
                <w:rFonts w:hint="default" w:ascii="Times New Roman" w:hAnsi="Times New Roman" w:cs="Times New Roman"/>
                <w:color w:val="auto"/>
                <w:kern w:val="0"/>
                <w:sz w:val="20"/>
                <w:szCs w:val="20"/>
                <w:shd w:val="clear" w:color="auto" w:fill="auto"/>
              </w:rPr>
              <w:t>禁止未经许可或者不按照许可的有关规定从事贮存和处置放射性固体废物的活动。</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288" w:lineRule="auto"/>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2.《放射性废物安全管理条例》第十二条</w:t>
            </w:r>
            <w:r>
              <w:rPr>
                <w:rFonts w:hint="default" w:ascii="Times New Roman" w:hAnsi="Times New Roman" w:cs="Times New Roman"/>
                <w:color w:val="auto"/>
                <w:kern w:val="0"/>
                <w:sz w:val="20"/>
                <w:szCs w:val="20"/>
                <w:shd w:val="clear" w:color="auto" w:fill="auto"/>
              </w:rPr>
              <w:t xml:space="preserve"> 专门从事放射性固体废物贮存活动的单位，应当符合下列条件，并依照本条例的规定申请领取放射性固体废物贮存许可证：</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288" w:lineRule="auto"/>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（一）有法人资格；</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288" w:lineRule="auto"/>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（二）有能保证贮存设施安全运行的组织机构和3名以上放射性废物管理、辐射防护、环境监测方面的专业技术人员，其中至少有1名注册核安全工程师；</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288" w:lineRule="auto"/>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（三）有符合国家有关放射性污染防治标准和国务院环境保护主管部门规定的放射性固体废物接收、贮存设施和场所，以及放射性检测、辐射防护与环境监测设备；</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288" w:lineRule="auto"/>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（四）有健全的管理制度以及符合核安全监督管理要求的质量保证体系，包括质量保证大纲、贮存设施运行监测计划、辐射环境监测计划和应急方案等。</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288" w:lineRule="auto"/>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第二十三条 专门从事放射性固体废物处置活动的单位，应当符合下列条件，并依照本条例的规定申请领取放射性固体废物处置许可证：</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288" w:lineRule="auto"/>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（一）有国有或者国有控股的企业法人资格。</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288" w:lineRule="auto"/>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二）有能保证处置设施安全运行的组织机构和专业技术人员。低、中水平放射性固体废物处置单位应当具有10名以上放射性废物管理、辐射防护、环境监测方面的专业技术人员，其中至少有3名注册核安全工程师；高水平放射性固体废物和α放射性固体废物处置单位应当具有20名以上放射性废物管理、辐射防护、环境监测方面的专业技术人员，其中至少有5名注册核安全工程师。</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288" w:lineRule="auto"/>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三）有符合国家有关放射性污染防治标准和国务院环境保护主管部门规定的放射性固体废物接收、处置设施和场所，以及放射性检测、辐射防护与环境监测设备。低、中水平放射性固体废物处置设施关闭后应满足300年以上的安全隔离要求；高水平放射性固体废物和α放射性固体废物深地质处置设施关闭后应满足1万年以上的安全隔离要求。</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288" w:lineRule="auto"/>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（四）有相应数额的注册资金。低、中水平放射性固体废物处置单位的注册资金应不少于3000万元；高水平放射性固体废物和α放射性固体废物处置单位的注册资金应不少于1亿元。</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288" w:lineRule="auto"/>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（五）有能保证其处置活动持续进行直至安全监护期满的财务担保。</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288" w:lineRule="auto"/>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（六）有健全的管理制度以及符合核安全监督管理要求的质量保证体系，包括质量保证大纲、处置设施运行监测计划、辐射环境监测计划和应急方案等。</w:t>
            </w:r>
          </w:p>
        </w:tc>
      </w:tr>
      <w:tr>
        <w:trPr>
          <w:trHeight w:val="397" w:hRule="atLeast"/>
          <w:jc w:val="center"/>
        </w:trPr>
        <w:tc>
          <w:tcPr>
            <w:tcW w:w="1264" w:type="dxa"/>
            <w:vAlign w:val="center"/>
          </w:tcPr>
          <w:p>
            <w:pPr>
              <w:shd w:val="clear" w:color="auto" w:fill="auto"/>
              <w:snapToGrid w:val="0"/>
              <w:spacing w:before="0" w:beforeAutospacing="0" w:after="0" w:afterAutospacing="0" w:line="288" w:lineRule="auto"/>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96" w:type="dxa"/>
            <w:gridSpan w:val="2"/>
            <w:vAlign w:val="center"/>
          </w:tcPr>
          <w:p>
            <w:pPr>
              <w:widowControl/>
              <w:shd w:val="clear" w:color="auto" w:fill="auto"/>
              <w:snapToGrid w:val="0"/>
              <w:spacing w:beforeLines="20" w:beforeAutospacing="0" w:after="0" w:afterAutospacing="0" w:line="288" w:lineRule="auto"/>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1.《中华人民共和国放射性污染防治法》第五十七条第（一）项 </w:t>
            </w:r>
            <w:r>
              <w:rPr>
                <w:rFonts w:hint="default" w:ascii="Times New Roman" w:hAnsi="Times New Roman" w:cs="Times New Roman"/>
                <w:color w:val="auto"/>
                <w:kern w:val="0"/>
                <w:sz w:val="20"/>
                <w:szCs w:val="20"/>
                <w:shd w:val="clear" w:color="auto" w:fill="auto"/>
              </w:rPr>
              <w:t>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w:t>
            </w:r>
          </w:p>
        </w:tc>
      </w:tr>
      <w:tr>
        <w:trPr>
          <w:trHeight w:val="397" w:hRule="atLeast"/>
          <w:jc w:val="center"/>
        </w:trPr>
        <w:tc>
          <w:tcPr>
            <w:tcW w:w="1264" w:type="dxa"/>
            <w:vAlign w:val="center"/>
          </w:tcPr>
          <w:p>
            <w:pPr>
              <w:shd w:val="clear" w:color="auto" w:fill="auto"/>
              <w:snapToGrid w:val="0"/>
              <w:spacing w:before="0" w:beforeAutospacing="0" w:after="0" w:afterAutospacing="0" w:line="288" w:lineRule="auto"/>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96" w:type="dxa"/>
            <w:gridSpan w:val="2"/>
            <w:vAlign w:val="center"/>
          </w:tcPr>
          <w:p>
            <w:pPr>
              <w:widowControl/>
              <w:shd w:val="clear" w:color="auto" w:fill="auto"/>
              <w:snapToGrid w:val="0"/>
              <w:spacing w:before="0" w:beforeAutospacing="0" w:after="0" w:afterAutospacing="0" w:line="288" w:lineRule="auto"/>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（一）未经许可，擅自从事贮存和处置放射性固体废物活动的。</w:t>
            </w:r>
          </w:p>
          <w:p>
            <w:pPr>
              <w:pStyle w:val="18"/>
              <w:shd w:val="clear" w:color="auto" w:fill="auto"/>
              <w:spacing w:before="0" w:beforeAutospacing="0" w:after="0" w:afterAutospacing="0"/>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2.《放射性废物安全管理条例》第三十八条第（一）项 </w:t>
            </w:r>
            <w:r>
              <w:rPr>
                <w:rFonts w:hint="default" w:ascii="Times New Roman" w:hAnsi="Times New Roman" w:cs="Times New Roman"/>
                <w:color w:val="auto"/>
                <w:sz w:val="21"/>
                <w:szCs w:val="21"/>
                <w:shd w:val="clear" w:color="auto" w:fill="auto"/>
              </w:rPr>
              <w:t>违反本条例规定，有下列行为之一的，由省级以上人民政府环境保护主管部门责令停产停业或者吊销许可证；有违法所得的，没收违法所得；违法所得10万元以上的，并处违法所得1倍以上5倍以下的罚款；没有违法所得或者违法所得不足10万元的，并处5万元以上10万元以下的罚款；造成环境污染的，责令限期采取治理措施消除污染，逾期不采取治理措施，经催告仍不治理的，可以指定有治理能力的单位代为治理，所需费用由违法者承担；构成犯罪的，依法追究刑事责任：</w:t>
            </w:r>
          </w:p>
          <w:p>
            <w:pPr>
              <w:widowControl/>
              <w:shd w:val="clear" w:color="auto" w:fill="auto"/>
              <w:snapToGrid w:val="0"/>
              <w:spacing w:before="0" w:beforeAutospacing="0" w:after="0" w:afterAutospacing="0" w:line="288" w:lineRule="auto"/>
              <w:ind w:left="0" w:right="0" w:firstLine="420" w:firstLineChars="20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（一）未经许可，擅自从事废旧放射源或者其他放射性固体废物的贮存、处置活动的。</w:t>
            </w:r>
          </w:p>
        </w:tc>
      </w:tr>
      <w:tr>
        <w:trPr>
          <w:trHeight w:val="442" w:hRule="atLeast"/>
          <w:jc w:val="center"/>
        </w:trPr>
        <w:tc>
          <w:tcPr>
            <w:tcW w:w="1264"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50"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42" w:hRule="atLeast"/>
          <w:jc w:val="center"/>
        </w:trPr>
        <w:tc>
          <w:tcPr>
            <w:tcW w:w="1264" w:type="dxa"/>
            <w:vMerge w:val="restart"/>
            <w:vAlign w:val="center"/>
          </w:tcPr>
          <w:p>
            <w:pPr>
              <w:shd w:val="clear" w:color="auto" w:fill="auto"/>
              <w:snapToGrid w:val="0"/>
              <w:spacing w:before="0" w:beforeAutospacing="0" w:after="0" w:afterAutospacing="0" w:line="31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★无违法所得</w:t>
            </w:r>
            <w:r>
              <w:rPr>
                <w:rFonts w:hint="default" w:ascii="Times New Roman" w:hAnsi="Times New Roman" w:cs="Times New Roman"/>
                <w:b/>
                <w:bCs/>
                <w:color w:val="auto"/>
                <w:sz w:val="20"/>
                <w:szCs w:val="20"/>
                <w:shd w:val="clear" w:color="auto" w:fill="auto"/>
                <w:lang w:val="en-US"/>
              </w:rPr>
              <w:t>或</w:t>
            </w:r>
            <w:r>
              <w:rPr>
                <w:rFonts w:hint="default" w:ascii="Times New Roman" w:hAnsi="Times New Roman" w:cs="Times New Roman"/>
                <w:b/>
                <w:bCs/>
                <w:color w:val="auto"/>
                <w:sz w:val="20"/>
                <w:szCs w:val="20"/>
                <w:shd w:val="clear" w:color="auto" w:fill="auto"/>
              </w:rPr>
              <w:t>违法所得不足10万元</w:t>
            </w:r>
          </w:p>
        </w:tc>
        <w:tc>
          <w:tcPr>
            <w:tcW w:w="5150" w:type="dxa"/>
            <w:vAlign w:val="center"/>
          </w:tcPr>
          <w:p>
            <w:pPr>
              <w:widowControl/>
              <w:shd w:val="clear" w:color="auto" w:fill="auto"/>
              <w:snapToGrid w:val="0"/>
              <w:spacing w:before="0" w:beforeAutospacing="0" w:after="0" w:afterAutospacing="0" w:line="31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无违法所得</w:t>
            </w:r>
          </w:p>
        </w:tc>
        <w:tc>
          <w:tcPr>
            <w:tcW w:w="2646" w:type="dxa"/>
            <w:vAlign w:val="center"/>
          </w:tcPr>
          <w:p>
            <w:pPr>
              <w:shd w:val="clear" w:color="auto" w:fill="auto"/>
              <w:snapToGrid w:val="0"/>
              <w:spacing w:before="0" w:beforeAutospacing="0" w:after="0" w:afterAutospacing="0" w:line="31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jc w:val="center"/>
        </w:trPr>
        <w:tc>
          <w:tcPr>
            <w:tcW w:w="1264" w:type="dxa"/>
            <w:vMerge w:val="continue"/>
            <w:vAlign w:val="center"/>
          </w:tcPr>
          <w:p>
            <w:pPr>
              <w:shd w:val="clear" w:color="auto" w:fill="auto"/>
              <w:snapToGrid w:val="0"/>
              <w:spacing w:before="0" w:beforeAutospacing="0" w:after="0" w:afterAutospacing="0" w:line="31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1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违法所得</w:t>
            </w:r>
            <w:r>
              <w:rPr>
                <w:rFonts w:hint="default" w:ascii="Times New Roman" w:hAnsi="Times New Roman" w:cs="Times New Roman"/>
                <w:color w:val="auto"/>
                <w:kern w:val="0"/>
                <w:sz w:val="20"/>
                <w:szCs w:val="20"/>
                <w:shd w:val="clear" w:color="auto" w:fill="auto"/>
              </w:rPr>
              <w:t>5万元</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line="31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jc w:val="center"/>
        </w:trPr>
        <w:tc>
          <w:tcPr>
            <w:tcW w:w="1264" w:type="dxa"/>
            <w:vMerge w:val="continue"/>
            <w:vAlign w:val="center"/>
          </w:tcPr>
          <w:p>
            <w:pPr>
              <w:shd w:val="clear" w:color="auto" w:fill="auto"/>
              <w:snapToGrid w:val="0"/>
              <w:spacing w:before="0" w:beforeAutospacing="0" w:after="0" w:afterAutospacing="0" w:line="31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1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违法所得</w:t>
            </w:r>
            <w:r>
              <w:rPr>
                <w:rFonts w:hint="default" w:ascii="Times New Roman" w:hAnsi="Times New Roman" w:cs="Times New Roman"/>
                <w:color w:val="auto"/>
                <w:kern w:val="0"/>
                <w:sz w:val="20"/>
                <w:szCs w:val="20"/>
                <w:shd w:val="clear" w:color="auto" w:fill="auto"/>
              </w:rPr>
              <w:t>5万元</w:t>
            </w:r>
            <w:r>
              <w:rPr>
                <w:rFonts w:hint="default" w:ascii="Times New Roman" w:hAnsi="Times New Roman" w:cs="Times New Roman"/>
                <w:color w:val="auto"/>
                <w:kern w:val="0"/>
                <w:sz w:val="20"/>
                <w:szCs w:val="20"/>
                <w:shd w:val="clear" w:color="auto" w:fill="auto"/>
                <w:lang w:val="en-US"/>
              </w:rPr>
              <w:t>以上</w:t>
            </w:r>
            <w:r>
              <w:rPr>
                <w:rFonts w:hint="default" w:ascii="Times New Roman" w:hAnsi="Times New Roman" w:cs="Times New Roman"/>
                <w:color w:val="auto"/>
                <w:kern w:val="0"/>
                <w:sz w:val="20"/>
                <w:szCs w:val="20"/>
                <w:shd w:val="clear" w:color="auto" w:fill="auto"/>
              </w:rPr>
              <w:t>10万元</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line="31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42" w:hRule="atLeast"/>
          <w:jc w:val="center"/>
        </w:trPr>
        <w:tc>
          <w:tcPr>
            <w:tcW w:w="1264" w:type="dxa"/>
            <w:vMerge w:val="restart"/>
            <w:vAlign w:val="center"/>
          </w:tcPr>
          <w:p>
            <w:pPr>
              <w:shd w:val="clear" w:color="auto" w:fill="auto"/>
              <w:snapToGrid w:val="0"/>
              <w:spacing w:before="0" w:beforeAutospacing="0" w:after="0" w:afterAutospacing="0" w:line="31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★违法所得10万元</w:t>
            </w:r>
          </w:p>
          <w:p>
            <w:pPr>
              <w:shd w:val="clear" w:color="auto" w:fill="auto"/>
              <w:snapToGrid w:val="0"/>
              <w:spacing w:before="0" w:beforeAutospacing="0" w:after="0" w:afterAutospacing="0" w:line="31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以上</w:t>
            </w:r>
          </w:p>
        </w:tc>
        <w:tc>
          <w:tcPr>
            <w:tcW w:w="5150" w:type="dxa"/>
            <w:vAlign w:val="center"/>
          </w:tcPr>
          <w:p>
            <w:pPr>
              <w:widowControl/>
              <w:shd w:val="clear" w:color="auto" w:fill="auto"/>
              <w:snapToGrid w:val="0"/>
              <w:spacing w:before="0" w:beforeAutospacing="0" w:after="0" w:afterAutospacing="0" w:line="31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违法所得</w:t>
            </w:r>
            <w:r>
              <w:rPr>
                <w:rFonts w:hint="default" w:ascii="Times New Roman" w:hAnsi="Times New Roman" w:cs="Times New Roman"/>
                <w:color w:val="auto"/>
                <w:kern w:val="0"/>
                <w:sz w:val="20"/>
                <w:szCs w:val="20"/>
                <w:shd w:val="clear" w:color="auto" w:fill="auto"/>
              </w:rPr>
              <w:t>10万元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上</w:t>
            </w:r>
            <w:r>
              <w:rPr>
                <w:rFonts w:hint="default" w:ascii="Times New Roman" w:hAnsi="Times New Roman" w:cs="Times New Roman"/>
                <w:color w:val="auto"/>
                <w:kern w:val="0"/>
                <w:sz w:val="20"/>
                <w:szCs w:val="20"/>
                <w:shd w:val="clear" w:color="auto" w:fill="auto"/>
              </w:rPr>
              <w:t>20万元</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line="31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jc w:val="center"/>
        </w:trPr>
        <w:tc>
          <w:tcPr>
            <w:tcW w:w="1264" w:type="dxa"/>
            <w:vMerge w:val="continue"/>
            <w:vAlign w:val="center"/>
          </w:tcPr>
          <w:p>
            <w:pPr>
              <w:shd w:val="clear" w:color="auto" w:fill="auto"/>
              <w:snapToGrid w:val="0"/>
              <w:spacing w:before="0" w:beforeAutospacing="0" w:after="0" w:afterAutospacing="0" w:line="31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1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违法所得2</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上</w:t>
            </w:r>
            <w:r>
              <w:rPr>
                <w:rFonts w:hint="default" w:ascii="Times New Roman" w:hAnsi="Times New Roman" w:cs="Times New Roman"/>
                <w:color w:val="auto"/>
                <w:kern w:val="0"/>
                <w:sz w:val="20"/>
                <w:szCs w:val="20"/>
                <w:shd w:val="clear" w:color="auto" w:fill="auto"/>
                <w:lang/>
              </w:rPr>
              <w:t>3</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line="31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42" w:hRule="atLeast"/>
          <w:jc w:val="center"/>
        </w:trPr>
        <w:tc>
          <w:tcPr>
            <w:tcW w:w="1264" w:type="dxa"/>
            <w:vMerge w:val="continue"/>
            <w:vAlign w:val="center"/>
          </w:tcPr>
          <w:p>
            <w:pPr>
              <w:shd w:val="clear" w:color="auto" w:fill="auto"/>
              <w:snapToGrid w:val="0"/>
              <w:spacing w:before="0" w:beforeAutospacing="0" w:after="0" w:afterAutospacing="0" w:line="31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1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违法所得3</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上</w:t>
            </w:r>
            <w:r>
              <w:rPr>
                <w:rFonts w:hint="default" w:ascii="Times New Roman" w:hAnsi="Times New Roman" w:cs="Times New Roman"/>
                <w:color w:val="auto"/>
                <w:kern w:val="0"/>
                <w:sz w:val="20"/>
                <w:szCs w:val="20"/>
                <w:shd w:val="clear" w:color="auto" w:fill="auto"/>
              </w:rPr>
              <w:t>40万元</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line="31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jc w:val="center"/>
        </w:trPr>
        <w:tc>
          <w:tcPr>
            <w:tcW w:w="1264" w:type="dxa"/>
            <w:vMerge w:val="continue"/>
            <w:vAlign w:val="center"/>
          </w:tcPr>
          <w:p>
            <w:pPr>
              <w:shd w:val="clear" w:color="auto" w:fill="auto"/>
              <w:snapToGrid w:val="0"/>
              <w:spacing w:before="0" w:beforeAutospacing="0" w:after="0" w:afterAutospacing="0" w:line="31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1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违法所得4</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上</w:t>
            </w:r>
            <w:r>
              <w:rPr>
                <w:rFonts w:hint="default" w:ascii="Times New Roman" w:hAnsi="Times New Roman" w:cs="Times New Roman"/>
                <w:color w:val="auto"/>
                <w:kern w:val="0"/>
                <w:sz w:val="20"/>
                <w:szCs w:val="20"/>
                <w:shd w:val="clear" w:color="auto" w:fill="auto"/>
                <w:lang/>
              </w:rPr>
              <w:t>5</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line="31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42" w:hRule="atLeast"/>
          <w:jc w:val="center"/>
        </w:trPr>
        <w:tc>
          <w:tcPr>
            <w:tcW w:w="1264" w:type="dxa"/>
            <w:vMerge w:val="continue"/>
            <w:vAlign w:val="center"/>
          </w:tcPr>
          <w:p>
            <w:pPr>
              <w:shd w:val="clear" w:color="auto" w:fill="auto"/>
              <w:snapToGrid w:val="0"/>
              <w:spacing w:before="0" w:beforeAutospacing="0" w:after="0" w:afterAutospacing="0" w:line="310" w:lineRule="exact"/>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1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违法所得50万元以上</w:t>
            </w:r>
          </w:p>
        </w:tc>
        <w:tc>
          <w:tcPr>
            <w:tcW w:w="2646" w:type="dxa"/>
            <w:vAlign w:val="center"/>
          </w:tcPr>
          <w:p>
            <w:pPr>
              <w:shd w:val="clear" w:color="auto" w:fill="auto"/>
              <w:snapToGrid w:val="0"/>
              <w:spacing w:before="0" w:beforeAutospacing="0" w:after="0" w:afterAutospacing="0" w:line="31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42" w:hRule="atLeast"/>
          <w:jc w:val="center"/>
        </w:trPr>
        <w:tc>
          <w:tcPr>
            <w:tcW w:w="1264"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放射性废物类型</w:t>
            </w:r>
          </w:p>
        </w:tc>
        <w:tc>
          <w:tcPr>
            <w:tcW w:w="5150"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极短寿命放射性废物</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jc w:val="center"/>
        </w:trPr>
        <w:tc>
          <w:tcPr>
            <w:tcW w:w="126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极低水平放射性废物</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42" w:hRule="atLeast"/>
          <w:jc w:val="center"/>
        </w:trPr>
        <w:tc>
          <w:tcPr>
            <w:tcW w:w="126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低水平放射性废物</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jc w:val="center"/>
        </w:trPr>
        <w:tc>
          <w:tcPr>
            <w:tcW w:w="126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中水平放射性废物</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42" w:hRule="atLeast"/>
          <w:jc w:val="center"/>
        </w:trPr>
        <w:tc>
          <w:tcPr>
            <w:tcW w:w="126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高水平放射性废物</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42" w:hRule="atLeast"/>
          <w:jc w:val="center"/>
        </w:trPr>
        <w:tc>
          <w:tcPr>
            <w:tcW w:w="1264"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放射性</w:t>
            </w:r>
          </w:p>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废物数量</w:t>
            </w:r>
          </w:p>
        </w:tc>
        <w:tc>
          <w:tcPr>
            <w:tcW w:w="5150" w:type="dxa"/>
            <w:vAlign w:val="center"/>
          </w:tcPr>
          <w:p>
            <w:pPr>
              <w:pStyle w:val="18"/>
              <w:shd w:val="clear" w:color="auto" w:fill="auto"/>
              <w:snapToGrid w:val="0"/>
              <w:spacing w:before="0" w:beforeAutospacing="0" w:after="0" w:afterAutospacing="0"/>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10千克</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pStyle w:val="18"/>
              <w:shd w:val="clear" w:color="auto" w:fill="auto"/>
              <w:snapToGrid w:val="0"/>
              <w:spacing w:before="0" w:beforeAutospacing="0" w:after="0" w:afterAutospacing="0"/>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442" w:hRule="atLeast"/>
          <w:jc w:val="center"/>
        </w:trPr>
        <w:tc>
          <w:tcPr>
            <w:tcW w:w="126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10千克以上100千克</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jc w:val="center"/>
        </w:trPr>
        <w:tc>
          <w:tcPr>
            <w:tcW w:w="126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100千克以上</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42" w:hRule="atLeast"/>
          <w:jc w:val="center"/>
        </w:trPr>
        <w:tc>
          <w:tcPr>
            <w:tcW w:w="1264"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涉及放射源类型</w:t>
            </w:r>
          </w:p>
        </w:tc>
        <w:tc>
          <w:tcPr>
            <w:tcW w:w="5150"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Ⅳ类、Ⅴ类放射源</w:t>
            </w:r>
          </w:p>
        </w:tc>
        <w:tc>
          <w:tcPr>
            <w:tcW w:w="2646" w:type="dxa"/>
            <w:vAlign w:val="center"/>
          </w:tcPr>
          <w:p>
            <w:pPr>
              <w:pStyle w:val="18"/>
              <w:shd w:val="clear" w:color="auto" w:fill="auto"/>
              <w:snapToGrid w:val="0"/>
              <w:spacing w:before="0" w:beforeAutospacing="0" w:after="0" w:afterAutospacing="0"/>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442" w:hRule="atLeast"/>
          <w:jc w:val="center"/>
        </w:trPr>
        <w:tc>
          <w:tcPr>
            <w:tcW w:w="126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Ⅲ类放射源</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jc w:val="center"/>
        </w:trPr>
        <w:tc>
          <w:tcPr>
            <w:tcW w:w="126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Ⅰ类、Ⅱ类放射源</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42" w:hRule="atLeast"/>
          <w:jc w:val="center"/>
        </w:trPr>
        <w:tc>
          <w:tcPr>
            <w:tcW w:w="1264"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污染防治设施建设使用情况</w:t>
            </w:r>
          </w:p>
        </w:tc>
        <w:tc>
          <w:tcPr>
            <w:tcW w:w="5150"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建设有完备的污染防治设施，且规范使用的</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jc w:val="center"/>
        </w:trPr>
        <w:tc>
          <w:tcPr>
            <w:tcW w:w="126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污染防治设施建设不全，或者未规范使用的</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jc w:val="center"/>
        </w:trPr>
        <w:tc>
          <w:tcPr>
            <w:tcW w:w="126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未建设污染防治设施，或者未使用的</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64"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b/>
                <w:color w:val="auto"/>
                <w:kern w:val="2"/>
                <w:sz w:val="21"/>
                <w:szCs w:val="21"/>
                <w:shd w:val="clear" w:color="auto" w:fill="auto"/>
                <w:lang w:val="en-US" w:eastAsia="zh-CN"/>
              </w:rPr>
            </w:pPr>
            <w:r>
              <w:rPr>
                <w:rFonts w:hint="default" w:ascii="Times New Roman" w:hAnsi="Times New Roman" w:cs="Times New Roman"/>
                <w:b/>
                <w:bCs/>
                <w:color w:val="auto"/>
                <w:sz w:val="20"/>
                <w:szCs w:val="20"/>
                <w:shd w:val="clear" w:color="auto" w:fill="auto"/>
                <w:lang w:eastAsia="zh-CN"/>
              </w:rPr>
              <w:t>企业规模</w:t>
            </w:r>
          </w:p>
        </w:tc>
        <w:tc>
          <w:tcPr>
            <w:tcW w:w="5150"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150"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150"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150" w:type="dxa"/>
            <w:vAlign w:val="center"/>
          </w:tcPr>
          <w:p>
            <w:pPr>
              <w:shd w:val="clear" w:color="auto" w:fill="auto"/>
              <w:snapToGrid w:val="0"/>
              <w:spacing w:before="0" w:beforeAutospacing="0" w:after="0" w:afterAutospacing="0"/>
              <w:ind w:left="0" w:right="0" w:firstLine="2100" w:firstLineChars="1000"/>
              <w:jc w:val="both"/>
              <w:rPr>
                <w:rFonts w:hint="default" w:ascii="Times New Roman" w:hAnsi="Times New Roman" w:eastAsia="宋体" w:cs="Times New Roman"/>
                <w:color w:val="auto"/>
                <w:kern w:val="2"/>
                <w:sz w:val="21"/>
                <w:szCs w:val="21"/>
                <w:shd w:val="clear" w:color="auto" w:fill="auto"/>
                <w:lang w:val="en-US" w:eastAsia="zh-CN"/>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kern w:val="2"/>
                <w:sz w:val="21"/>
                <w:szCs w:val="21"/>
                <w:shd w:val="clear" w:color="auto" w:fill="auto"/>
                <w:lang w:eastAsia="zh-CN" w:bidi="ar-SA"/>
              </w:rPr>
              <w:t>4</w:t>
            </w:r>
          </w:p>
        </w:tc>
      </w:tr>
      <w:tr>
        <w:trPr>
          <w:trHeight w:val="397" w:hRule="atLeast"/>
          <w:jc w:val="center"/>
        </w:trPr>
        <w:tc>
          <w:tcPr>
            <w:tcW w:w="1264"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b/>
                <w:color w:val="auto"/>
                <w:kern w:val="2"/>
                <w:sz w:val="21"/>
                <w:szCs w:val="21"/>
                <w:shd w:val="clear" w:color="auto" w:fill="auto"/>
                <w:lang w:val="en-US" w:eastAsia="zh-CN"/>
              </w:rPr>
            </w:pPr>
            <w:r>
              <w:rPr>
                <w:rFonts w:hint="default" w:ascii="Times New Roman" w:hAnsi="Times New Roman" w:cs="Times New Roman"/>
                <w:b/>
                <w:bCs/>
                <w:color w:val="auto"/>
                <w:sz w:val="20"/>
                <w:szCs w:val="20"/>
                <w:shd w:val="clear" w:color="auto" w:fill="auto"/>
                <w:lang w:val="en-US"/>
              </w:rPr>
              <w:t>管理类别</w:t>
            </w:r>
          </w:p>
        </w:tc>
        <w:tc>
          <w:tcPr>
            <w:tcW w:w="515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1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15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64" w:type="dxa"/>
            <w:vMerge w:val="restart"/>
            <w:vAlign w:val="center"/>
          </w:tcPr>
          <w:p>
            <w:pPr>
              <w:widowControl w:val="0"/>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5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jc w:val="center"/>
        </w:trPr>
        <w:tc>
          <w:tcPr>
            <w:tcW w:w="1264" w:type="dxa"/>
            <w:vMerge w:val="continue"/>
            <w:vAlign w:val="center"/>
          </w:tcPr>
          <w:p>
            <w:pPr>
              <w:widowControl w:val="0"/>
              <w:shd w:val="clear" w:color="auto" w:fill="auto"/>
              <w:snapToGrid w:val="0"/>
              <w:spacing w:before="0" w:beforeAutospacing="0" w:after="0" w:afterAutospacing="0"/>
              <w:ind w:left="0" w:leftChars="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jc w:val="center"/>
        </w:trPr>
        <w:tc>
          <w:tcPr>
            <w:tcW w:w="1264" w:type="dxa"/>
            <w:vMerge w:val="continue"/>
            <w:vAlign w:val="center"/>
          </w:tcPr>
          <w:p>
            <w:pPr>
              <w:widowControl w:val="0"/>
              <w:shd w:val="clear" w:color="auto" w:fill="auto"/>
              <w:snapToGrid w:val="0"/>
              <w:spacing w:before="0" w:beforeAutospacing="0" w:after="0" w:afterAutospacing="0"/>
              <w:ind w:left="0" w:leftChars="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jc w:val="center"/>
        </w:trPr>
        <w:tc>
          <w:tcPr>
            <w:tcW w:w="1264" w:type="dxa"/>
            <w:vMerge w:val="continue"/>
            <w:vAlign w:val="center"/>
          </w:tcPr>
          <w:p>
            <w:pPr>
              <w:widowControl w:val="0"/>
              <w:shd w:val="clear" w:color="auto" w:fill="auto"/>
              <w:snapToGrid w:val="0"/>
              <w:spacing w:before="0" w:beforeAutospacing="0" w:after="0" w:afterAutospacing="0"/>
              <w:ind w:left="0" w:leftChars="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jc w:val="center"/>
        </w:trPr>
        <w:tc>
          <w:tcPr>
            <w:tcW w:w="1264" w:type="dxa"/>
            <w:vMerge w:val="continue"/>
            <w:vAlign w:val="center"/>
          </w:tcPr>
          <w:p>
            <w:pPr>
              <w:widowControl w:val="0"/>
              <w:shd w:val="clear" w:color="auto" w:fill="auto"/>
              <w:snapToGrid w:val="0"/>
              <w:spacing w:before="0" w:beforeAutospacing="0" w:after="0" w:afterAutospacing="0"/>
              <w:ind w:left="0" w:leftChars="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26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改正时间</w:t>
            </w:r>
          </w:p>
        </w:tc>
        <w:tc>
          <w:tcPr>
            <w:tcW w:w="515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15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15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15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264"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w:t>
            </w:r>
          </w:p>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次数</w:t>
            </w:r>
          </w:p>
        </w:tc>
        <w:tc>
          <w:tcPr>
            <w:tcW w:w="5150" w:type="dxa"/>
            <w:vAlign w:val="center"/>
          </w:tcPr>
          <w:p>
            <w:pPr>
              <w:shd w:val="clear" w:color="auto" w:fill="auto"/>
              <w:snapToGrid w:val="0"/>
              <w:spacing w:before="0" w:beforeAutospacing="0" w:after="0" w:afterAutospacing="0"/>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64"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5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26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5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64"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96" w:type="dxa"/>
            <w:gridSpan w:val="2"/>
            <w:vAlign w:val="center"/>
          </w:tcPr>
          <w:p>
            <w:pPr>
              <w:shd w:val="clear" w:color="auto" w:fill="auto"/>
              <w:snapToGrid w:val="0"/>
              <w:spacing w:before="0" w:beforeAutospacing="0" w:after="0" w:afterAutospacing="0"/>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对于“违法所得10万元以上”的情形，法定处罚金额上限M=违法所得×5，法定处罚金额下限N=违法所得×1。</w:t>
            </w: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5804"/>
        <w:gridCol w:w="1868"/>
      </w:tblGrid>
      <w:tr>
        <w:trPr>
          <w:trHeight w:val="369" w:hRule="atLeast"/>
          <w:jc w:val="center"/>
        </w:trPr>
        <w:tc>
          <w:tcPr>
            <w:tcW w:w="9060" w:type="dxa"/>
            <w:gridSpan w:val="3"/>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69" w:hRule="atLeast"/>
          <w:jc w:val="center"/>
        </w:trPr>
        <w:tc>
          <w:tcPr>
            <w:tcW w:w="1388"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72" w:type="dxa"/>
            <w:gridSpan w:val="2"/>
            <w:vAlign w:val="center"/>
          </w:tcPr>
          <w:p>
            <w:pPr>
              <w:shd w:val="clear" w:color="auto" w:fill="auto"/>
              <w:wordWrap/>
              <w:adjustRightInd/>
              <w:snapToGrid w:val="0"/>
              <w:spacing w:before="0" w:beforeAutospacing="0" w:after="0" w:afterAutospacing="0" w:line="33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310" w:name="_Toc31858"/>
            <w:r>
              <w:rPr>
                <w:rFonts w:hint="default" w:ascii="Times New Roman" w:hAnsi="Times New Roman" w:cs="Times New Roman"/>
                <w:color w:val="auto"/>
                <w:sz w:val="20"/>
                <w:szCs w:val="20"/>
                <w:shd w:val="clear" w:color="auto" w:fill="auto"/>
              </w:rPr>
              <w:t>13</w:t>
            </w:r>
            <w:bookmarkEnd w:id="310"/>
          </w:p>
        </w:tc>
      </w:tr>
      <w:tr>
        <w:trPr>
          <w:trHeight w:val="369" w:hRule="atLeast"/>
          <w:jc w:val="center"/>
        </w:trPr>
        <w:tc>
          <w:tcPr>
            <w:tcW w:w="1388"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67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30" w:lineRule="exact"/>
              <w:ind w:left="0" w:right="0"/>
              <w:jc w:val="center"/>
              <w:textAlignment w:val="auto"/>
              <w:outlineLvl w:val="9"/>
              <w:rPr>
                <w:rFonts w:hint="default" w:ascii="Times New Roman" w:hAnsi="Times New Roman" w:cs="Times New Roman"/>
                <w:color w:val="auto"/>
                <w:kern w:val="0"/>
                <w:sz w:val="20"/>
                <w:szCs w:val="20"/>
                <w:shd w:val="clear" w:color="auto" w:fill="auto"/>
              </w:rPr>
            </w:pPr>
            <w:bookmarkStart w:id="311" w:name="_Toc31639"/>
            <w:r>
              <w:rPr>
                <w:rFonts w:hint="default" w:ascii="Times New Roman" w:hAnsi="Times New Roman" w:cs="Times New Roman"/>
                <w:color w:val="auto"/>
                <w:kern w:val="0"/>
                <w:sz w:val="20"/>
                <w:szCs w:val="20"/>
                <w:shd w:val="clear" w:color="auto" w:fill="auto"/>
              </w:rPr>
              <w:t>不按照许可的有关规定从事贮存和处置废旧放射源或者放射性固体废物活动的</w:t>
            </w:r>
            <w:bookmarkEnd w:id="311"/>
          </w:p>
        </w:tc>
      </w:tr>
      <w:tr>
        <w:trPr>
          <w:trHeight w:val="369" w:hRule="atLeast"/>
          <w:jc w:val="center"/>
        </w:trPr>
        <w:tc>
          <w:tcPr>
            <w:tcW w:w="1388"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7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30" w:lineRule="exact"/>
              <w:ind w:left="0" w:right="0" w:firstLine="422" w:firstLineChars="200"/>
              <w:jc w:val="left"/>
              <w:textAlignment w:val="auto"/>
              <w:rPr>
                <w:rFonts w:hint="default" w:ascii="Times New Roman" w:hAnsi="Times New Roman" w:eastAsia="宋体" w:cs="Times New Roman"/>
                <w:color w:val="auto"/>
                <w:kern w:val="0"/>
                <w:sz w:val="20"/>
                <w:szCs w:val="20"/>
                <w:shd w:val="clear" w:color="auto" w:fill="auto"/>
                <w:lang w:val="en-US" w:eastAsia="zh-CN"/>
              </w:rPr>
            </w:pPr>
            <w:r>
              <w:rPr>
                <w:rFonts w:hint="default" w:ascii="Times New Roman" w:hAnsi="Times New Roman" w:cs="Times New Roman"/>
                <w:b/>
                <w:bCs/>
                <w:color w:val="auto"/>
                <w:kern w:val="0"/>
                <w:sz w:val="20"/>
                <w:szCs w:val="20"/>
                <w:shd w:val="clear" w:color="auto" w:fill="auto"/>
              </w:rPr>
              <w:t xml:space="preserve">1.《中华人民共和国放射性污染防治法》第四十六条第二款 </w:t>
            </w:r>
            <w:r>
              <w:rPr>
                <w:rFonts w:hint="default" w:ascii="Times New Roman" w:hAnsi="Times New Roman" w:cs="Times New Roman"/>
                <w:color w:val="auto"/>
                <w:kern w:val="0"/>
                <w:sz w:val="20"/>
                <w:szCs w:val="20"/>
                <w:shd w:val="clear" w:color="auto" w:fill="auto"/>
              </w:rPr>
              <w:t>禁止未经许可或者不按照许可的有关规定从事贮存和处置放射性固体废物的活动。</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30" w:lineRule="exact"/>
              <w:ind w:left="0" w:right="0" w:firstLine="422" w:firstLineChars="200"/>
              <w:jc w:val="left"/>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2.</w:t>
            </w:r>
            <w:r>
              <w:rPr>
                <w:rFonts w:hint="default" w:ascii="Times New Roman" w:hAnsi="Times New Roman" w:cs="Times New Roman"/>
                <w:b/>
                <w:bCs/>
                <w:color w:val="auto"/>
                <w:sz w:val="20"/>
                <w:szCs w:val="20"/>
                <w:shd w:val="clear" w:color="auto" w:fill="auto"/>
              </w:rPr>
              <w:t>《放射性废物安全管理条例》第三十三条第二款</w:t>
            </w:r>
            <w:r>
              <w:rPr>
                <w:rFonts w:hint="default" w:ascii="Times New Roman" w:hAnsi="Times New Roman" w:cs="Times New Roman"/>
                <w:color w:val="auto"/>
                <w:sz w:val="20"/>
                <w:szCs w:val="20"/>
                <w:shd w:val="clear" w:color="auto" w:fill="auto"/>
              </w:rPr>
              <w:t xml:space="preserve"> 禁止无许可证或者不按照许可证规定的活动种类、范围、规模和期限从事放射性固体废物贮存、处置活动。</w:t>
            </w:r>
          </w:p>
        </w:tc>
      </w:tr>
      <w:tr>
        <w:trPr>
          <w:trHeight w:val="369" w:hRule="atLeast"/>
          <w:jc w:val="center"/>
        </w:trPr>
        <w:tc>
          <w:tcPr>
            <w:tcW w:w="1388"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72" w:type="dxa"/>
            <w:gridSpan w:val="2"/>
            <w:vAlign w:val="center"/>
          </w:tcPr>
          <w:p>
            <w:pPr>
              <w:widowControl/>
              <w:shd w:val="clear" w:color="auto" w:fill="auto"/>
              <w:wordWrap/>
              <w:adjustRightInd/>
              <w:snapToGrid w:val="0"/>
              <w:spacing w:before="0" w:beforeAutospacing="0" w:after="0" w:afterAutospacing="0" w:line="330" w:lineRule="exact"/>
              <w:ind w:left="0" w:right="0" w:firstLine="422" w:firstLineChars="200"/>
              <w:jc w:val="left"/>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1.《中华人民共和国放射性污染防治法》第五十七条第（二）项 </w:t>
            </w:r>
            <w:r>
              <w:rPr>
                <w:rFonts w:hint="default" w:ascii="Times New Roman" w:hAnsi="Times New Roman" w:cs="Times New Roman"/>
                <w:color w:val="auto"/>
                <w:kern w:val="0"/>
                <w:sz w:val="20"/>
                <w:szCs w:val="20"/>
                <w:shd w:val="clear" w:color="auto" w:fill="auto"/>
              </w:rPr>
              <w:t>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w:t>
            </w:r>
          </w:p>
          <w:p>
            <w:pPr>
              <w:widowControl/>
              <w:shd w:val="clear" w:color="auto" w:fill="auto"/>
              <w:wordWrap/>
              <w:adjustRightInd/>
              <w:snapToGrid w:val="0"/>
              <w:spacing w:before="0" w:beforeAutospacing="0" w:after="0" w:afterAutospacing="0" w:line="330" w:lineRule="exact"/>
              <w:ind w:left="0" w:right="0" w:firstLine="420" w:firstLineChars="200"/>
              <w:jc w:val="left"/>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（二）不按照许可的有关规定从事贮存和处置放射性固体废物活动的。</w:t>
            </w:r>
          </w:p>
          <w:p>
            <w:pPr>
              <w:pStyle w:val="18"/>
              <w:shd w:val="clear" w:color="auto" w:fill="auto"/>
              <w:wordWrap/>
              <w:adjustRightInd/>
              <w:spacing w:before="0" w:beforeAutospacing="0" w:after="0" w:afterAutospacing="0" w:line="33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2.《放射性废物安全管理条例》第三十八条第（二）项</w:t>
            </w:r>
            <w:r>
              <w:rPr>
                <w:rFonts w:hint="default" w:ascii="Times New Roman" w:hAnsi="Times New Roman" w:cs="Times New Roman"/>
                <w:color w:val="auto"/>
                <w:sz w:val="21"/>
                <w:szCs w:val="21"/>
                <w:shd w:val="clear" w:color="auto" w:fill="auto"/>
              </w:rPr>
              <w:t xml:space="preserve"> 违反本条例规定，有下列行为之一的，由省级以上人民政府环境保护主管部门责令停产停业或者吊销许可证；有违法所得的，没收违法所得；违法所得10万元以上的，并处违法所得1倍以上5倍以下的罚款；没有违法所得或者违法所得不足10万元的，并处5万元以上10万元以下的罚款；造成环境污染的，责令限期采取治理措施消除污染，逾期不采取治理措施，经催告仍不治理的，可以指定有治理能力的单位代为治理，所需费用由违法者承担；构成犯罪的，依法追究刑事责任：</w:t>
            </w:r>
          </w:p>
          <w:p>
            <w:pPr>
              <w:widowControl/>
              <w:shd w:val="clear" w:color="auto" w:fill="auto"/>
              <w:wordWrap/>
              <w:adjustRightInd/>
              <w:snapToGrid w:val="0"/>
              <w:spacing w:before="0" w:beforeAutospacing="0" w:after="0" w:afterAutospacing="0" w:line="330" w:lineRule="exact"/>
              <w:ind w:left="0" w:right="0" w:firstLine="420" w:firstLineChars="200"/>
              <w:jc w:val="left"/>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（二）放射性固体废物贮存、处置单位未按照许可证规定的活动种类、范围、规模、期限从事废旧放射源或者其他放射性固体废物的贮存、处置活动的。</w:t>
            </w:r>
          </w:p>
        </w:tc>
      </w:tr>
      <w:tr>
        <w:trPr>
          <w:trHeight w:val="397" w:hRule="atLeast"/>
          <w:jc w:val="center"/>
        </w:trPr>
        <w:tc>
          <w:tcPr>
            <w:tcW w:w="1388"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804"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1868"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jc w:val="center"/>
        </w:trPr>
        <w:tc>
          <w:tcPr>
            <w:tcW w:w="1388" w:type="dxa"/>
            <w:vMerge w:val="restart"/>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★无违法所得</w:t>
            </w:r>
            <w:r>
              <w:rPr>
                <w:rFonts w:hint="default" w:ascii="Times New Roman" w:hAnsi="Times New Roman" w:cs="Times New Roman"/>
                <w:b/>
                <w:bCs/>
                <w:color w:val="auto"/>
                <w:sz w:val="20"/>
                <w:szCs w:val="20"/>
                <w:shd w:val="clear" w:color="auto" w:fill="auto"/>
                <w:lang w:val="en-US"/>
              </w:rPr>
              <w:t>或</w:t>
            </w:r>
            <w:r>
              <w:rPr>
                <w:rFonts w:hint="default" w:ascii="Times New Roman" w:hAnsi="Times New Roman" w:cs="Times New Roman"/>
                <w:b/>
                <w:bCs/>
                <w:color w:val="auto"/>
                <w:sz w:val="20"/>
                <w:szCs w:val="20"/>
                <w:shd w:val="clear" w:color="auto" w:fill="auto"/>
              </w:rPr>
              <w:t>违法所得不足10万元</w:t>
            </w:r>
          </w:p>
        </w:tc>
        <w:tc>
          <w:tcPr>
            <w:tcW w:w="5804" w:type="dxa"/>
            <w:vAlign w:val="center"/>
          </w:tcPr>
          <w:p>
            <w:pPr>
              <w:widowControl/>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无违法所得</w:t>
            </w:r>
          </w:p>
        </w:tc>
        <w:tc>
          <w:tcPr>
            <w:tcW w:w="1868"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88" w:type="dxa"/>
            <w:vMerge w:val="continue"/>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04"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违法所得</w:t>
            </w:r>
            <w:r>
              <w:rPr>
                <w:rFonts w:hint="default" w:ascii="Times New Roman" w:hAnsi="Times New Roman" w:cs="Times New Roman"/>
                <w:color w:val="auto"/>
                <w:kern w:val="0"/>
                <w:sz w:val="20"/>
                <w:szCs w:val="20"/>
                <w:shd w:val="clear" w:color="auto" w:fill="auto"/>
              </w:rPr>
              <w:t>5万元</w:t>
            </w:r>
            <w:r>
              <w:rPr>
                <w:rFonts w:hint="default" w:ascii="Times New Roman" w:hAnsi="Times New Roman" w:cs="Times New Roman"/>
                <w:color w:val="auto"/>
                <w:kern w:val="0"/>
                <w:sz w:val="20"/>
                <w:szCs w:val="20"/>
                <w:shd w:val="clear" w:color="auto" w:fill="auto"/>
                <w:lang w:val="en-US"/>
              </w:rPr>
              <w:t>以下</w:t>
            </w:r>
          </w:p>
        </w:tc>
        <w:tc>
          <w:tcPr>
            <w:tcW w:w="1868"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88" w:type="dxa"/>
            <w:vMerge w:val="continue"/>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04"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违法所得</w:t>
            </w:r>
            <w:r>
              <w:rPr>
                <w:rFonts w:hint="default" w:ascii="Times New Roman" w:hAnsi="Times New Roman" w:cs="Times New Roman"/>
                <w:color w:val="auto"/>
                <w:kern w:val="0"/>
                <w:sz w:val="20"/>
                <w:szCs w:val="20"/>
                <w:shd w:val="clear" w:color="auto" w:fill="auto"/>
              </w:rPr>
              <w:t>5万元</w:t>
            </w:r>
            <w:r>
              <w:rPr>
                <w:rFonts w:hint="default" w:ascii="Times New Roman" w:hAnsi="Times New Roman" w:cs="Times New Roman"/>
                <w:color w:val="auto"/>
                <w:kern w:val="0"/>
                <w:sz w:val="20"/>
                <w:szCs w:val="20"/>
                <w:shd w:val="clear" w:color="auto" w:fill="auto"/>
                <w:lang w:val="en-US"/>
              </w:rPr>
              <w:t>以上</w:t>
            </w:r>
            <w:r>
              <w:rPr>
                <w:rFonts w:hint="default" w:ascii="Times New Roman" w:hAnsi="Times New Roman" w:cs="Times New Roman"/>
                <w:color w:val="auto"/>
                <w:kern w:val="0"/>
                <w:sz w:val="20"/>
                <w:szCs w:val="20"/>
                <w:shd w:val="clear" w:color="auto" w:fill="auto"/>
              </w:rPr>
              <w:t>10万元</w:t>
            </w:r>
            <w:r>
              <w:rPr>
                <w:rFonts w:hint="default" w:ascii="Times New Roman" w:hAnsi="Times New Roman" w:cs="Times New Roman"/>
                <w:color w:val="auto"/>
                <w:kern w:val="0"/>
                <w:sz w:val="20"/>
                <w:szCs w:val="20"/>
                <w:shd w:val="clear" w:color="auto" w:fill="auto"/>
                <w:lang w:val="en-US"/>
              </w:rPr>
              <w:t>以下</w:t>
            </w:r>
          </w:p>
        </w:tc>
        <w:tc>
          <w:tcPr>
            <w:tcW w:w="1868"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88" w:type="dxa"/>
            <w:vMerge w:val="restart"/>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★违法所得10万元</w:t>
            </w:r>
          </w:p>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以上</w:t>
            </w:r>
          </w:p>
        </w:tc>
        <w:tc>
          <w:tcPr>
            <w:tcW w:w="5804" w:type="dxa"/>
            <w:vAlign w:val="center"/>
          </w:tcPr>
          <w:p>
            <w:pPr>
              <w:widowControl/>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违法所得</w:t>
            </w:r>
            <w:r>
              <w:rPr>
                <w:rFonts w:hint="default" w:ascii="Times New Roman" w:hAnsi="Times New Roman" w:cs="Times New Roman"/>
                <w:color w:val="auto"/>
                <w:kern w:val="0"/>
                <w:sz w:val="20"/>
                <w:szCs w:val="20"/>
                <w:shd w:val="clear" w:color="auto" w:fill="auto"/>
              </w:rPr>
              <w:t>10万元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上</w:t>
            </w:r>
            <w:r>
              <w:rPr>
                <w:rFonts w:hint="default" w:ascii="Times New Roman" w:hAnsi="Times New Roman" w:cs="Times New Roman"/>
                <w:color w:val="auto"/>
                <w:kern w:val="0"/>
                <w:sz w:val="20"/>
                <w:szCs w:val="20"/>
                <w:shd w:val="clear" w:color="auto" w:fill="auto"/>
              </w:rPr>
              <w:t>20万元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下</w:t>
            </w:r>
          </w:p>
        </w:tc>
        <w:tc>
          <w:tcPr>
            <w:tcW w:w="1868"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88" w:type="dxa"/>
            <w:vMerge w:val="continue"/>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04"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违法所得2</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上</w:t>
            </w:r>
            <w:r>
              <w:rPr>
                <w:rFonts w:hint="default" w:ascii="Times New Roman" w:hAnsi="Times New Roman" w:cs="Times New Roman"/>
                <w:color w:val="auto"/>
                <w:kern w:val="0"/>
                <w:sz w:val="20"/>
                <w:szCs w:val="20"/>
                <w:shd w:val="clear" w:color="auto" w:fill="auto"/>
                <w:lang/>
              </w:rPr>
              <w:t>3</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下</w:t>
            </w:r>
          </w:p>
        </w:tc>
        <w:tc>
          <w:tcPr>
            <w:tcW w:w="1868"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388" w:type="dxa"/>
            <w:vMerge w:val="continue"/>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04"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违法所得3</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上</w:t>
            </w:r>
            <w:r>
              <w:rPr>
                <w:rFonts w:hint="default" w:ascii="Times New Roman" w:hAnsi="Times New Roman" w:cs="Times New Roman"/>
                <w:color w:val="auto"/>
                <w:kern w:val="0"/>
                <w:sz w:val="20"/>
                <w:szCs w:val="20"/>
                <w:shd w:val="clear" w:color="auto" w:fill="auto"/>
              </w:rPr>
              <w:t>40万元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下</w:t>
            </w:r>
          </w:p>
        </w:tc>
        <w:tc>
          <w:tcPr>
            <w:tcW w:w="1868"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88" w:type="dxa"/>
            <w:vMerge w:val="continue"/>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04"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违法所得4</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上</w:t>
            </w:r>
            <w:r>
              <w:rPr>
                <w:rFonts w:hint="default" w:ascii="Times New Roman" w:hAnsi="Times New Roman" w:cs="Times New Roman"/>
                <w:color w:val="auto"/>
                <w:kern w:val="0"/>
                <w:sz w:val="20"/>
                <w:szCs w:val="20"/>
                <w:shd w:val="clear" w:color="auto" w:fill="auto"/>
                <w:lang/>
              </w:rPr>
              <w:t>5</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下</w:t>
            </w:r>
          </w:p>
        </w:tc>
        <w:tc>
          <w:tcPr>
            <w:tcW w:w="1868"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88" w:type="dxa"/>
            <w:vMerge w:val="continue"/>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04"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违法所得50万元以上</w:t>
            </w:r>
          </w:p>
        </w:tc>
        <w:tc>
          <w:tcPr>
            <w:tcW w:w="1868"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88" w:type="dxa"/>
            <w:vMerge w:val="restart"/>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放射性废物类型</w:t>
            </w:r>
          </w:p>
        </w:tc>
        <w:tc>
          <w:tcPr>
            <w:tcW w:w="5804"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极短寿命放射性废物</w:t>
            </w:r>
          </w:p>
        </w:tc>
        <w:tc>
          <w:tcPr>
            <w:tcW w:w="1868"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88" w:type="dxa"/>
            <w:vMerge w:val="continue"/>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04"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极低水平放射性废物</w:t>
            </w:r>
          </w:p>
        </w:tc>
        <w:tc>
          <w:tcPr>
            <w:tcW w:w="1868"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388" w:type="dxa"/>
            <w:vMerge w:val="continue"/>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04"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低水平放射性废物</w:t>
            </w:r>
          </w:p>
        </w:tc>
        <w:tc>
          <w:tcPr>
            <w:tcW w:w="1868"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88" w:type="dxa"/>
            <w:vMerge w:val="continue"/>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04"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中水平放射性废物</w:t>
            </w:r>
          </w:p>
        </w:tc>
        <w:tc>
          <w:tcPr>
            <w:tcW w:w="1868"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88" w:type="dxa"/>
            <w:vMerge w:val="continue"/>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04"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高水平放射性废物</w:t>
            </w:r>
          </w:p>
        </w:tc>
        <w:tc>
          <w:tcPr>
            <w:tcW w:w="1868" w:type="dxa"/>
            <w:vAlign w:val="center"/>
          </w:tcPr>
          <w:p>
            <w:pPr>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8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废旧放射源种类</w:t>
            </w:r>
          </w:p>
        </w:tc>
        <w:tc>
          <w:tcPr>
            <w:tcW w:w="580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Ⅳ类、Ⅴ类放射源</w:t>
            </w:r>
          </w:p>
        </w:tc>
        <w:tc>
          <w:tcPr>
            <w:tcW w:w="1868"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369" w:hRule="atLeast"/>
          <w:jc w:val="center"/>
        </w:trPr>
        <w:tc>
          <w:tcPr>
            <w:tcW w:w="13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0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Ⅲ类放射源</w:t>
            </w:r>
          </w:p>
        </w:tc>
        <w:tc>
          <w:tcPr>
            <w:tcW w:w="18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0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Ⅰ类、Ⅱ类放射源</w:t>
            </w:r>
          </w:p>
        </w:tc>
        <w:tc>
          <w:tcPr>
            <w:tcW w:w="18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8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放射性废物数量</w:t>
            </w:r>
          </w:p>
        </w:tc>
        <w:tc>
          <w:tcPr>
            <w:tcW w:w="5804"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10千克</w:t>
            </w:r>
            <w:r>
              <w:rPr>
                <w:rFonts w:hint="default" w:ascii="Times New Roman" w:hAnsi="Times New Roman" w:cs="Times New Roman"/>
                <w:color w:val="auto"/>
                <w:kern w:val="0"/>
                <w:sz w:val="20"/>
                <w:szCs w:val="20"/>
                <w:shd w:val="clear" w:color="auto" w:fill="auto"/>
                <w:lang w:val="en-US"/>
              </w:rPr>
              <w:t>以下</w:t>
            </w:r>
          </w:p>
        </w:tc>
        <w:tc>
          <w:tcPr>
            <w:tcW w:w="1868"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369" w:hRule="atLeast"/>
          <w:jc w:val="center"/>
        </w:trPr>
        <w:tc>
          <w:tcPr>
            <w:tcW w:w="13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0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10千克以上100千克</w:t>
            </w:r>
            <w:r>
              <w:rPr>
                <w:rFonts w:hint="default" w:ascii="Times New Roman" w:hAnsi="Times New Roman" w:cs="Times New Roman"/>
                <w:color w:val="auto"/>
                <w:kern w:val="0"/>
                <w:sz w:val="20"/>
                <w:szCs w:val="20"/>
                <w:shd w:val="clear" w:color="auto" w:fill="auto"/>
                <w:lang w:val="en-US"/>
              </w:rPr>
              <w:t>以下</w:t>
            </w:r>
          </w:p>
        </w:tc>
        <w:tc>
          <w:tcPr>
            <w:tcW w:w="18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0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100千克以上</w:t>
            </w:r>
          </w:p>
        </w:tc>
        <w:tc>
          <w:tcPr>
            <w:tcW w:w="18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8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80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186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jc w:val="center"/>
        </w:trPr>
        <w:tc>
          <w:tcPr>
            <w:tcW w:w="138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0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186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jc w:val="center"/>
        </w:trPr>
        <w:tc>
          <w:tcPr>
            <w:tcW w:w="138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0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186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jc w:val="center"/>
        </w:trPr>
        <w:tc>
          <w:tcPr>
            <w:tcW w:w="138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0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186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jc w:val="center"/>
        </w:trPr>
        <w:tc>
          <w:tcPr>
            <w:tcW w:w="138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0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186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69" w:hRule="atLeast"/>
          <w:jc w:val="center"/>
        </w:trPr>
        <w:tc>
          <w:tcPr>
            <w:tcW w:w="138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改正时间</w:t>
            </w:r>
          </w:p>
        </w:tc>
        <w:tc>
          <w:tcPr>
            <w:tcW w:w="5804"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kern w:val="2"/>
                <w:sz w:val="21"/>
                <w:szCs w:val="21"/>
                <w:shd w:val="clear" w:color="auto" w:fill="auto"/>
                <w:lang w:eastAsia="zh-CN"/>
              </w:rPr>
              <w:t>限期改正</w:t>
            </w:r>
          </w:p>
        </w:tc>
        <w:tc>
          <w:tcPr>
            <w:tcW w:w="18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369" w:hRule="atLeast"/>
          <w:jc w:val="center"/>
        </w:trPr>
        <w:tc>
          <w:tcPr>
            <w:tcW w:w="138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80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18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38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80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18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4</w:t>
            </w:r>
          </w:p>
        </w:tc>
      </w:tr>
      <w:tr>
        <w:trPr>
          <w:trHeight w:val="369" w:hRule="atLeast"/>
          <w:jc w:val="center"/>
        </w:trPr>
        <w:tc>
          <w:tcPr>
            <w:tcW w:w="138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80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7天以上</w:t>
            </w:r>
          </w:p>
        </w:tc>
        <w:tc>
          <w:tcPr>
            <w:tcW w:w="18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5</w:t>
            </w:r>
          </w:p>
        </w:tc>
      </w:tr>
      <w:tr>
        <w:trPr>
          <w:trHeight w:val="369" w:hRule="atLeast"/>
          <w:jc w:val="center"/>
        </w:trPr>
        <w:tc>
          <w:tcPr>
            <w:tcW w:w="138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80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1次</w:t>
            </w:r>
          </w:p>
        </w:tc>
        <w:tc>
          <w:tcPr>
            <w:tcW w:w="186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jc w:val="center"/>
        </w:trPr>
        <w:tc>
          <w:tcPr>
            <w:tcW w:w="138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80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2次</w:t>
            </w:r>
          </w:p>
        </w:tc>
        <w:tc>
          <w:tcPr>
            <w:tcW w:w="186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jc w:val="center"/>
        </w:trPr>
        <w:tc>
          <w:tcPr>
            <w:tcW w:w="138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80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3次</w:t>
            </w:r>
          </w:p>
        </w:tc>
        <w:tc>
          <w:tcPr>
            <w:tcW w:w="186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jc w:val="center"/>
        </w:trPr>
        <w:tc>
          <w:tcPr>
            <w:tcW w:w="138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80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4次</w:t>
            </w:r>
          </w:p>
        </w:tc>
        <w:tc>
          <w:tcPr>
            <w:tcW w:w="186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jc w:val="center"/>
        </w:trPr>
        <w:tc>
          <w:tcPr>
            <w:tcW w:w="138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80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eastAsia="宋体" w:cs="Times New Roman"/>
                <w:color w:val="auto"/>
                <w:kern w:val="2"/>
                <w:sz w:val="21"/>
                <w:szCs w:val="21"/>
                <w:shd w:val="clear" w:color="auto" w:fill="auto"/>
                <w:lang w:eastAsia="zh-CN"/>
              </w:rPr>
              <w:t>5</w:t>
            </w:r>
            <w:r>
              <w:rPr>
                <w:rFonts w:hint="default" w:ascii="Times New Roman" w:hAnsi="Times New Roman" w:eastAsia="宋体" w:cs="Times New Roman"/>
                <w:color w:val="auto"/>
                <w:kern w:val="2"/>
                <w:sz w:val="21"/>
                <w:szCs w:val="21"/>
                <w:shd w:val="clear" w:color="auto" w:fill="auto"/>
                <w:lang w:val="en-US"/>
              </w:rPr>
              <w:t>次以上</w:t>
            </w:r>
          </w:p>
        </w:tc>
        <w:tc>
          <w:tcPr>
            <w:tcW w:w="186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p>
        </w:tc>
      </w:tr>
      <w:tr>
        <w:trPr>
          <w:trHeight w:val="369" w:hRule="atLeast"/>
          <w:jc w:val="center"/>
        </w:trPr>
        <w:tc>
          <w:tcPr>
            <w:tcW w:w="138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804"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18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04"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18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3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04"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18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3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04"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18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69" w:hRule="atLeast"/>
          <w:jc w:val="center"/>
        </w:trPr>
        <w:tc>
          <w:tcPr>
            <w:tcW w:w="138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804" w:type="dxa"/>
            <w:vAlign w:val="center"/>
          </w:tcPr>
          <w:p>
            <w:pPr>
              <w:shd w:val="clear" w:color="auto" w:fill="auto"/>
              <w:snapToGrid w:val="0"/>
              <w:spacing w:before="0" w:beforeAutospacing="0" w:after="0" w:afterAutospacing="0" w:line="320" w:lineRule="exact"/>
              <w:ind w:left="0" w:right="0" w:firstLine="2310" w:firstLineChars="1100"/>
              <w:jc w:val="both"/>
              <w:rPr>
                <w:rFonts w:hint="default" w:ascii="Times New Roman" w:hAnsi="Times New Roman"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登记管理</w:t>
            </w:r>
          </w:p>
        </w:tc>
        <w:tc>
          <w:tcPr>
            <w:tcW w:w="18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0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18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69" w:hRule="atLeast"/>
          <w:jc w:val="center"/>
        </w:trPr>
        <w:tc>
          <w:tcPr>
            <w:tcW w:w="13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04" w:type="dxa"/>
            <w:vAlign w:val="center"/>
          </w:tcPr>
          <w:p>
            <w:pPr>
              <w:shd w:val="clear" w:color="auto" w:fill="auto"/>
              <w:snapToGrid w:val="0"/>
              <w:spacing w:before="0" w:beforeAutospacing="0" w:after="0" w:afterAutospacing="0" w:line="320" w:lineRule="exact"/>
              <w:ind w:left="0" w:right="0" w:firstLine="2310" w:firstLineChars="1100"/>
              <w:jc w:val="both"/>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rPr>
              <w:t>重点管理</w:t>
            </w:r>
          </w:p>
        </w:tc>
        <w:tc>
          <w:tcPr>
            <w:tcW w:w="18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8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804"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18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04"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18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04"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18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8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80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18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0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18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3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0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18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38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0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18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8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7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对于“违法所得10万元以上”的情形，法定处罚金额上限M=违法所得×5，法定处罚金额下限N=违法所得×1。</w:t>
            </w:r>
          </w:p>
        </w:tc>
      </w:tr>
    </w:tbl>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rPr>
          <w:trHeight w:val="284" w:hRule="atLeast"/>
        </w:trPr>
        <w:tc>
          <w:tcPr>
            <w:tcW w:w="9060" w:type="dxa"/>
            <w:gridSpan w:val="3"/>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250"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312" w:name="_Toc27099"/>
            <w:r>
              <w:rPr>
                <w:rFonts w:hint="default" w:ascii="Times New Roman" w:hAnsi="Times New Roman" w:cs="Times New Roman"/>
                <w:color w:val="auto"/>
                <w:sz w:val="20"/>
                <w:szCs w:val="20"/>
                <w:shd w:val="clear" w:color="auto" w:fill="auto"/>
              </w:rPr>
              <w:t>14</w:t>
            </w:r>
            <w:bookmarkEnd w:id="312"/>
          </w:p>
        </w:tc>
      </w:tr>
      <w:tr>
        <w:trPr>
          <w:trHeight w:val="284"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top"/>
          </w:tcPr>
          <w:p>
            <w:pPr>
              <w:pStyle w:val="18"/>
              <w:shd w:val="clear" w:color="auto" w:fill="auto"/>
              <w:snapToGrid w:val="0"/>
              <w:spacing w:before="0" w:beforeAutospacing="0" w:after="0" w:afterAutospacing="0" w:line="320" w:lineRule="exact"/>
              <w:ind w:left="0" w:right="0" w:firstLine="420"/>
              <w:outlineLvl w:val="9"/>
              <w:rPr>
                <w:rFonts w:hint="default" w:ascii="Times New Roman" w:hAnsi="Times New Roman" w:cs="Times New Roman"/>
                <w:color w:val="auto"/>
                <w:sz w:val="21"/>
                <w:szCs w:val="21"/>
                <w:shd w:val="clear" w:color="auto" w:fill="auto"/>
              </w:rPr>
            </w:pPr>
            <w:bookmarkStart w:id="313" w:name="_Toc1190"/>
            <w:r>
              <w:rPr>
                <w:rFonts w:hint="default" w:ascii="Times New Roman" w:hAnsi="Times New Roman" w:cs="Times New Roman"/>
                <w:color w:val="auto"/>
                <w:sz w:val="21"/>
                <w:szCs w:val="21"/>
                <w:shd w:val="clear" w:color="auto" w:fill="auto"/>
              </w:rPr>
              <w:t>生产、销售、使用放射性同位素和射线装置的单位改变所从事活动的种类或者范围以及新建、改建或者扩建生产、销售、使用设施或者场所，未按照规定重新申请领取许可证的</w:t>
            </w:r>
            <w:bookmarkEnd w:id="313"/>
          </w:p>
        </w:tc>
      </w:tr>
      <w:tr>
        <w:trPr>
          <w:trHeight w:val="1430"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center"/>
          </w:tcPr>
          <w:p>
            <w:pPr>
              <w:pStyle w:val="18"/>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《放射性同位素与射线装置安全和防护条例》第十二条</w:t>
            </w:r>
            <w:r>
              <w:rPr>
                <w:rFonts w:hint="default" w:ascii="Times New Roman" w:hAnsi="Times New Roman" w:cs="Times New Roman"/>
                <w:color w:val="auto"/>
                <w:sz w:val="21"/>
                <w:szCs w:val="21"/>
                <w:shd w:val="clear" w:color="auto" w:fill="auto"/>
              </w:rPr>
              <w:t xml:space="preserve">  有下列情形之一的，持证单位应当按照原申请程序，重新申请领取许可证：</w:t>
            </w:r>
          </w:p>
          <w:p>
            <w:pPr>
              <w:pStyle w:val="18"/>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（一）改变所从事活动的种类或者范围的；</w:t>
            </w:r>
          </w:p>
          <w:p>
            <w:pPr>
              <w:pStyle w:val="18"/>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（二）新建或者改建、扩建生产、销售、使用设施或者场所的。</w:t>
            </w:r>
          </w:p>
        </w:tc>
      </w:tr>
      <w:tr>
        <w:trPr>
          <w:trHeight w:val="2730"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center"/>
          </w:tcPr>
          <w:p>
            <w:pPr>
              <w:pStyle w:val="18"/>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《放射性同位素与射线装置安全和防护条例》第五十二条第（三）项  </w:t>
            </w:r>
            <w:r>
              <w:rPr>
                <w:rFonts w:hint="default" w:ascii="Times New Roman" w:hAnsi="Times New Roman" w:cs="Times New Roman"/>
                <w:color w:val="auto"/>
                <w:sz w:val="21"/>
                <w:szCs w:val="21"/>
                <w:shd w:val="clear" w:color="auto" w:fill="auto"/>
              </w:rPr>
              <w:t>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p>
          <w:p>
            <w:pPr>
              <w:pStyle w:val="18"/>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（三）改变所从事活动的种类或者范围以及新建、改建或者扩建生产、销售、使用设施或者场所，未按照规定重新申请领取许可证的。</w:t>
            </w:r>
          </w:p>
        </w:tc>
      </w:tr>
      <w:tr>
        <w:trPr>
          <w:trHeight w:val="284"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★无违法所得</w:t>
            </w:r>
            <w:r>
              <w:rPr>
                <w:rFonts w:hint="default" w:ascii="Times New Roman" w:hAnsi="Times New Roman" w:cs="Times New Roman"/>
                <w:b/>
                <w:bCs/>
                <w:color w:val="auto"/>
                <w:sz w:val="20"/>
                <w:szCs w:val="20"/>
                <w:shd w:val="clear" w:color="auto" w:fill="auto"/>
                <w:lang w:val="en-US"/>
              </w:rPr>
              <w:t>或</w:t>
            </w:r>
            <w:r>
              <w:rPr>
                <w:rFonts w:hint="default" w:ascii="Times New Roman" w:hAnsi="Times New Roman" w:cs="Times New Roman"/>
                <w:b/>
                <w:bCs/>
                <w:color w:val="auto"/>
                <w:sz w:val="20"/>
                <w:szCs w:val="20"/>
                <w:shd w:val="clear" w:color="auto" w:fill="auto"/>
              </w:rPr>
              <w:t>违法所得不足10万元</w:t>
            </w:r>
          </w:p>
        </w:tc>
        <w:tc>
          <w:tcPr>
            <w:tcW w:w="5130" w:type="dxa"/>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无违法所得</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w:t>
            </w:r>
            <w:r>
              <w:rPr>
                <w:rFonts w:hint="default" w:ascii="Times New Roman" w:hAnsi="Times New Roman" w:cs="Times New Roman"/>
                <w:color w:val="auto"/>
                <w:kern w:val="0"/>
                <w:sz w:val="20"/>
                <w:szCs w:val="20"/>
                <w:shd w:val="clear" w:color="auto" w:fill="auto"/>
              </w:rPr>
              <w:t>5万元</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w:t>
            </w:r>
            <w:r>
              <w:rPr>
                <w:rFonts w:hint="default" w:ascii="Times New Roman" w:hAnsi="Times New Roman" w:cs="Times New Roman"/>
                <w:color w:val="auto"/>
                <w:kern w:val="0"/>
                <w:sz w:val="20"/>
                <w:szCs w:val="20"/>
                <w:shd w:val="clear" w:color="auto" w:fill="auto"/>
              </w:rPr>
              <w:t>5万元</w:t>
            </w:r>
            <w:r>
              <w:rPr>
                <w:rFonts w:hint="default" w:ascii="Times New Roman" w:hAnsi="Times New Roman" w:cs="Times New Roman"/>
                <w:color w:val="auto"/>
                <w:kern w:val="0"/>
                <w:sz w:val="20"/>
                <w:szCs w:val="20"/>
                <w:shd w:val="clear" w:color="auto" w:fill="auto"/>
                <w:lang w:val="en-US"/>
              </w:rPr>
              <w:t>以上</w:t>
            </w:r>
            <w:r>
              <w:rPr>
                <w:rFonts w:hint="default" w:ascii="Times New Roman" w:hAnsi="Times New Roman" w:cs="Times New Roman"/>
                <w:color w:val="auto"/>
                <w:kern w:val="0"/>
                <w:sz w:val="20"/>
                <w:szCs w:val="20"/>
                <w:shd w:val="clear" w:color="auto" w:fill="auto"/>
              </w:rPr>
              <w:t>10万元</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★违法所得10万元</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以上</w:t>
            </w:r>
          </w:p>
        </w:tc>
        <w:tc>
          <w:tcPr>
            <w:tcW w:w="5130" w:type="dxa"/>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w:t>
            </w:r>
            <w:r>
              <w:rPr>
                <w:rFonts w:hint="default" w:ascii="Times New Roman" w:hAnsi="Times New Roman" w:cs="Times New Roman"/>
                <w:color w:val="auto"/>
                <w:kern w:val="0"/>
                <w:sz w:val="20"/>
                <w:szCs w:val="20"/>
                <w:shd w:val="clear" w:color="auto" w:fill="auto"/>
              </w:rPr>
              <w:t>10万元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上</w:t>
            </w:r>
            <w:r>
              <w:rPr>
                <w:rFonts w:hint="default" w:ascii="Times New Roman" w:hAnsi="Times New Roman" w:cs="Times New Roman"/>
                <w:color w:val="auto"/>
                <w:kern w:val="0"/>
                <w:sz w:val="20"/>
                <w:szCs w:val="20"/>
                <w:shd w:val="clear" w:color="auto" w:fill="auto"/>
              </w:rPr>
              <w:t>20万元</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违法所得2</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上</w:t>
            </w:r>
            <w:r>
              <w:rPr>
                <w:rFonts w:hint="default" w:ascii="Times New Roman" w:hAnsi="Times New Roman" w:cs="Times New Roman"/>
                <w:color w:val="auto"/>
                <w:kern w:val="0"/>
                <w:sz w:val="20"/>
                <w:szCs w:val="20"/>
                <w:shd w:val="clear" w:color="auto" w:fill="auto"/>
                <w:lang/>
              </w:rPr>
              <w:t>3</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违法所得3</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上</w:t>
            </w:r>
            <w:r>
              <w:rPr>
                <w:rFonts w:hint="default" w:ascii="Times New Roman" w:hAnsi="Times New Roman" w:cs="Times New Roman"/>
                <w:color w:val="auto"/>
                <w:kern w:val="0"/>
                <w:sz w:val="20"/>
                <w:szCs w:val="20"/>
                <w:shd w:val="clear" w:color="auto" w:fill="auto"/>
              </w:rPr>
              <w:t>40万元</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违法所得4</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上</w:t>
            </w:r>
            <w:r>
              <w:rPr>
                <w:rFonts w:hint="default" w:ascii="Times New Roman" w:hAnsi="Times New Roman" w:cs="Times New Roman"/>
                <w:color w:val="auto"/>
                <w:kern w:val="0"/>
                <w:sz w:val="20"/>
                <w:szCs w:val="20"/>
                <w:shd w:val="clear" w:color="auto" w:fill="auto"/>
                <w:lang/>
              </w:rPr>
              <w:t>5</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违法所得50万元以上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类型</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Ⅳ类、Ⅴ类放射源或Ⅲ类射线装置的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kern w:val="2"/>
                <w:sz w:val="21"/>
                <w:szCs w:val="21"/>
                <w:shd w:val="clear" w:color="auto" w:fill="auto"/>
              </w:rPr>
            </w:pPr>
            <w:r>
              <w:rPr>
                <w:rFonts w:hint="default" w:ascii="Times New Roman" w:hAnsi="Times New Roman" w:cs="Times New Roman"/>
                <w:color w:val="auto"/>
                <w:sz w:val="21"/>
                <w:szCs w:val="21"/>
                <w:shd w:val="clear" w:color="auto" w:fill="auto"/>
              </w:rPr>
              <w:t>Ⅲ类放射源或Ⅱ类射线装置的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kern w:val="2"/>
                <w:sz w:val="21"/>
                <w:szCs w:val="21"/>
                <w:shd w:val="clear" w:color="auto" w:fill="auto"/>
              </w:rPr>
            </w:pPr>
            <w:r>
              <w:rPr>
                <w:rFonts w:hint="default" w:ascii="Times New Roman" w:hAnsi="Times New Roman" w:cs="Times New Roman"/>
                <w:color w:val="auto"/>
                <w:sz w:val="21"/>
                <w:szCs w:val="21"/>
                <w:shd w:val="clear" w:color="auto" w:fill="auto"/>
              </w:rPr>
              <w:t>Ⅰ类、Ⅱ类放射源或Ⅰ类射线装置的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非密封放射性物质工作场所分类</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丙级工作场所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乙级工作场所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甲级工作场所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工作场所防护情况</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有防护措施</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有防护措施但不完备</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无防护措施</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8"/>
              <w:spacing w:before="0" w:beforeAutospacing="0" w:after="0" w:afterAutospacing="0"/>
              <w:ind w:left="0" w:right="0"/>
              <w:jc w:val="center"/>
              <w:rPr>
                <w:rFonts w:hint="default" w:ascii="Times New Roman" w:hAnsi="Times New Roman" w:cs="Times New Roman"/>
                <w:color w:val="auto"/>
                <w:kern w:val="2"/>
                <w:sz w:val="21"/>
                <w:szCs w:val="21"/>
                <w:shd w:val="clear" w:color="auto" w:fill="auto"/>
                <w:lang w:eastAsia="zh-CN"/>
              </w:rPr>
            </w:pPr>
            <w:r>
              <w:rPr>
                <w:rFonts w:hint="default" w:ascii="Times New Roman" w:hAnsi="Times New Roman" w:cs="Times New Roman"/>
                <w:color w:val="auto"/>
                <w:kern w:val="2"/>
                <w:sz w:val="21"/>
                <w:szCs w:val="21"/>
                <w:shd w:val="clear" w:color="auto" w:fill="auto"/>
                <w:lang w:val="en-US" w:eastAsia="zh-CN"/>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改正时间</w:t>
            </w:r>
          </w:p>
        </w:tc>
        <w:tc>
          <w:tcPr>
            <w:tcW w:w="513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eastAsia"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4</w:t>
            </w:r>
          </w:p>
        </w:tc>
      </w:tr>
      <w:tr>
        <w:trPr>
          <w:trHeight w:val="397"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84"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6"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对于“违法所得10万元以上”的情形，法定处罚金额上限M=违法所得×5，法定处罚金额下限N=违法所得×1。</w:t>
            </w:r>
          </w:p>
        </w:tc>
      </w:tr>
    </w:tbl>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6"/>
        <w:gridCol w:w="2646"/>
      </w:tblGrid>
      <w:tr>
        <w:trPr>
          <w:trHeight w:val="340" w:hRule="atLeast"/>
        </w:trPr>
        <w:tc>
          <w:tcPr>
            <w:tcW w:w="9060" w:type="dxa"/>
            <w:gridSpan w:val="3"/>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4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15</w:t>
            </w:r>
          </w:p>
        </w:tc>
      </w:tr>
      <w:tr>
        <w:trPr>
          <w:trHeight w:val="34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top"/>
          </w:tcPr>
          <w:p>
            <w:pPr>
              <w:pStyle w:val="18"/>
              <w:shd w:val="clear" w:color="auto" w:fill="auto"/>
              <w:snapToGrid w:val="0"/>
              <w:spacing w:before="0" w:beforeAutospacing="0" w:after="0" w:afterAutospacing="0" w:line="320" w:lineRule="exact"/>
              <w:ind w:left="0" w:right="0" w:firstLine="420"/>
              <w:outlineLvl w:val="9"/>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生产、销售、使用放射性同位素和射线装置的单位许可证有效期届满，需要延续而未按照规定办理延续手续的</w:t>
            </w:r>
          </w:p>
        </w:tc>
      </w:tr>
      <w:tr>
        <w:trPr>
          <w:trHeight w:val="34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《放射性同位素与射线装置安全和防护条例》第十三条</w:t>
            </w:r>
            <w:r>
              <w:rPr>
                <w:rFonts w:hint="default" w:ascii="Times New Roman" w:hAnsi="Times New Roman" w:cs="Times New Roman"/>
                <w:color w:val="auto"/>
                <w:sz w:val="21"/>
                <w:szCs w:val="21"/>
                <w:shd w:val="clear" w:color="auto" w:fill="auto"/>
              </w:rPr>
              <w:t xml:space="preserve">  许可证有效期为5年。有效期届满，需要延续的，持证单位应当于许可证有效期届满30日前，向原发证机关提出延续申请。原发证机关应当自受理延续申请之日起，在许可证有效期届满前完成审查，符合条件的，予以延续；不符合条件的，书面通知申请单位并说明理由。</w:t>
            </w:r>
          </w:p>
        </w:tc>
      </w:tr>
      <w:tr>
        <w:trPr>
          <w:trHeight w:val="34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《放射性同位素与射线装置安全和防护条例》第五十二条第（四）项  </w:t>
            </w:r>
            <w:r>
              <w:rPr>
                <w:rFonts w:hint="default" w:ascii="Times New Roman" w:hAnsi="Times New Roman" w:cs="Times New Roman"/>
                <w:color w:val="auto"/>
                <w:sz w:val="21"/>
                <w:szCs w:val="21"/>
                <w:shd w:val="clear" w:color="auto" w:fill="auto"/>
              </w:rPr>
              <w:t>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p>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（四）许可证有效期届满，需要延续而未按照规定办理延续手续的。</w:t>
            </w:r>
          </w:p>
        </w:tc>
      </w:tr>
      <w:tr>
        <w:trPr>
          <w:trHeight w:val="386"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86"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★无违法所得</w:t>
            </w:r>
            <w:r>
              <w:rPr>
                <w:rFonts w:hint="default" w:ascii="Times New Roman" w:hAnsi="Times New Roman" w:cs="Times New Roman"/>
                <w:b/>
                <w:bCs/>
                <w:color w:val="auto"/>
                <w:sz w:val="20"/>
                <w:szCs w:val="20"/>
                <w:shd w:val="clear" w:color="auto" w:fill="auto"/>
                <w:lang w:val="en-US"/>
              </w:rPr>
              <w:t>或</w:t>
            </w:r>
            <w:r>
              <w:rPr>
                <w:rFonts w:hint="default" w:ascii="Times New Roman" w:hAnsi="Times New Roman" w:cs="Times New Roman"/>
                <w:b/>
                <w:bCs/>
                <w:color w:val="auto"/>
                <w:sz w:val="20"/>
                <w:szCs w:val="20"/>
                <w:shd w:val="clear" w:color="auto" w:fill="auto"/>
              </w:rPr>
              <w:t>违法所得不足10万元</w:t>
            </w:r>
          </w:p>
        </w:tc>
        <w:tc>
          <w:tcPr>
            <w:tcW w:w="5046" w:type="dxa"/>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无违法所得</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w:t>
            </w:r>
            <w:r>
              <w:rPr>
                <w:rFonts w:hint="default" w:ascii="Times New Roman" w:hAnsi="Times New Roman" w:cs="Times New Roman"/>
                <w:color w:val="auto"/>
                <w:kern w:val="0"/>
                <w:sz w:val="20"/>
                <w:szCs w:val="20"/>
                <w:shd w:val="clear" w:color="auto" w:fill="auto"/>
              </w:rPr>
              <w:t>5万元</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w:t>
            </w:r>
            <w:r>
              <w:rPr>
                <w:rFonts w:hint="default" w:ascii="Times New Roman" w:hAnsi="Times New Roman" w:cs="Times New Roman"/>
                <w:color w:val="auto"/>
                <w:kern w:val="0"/>
                <w:sz w:val="20"/>
                <w:szCs w:val="20"/>
                <w:shd w:val="clear" w:color="auto" w:fill="auto"/>
              </w:rPr>
              <w:t>5万元</w:t>
            </w:r>
            <w:r>
              <w:rPr>
                <w:rFonts w:hint="default" w:ascii="Times New Roman" w:hAnsi="Times New Roman" w:cs="Times New Roman"/>
                <w:color w:val="auto"/>
                <w:kern w:val="0"/>
                <w:sz w:val="20"/>
                <w:szCs w:val="20"/>
                <w:shd w:val="clear" w:color="auto" w:fill="auto"/>
                <w:lang w:val="en-US"/>
              </w:rPr>
              <w:t>以上</w:t>
            </w:r>
            <w:r>
              <w:rPr>
                <w:rFonts w:hint="default" w:ascii="Times New Roman" w:hAnsi="Times New Roman" w:cs="Times New Roman"/>
                <w:color w:val="auto"/>
                <w:kern w:val="0"/>
                <w:sz w:val="20"/>
                <w:szCs w:val="20"/>
                <w:shd w:val="clear" w:color="auto" w:fill="auto"/>
              </w:rPr>
              <w:t>10万元</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★违法所得10万元</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以上</w:t>
            </w:r>
          </w:p>
        </w:tc>
        <w:tc>
          <w:tcPr>
            <w:tcW w:w="5046" w:type="dxa"/>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w:t>
            </w:r>
            <w:r>
              <w:rPr>
                <w:rFonts w:hint="default" w:ascii="Times New Roman" w:hAnsi="Times New Roman" w:cs="Times New Roman"/>
                <w:color w:val="auto"/>
                <w:kern w:val="0"/>
                <w:sz w:val="20"/>
                <w:szCs w:val="20"/>
                <w:shd w:val="clear" w:color="auto" w:fill="auto"/>
              </w:rPr>
              <w:t>10万元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上</w:t>
            </w:r>
            <w:r>
              <w:rPr>
                <w:rFonts w:hint="default" w:ascii="Times New Roman" w:hAnsi="Times New Roman" w:cs="Times New Roman"/>
                <w:color w:val="auto"/>
                <w:kern w:val="0"/>
                <w:sz w:val="20"/>
                <w:szCs w:val="20"/>
                <w:shd w:val="clear" w:color="auto" w:fill="auto"/>
              </w:rPr>
              <w:t>20万元</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违法所得2</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上</w:t>
            </w:r>
            <w:r>
              <w:rPr>
                <w:rFonts w:hint="default" w:ascii="Times New Roman" w:hAnsi="Times New Roman" w:cs="Times New Roman"/>
                <w:color w:val="auto"/>
                <w:kern w:val="0"/>
                <w:sz w:val="20"/>
                <w:szCs w:val="20"/>
                <w:shd w:val="clear" w:color="auto" w:fill="auto"/>
                <w:lang/>
              </w:rPr>
              <w:t>3</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违法所得3</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上</w:t>
            </w:r>
            <w:r>
              <w:rPr>
                <w:rFonts w:hint="default" w:ascii="Times New Roman" w:hAnsi="Times New Roman" w:cs="Times New Roman"/>
                <w:color w:val="auto"/>
                <w:kern w:val="0"/>
                <w:sz w:val="20"/>
                <w:szCs w:val="20"/>
                <w:shd w:val="clear" w:color="auto" w:fill="auto"/>
              </w:rPr>
              <w:t>40万元</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违法所得4</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上</w:t>
            </w:r>
            <w:r>
              <w:rPr>
                <w:rFonts w:hint="default" w:ascii="Times New Roman" w:hAnsi="Times New Roman" w:cs="Times New Roman"/>
                <w:color w:val="auto"/>
                <w:kern w:val="0"/>
                <w:sz w:val="20"/>
                <w:szCs w:val="20"/>
                <w:shd w:val="clear" w:color="auto" w:fill="auto"/>
                <w:lang/>
              </w:rPr>
              <w:t>5</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违法所得50万元以上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类型</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Ⅳ类、Ⅴ类放射源或Ⅲ类射线装置的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Ⅲ类放射源或Ⅱ类射线装置的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Ⅰ类、Ⅱ类放射源或Ⅰ类射线装置的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非密封放射性物质工作场所分类</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丙级工作场所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乙级工作场所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甲级工作场所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86"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86"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86"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86"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40"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046"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40"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046"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 xml:space="preserve"> </w:t>
            </w: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0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40"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40"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40"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40"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受处罚次数</w:t>
            </w:r>
          </w:p>
        </w:tc>
        <w:tc>
          <w:tcPr>
            <w:tcW w:w="5046"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40"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40"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对于“违法所得10万元以上”的情形，法定处罚金额上限M=违法所得×5，法定处罚金额下限N=违法所得×1。</w:t>
            </w: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p>
      <w:pPr>
        <w:shd w:val="clear" w:color="auto" w:fill="auto"/>
        <w:snapToGrid w:val="0"/>
        <w:spacing w:line="20" w:lineRule="exact"/>
        <w:rPr>
          <w:rFonts w:hint="default" w:ascii="Times New Roman" w:hAnsi="Times New Roman" w:cs="Times New Roman"/>
          <w:color w:val="auto"/>
          <w:shd w:val="clear" w:color="auto" w:fill="auto"/>
        </w:rPr>
      </w:pP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6"/>
        <w:gridCol w:w="2646"/>
      </w:tblGrid>
      <w:tr>
        <w:trPr>
          <w:trHeight w:val="340" w:hRule="atLeast"/>
        </w:trPr>
        <w:tc>
          <w:tcPr>
            <w:tcW w:w="9060" w:type="dxa"/>
            <w:gridSpan w:val="3"/>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4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314" w:name="_Toc29127"/>
            <w:r>
              <w:rPr>
                <w:rFonts w:hint="default" w:ascii="Times New Roman" w:hAnsi="Times New Roman" w:cs="Times New Roman"/>
                <w:color w:val="auto"/>
                <w:sz w:val="20"/>
                <w:szCs w:val="20"/>
                <w:shd w:val="clear" w:color="auto" w:fill="auto"/>
              </w:rPr>
              <w:t>16</w:t>
            </w:r>
            <w:bookmarkEnd w:id="314"/>
          </w:p>
        </w:tc>
      </w:tr>
      <w:tr>
        <w:trPr>
          <w:trHeight w:val="34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top"/>
          </w:tcPr>
          <w:p>
            <w:pPr>
              <w:pStyle w:val="18"/>
              <w:shd w:val="clear" w:color="auto" w:fill="auto"/>
              <w:snapToGrid w:val="0"/>
              <w:spacing w:before="0" w:beforeAutospacing="0" w:after="0" w:afterAutospacing="0" w:line="320" w:lineRule="exact"/>
              <w:ind w:left="0" w:right="0" w:firstLine="420"/>
              <w:outlineLvl w:val="9"/>
              <w:rPr>
                <w:rFonts w:hint="default" w:ascii="Times New Roman" w:hAnsi="Times New Roman" w:cs="Times New Roman"/>
                <w:color w:val="auto"/>
                <w:sz w:val="21"/>
                <w:szCs w:val="21"/>
                <w:shd w:val="clear" w:color="auto" w:fill="auto"/>
              </w:rPr>
            </w:pPr>
            <w:bookmarkStart w:id="315" w:name="_Toc15887"/>
            <w:r>
              <w:rPr>
                <w:rFonts w:hint="default" w:ascii="Times New Roman" w:hAnsi="Times New Roman" w:cs="Times New Roman"/>
                <w:color w:val="auto"/>
                <w:sz w:val="21"/>
                <w:szCs w:val="21"/>
                <w:shd w:val="clear" w:color="auto" w:fill="auto"/>
              </w:rPr>
              <w:t>生产、销售、使用放射性同位素和射线装置的单位未经批准，擅自进口或者转让放射性同位素的</w:t>
            </w:r>
            <w:bookmarkEnd w:id="315"/>
          </w:p>
        </w:tc>
      </w:tr>
      <w:tr>
        <w:trPr>
          <w:trHeight w:val="34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《放射性同位素与射线装置安全和防护条例》第十六条第二款 </w:t>
            </w:r>
            <w:r>
              <w:rPr>
                <w:rFonts w:hint="default" w:ascii="Times New Roman" w:hAnsi="Times New Roman" w:cs="Times New Roman"/>
                <w:color w:val="auto"/>
                <w:sz w:val="21"/>
                <w:szCs w:val="21"/>
                <w:shd w:val="clear" w:color="auto" w:fill="auto"/>
              </w:rPr>
              <w:t>进口列入限制进出口目录的放射性同位素，应当在国务院环境保护主管部门审查批准后，由国务院对外贸易主管部门依据国家对外贸易的有关规定签发进口许可证。进口限制进出口目录和禁止进出口目录之外的放射性同位素，依据国家对外贸易的有关规定办理进口手续。</w:t>
            </w:r>
          </w:p>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《放射性同位素与射线装置安全和防护条例》第十八条第一款 </w:t>
            </w:r>
            <w:r>
              <w:rPr>
                <w:rFonts w:hint="default" w:ascii="Times New Roman" w:hAnsi="Times New Roman" w:cs="Times New Roman"/>
                <w:color w:val="auto"/>
                <w:sz w:val="21"/>
                <w:szCs w:val="21"/>
                <w:shd w:val="clear" w:color="auto" w:fill="auto"/>
              </w:rPr>
              <w:t>进口列入限制进出口目录的放射性同位素的单位，应当向国务院环境保护主管部门提出进口申请，并提交符合本条例第十七条规定要求的证明材料。</w:t>
            </w:r>
          </w:p>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《放射性同位素与射线装置安全和防护条例》第二十条</w:t>
            </w:r>
            <w:r>
              <w:rPr>
                <w:rFonts w:hint="default" w:ascii="Times New Roman" w:hAnsi="Times New Roman" w:cs="Times New Roman"/>
                <w:b/>
                <w:bCs/>
                <w:color w:val="auto"/>
                <w:sz w:val="21"/>
                <w:szCs w:val="21"/>
                <w:shd w:val="clear" w:color="auto" w:fill="auto"/>
                <w:lang w:eastAsia="zh-CN"/>
              </w:rPr>
              <w:t>第一款</w:t>
            </w:r>
            <w:r>
              <w:rPr>
                <w:rFonts w:hint="default" w:ascii="Times New Roman" w:hAnsi="Times New Roman" w:cs="Times New Roman"/>
                <w:b/>
                <w:bCs/>
                <w:color w:val="auto"/>
                <w:sz w:val="21"/>
                <w:szCs w:val="21"/>
                <w:shd w:val="clear" w:color="auto" w:fill="auto"/>
              </w:rPr>
              <w:t xml:space="preserve"> </w:t>
            </w:r>
            <w:r>
              <w:rPr>
                <w:rFonts w:hint="default" w:ascii="Times New Roman" w:hAnsi="Times New Roman" w:cs="Times New Roman"/>
                <w:color w:val="auto"/>
                <w:sz w:val="21"/>
                <w:szCs w:val="21"/>
                <w:shd w:val="clear" w:color="auto" w:fill="auto"/>
              </w:rPr>
              <w:t>转让放射性同位素，由转入单位向其所在地省、自治区、直辖市人民政府环境保护主管部门提出申请，并提交符合本条例第十九条规定要求的证明材料。</w:t>
            </w:r>
          </w:p>
        </w:tc>
      </w:tr>
      <w:tr>
        <w:trPr>
          <w:trHeight w:val="340"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《放射性同位素与射线装置安全和防护条例》第五十二条第（五）项 </w:t>
            </w:r>
            <w:r>
              <w:rPr>
                <w:rFonts w:hint="default" w:ascii="Times New Roman" w:hAnsi="Times New Roman" w:cs="Times New Roman"/>
                <w:color w:val="auto"/>
                <w:sz w:val="21"/>
                <w:szCs w:val="21"/>
                <w:shd w:val="clear" w:color="auto" w:fill="auto"/>
              </w:rPr>
              <w:t>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p>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（五）未经批准，擅自进口或者转让放射性同位素的。</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★无违法所得</w:t>
            </w:r>
            <w:r>
              <w:rPr>
                <w:rFonts w:hint="default" w:ascii="Times New Roman" w:hAnsi="Times New Roman" w:cs="Times New Roman"/>
                <w:b/>
                <w:bCs/>
                <w:color w:val="auto"/>
                <w:sz w:val="20"/>
                <w:szCs w:val="20"/>
                <w:shd w:val="clear" w:color="auto" w:fill="auto"/>
                <w:lang w:val="en-US"/>
              </w:rPr>
              <w:t>或</w:t>
            </w:r>
            <w:r>
              <w:rPr>
                <w:rFonts w:hint="default" w:ascii="Times New Roman" w:hAnsi="Times New Roman" w:cs="Times New Roman"/>
                <w:b/>
                <w:bCs/>
                <w:color w:val="auto"/>
                <w:sz w:val="20"/>
                <w:szCs w:val="20"/>
                <w:shd w:val="clear" w:color="auto" w:fill="auto"/>
              </w:rPr>
              <w:t>违法所得不足10万元</w:t>
            </w:r>
          </w:p>
        </w:tc>
        <w:tc>
          <w:tcPr>
            <w:tcW w:w="5046" w:type="dxa"/>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无违法所得</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w:t>
            </w:r>
            <w:r>
              <w:rPr>
                <w:rFonts w:hint="default" w:ascii="Times New Roman" w:hAnsi="Times New Roman" w:cs="Times New Roman"/>
                <w:color w:val="auto"/>
                <w:kern w:val="0"/>
                <w:sz w:val="20"/>
                <w:szCs w:val="20"/>
                <w:shd w:val="clear" w:color="auto" w:fill="auto"/>
              </w:rPr>
              <w:t>5万元</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w:t>
            </w:r>
            <w:r>
              <w:rPr>
                <w:rFonts w:hint="default" w:ascii="Times New Roman" w:hAnsi="Times New Roman" w:cs="Times New Roman"/>
                <w:color w:val="auto"/>
                <w:kern w:val="0"/>
                <w:sz w:val="20"/>
                <w:szCs w:val="20"/>
                <w:shd w:val="clear" w:color="auto" w:fill="auto"/>
              </w:rPr>
              <w:t>5万元</w:t>
            </w:r>
            <w:r>
              <w:rPr>
                <w:rFonts w:hint="default" w:ascii="Times New Roman" w:hAnsi="Times New Roman" w:cs="Times New Roman"/>
                <w:color w:val="auto"/>
                <w:kern w:val="0"/>
                <w:sz w:val="20"/>
                <w:szCs w:val="20"/>
                <w:shd w:val="clear" w:color="auto" w:fill="auto"/>
                <w:lang w:val="en-US"/>
              </w:rPr>
              <w:t>以上</w:t>
            </w:r>
            <w:r>
              <w:rPr>
                <w:rFonts w:hint="default" w:ascii="Times New Roman" w:hAnsi="Times New Roman" w:cs="Times New Roman"/>
                <w:color w:val="auto"/>
                <w:kern w:val="0"/>
                <w:sz w:val="20"/>
                <w:szCs w:val="20"/>
                <w:shd w:val="clear" w:color="auto" w:fill="auto"/>
              </w:rPr>
              <w:t>10万元</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★违法所得10万元</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以上</w:t>
            </w:r>
          </w:p>
        </w:tc>
        <w:tc>
          <w:tcPr>
            <w:tcW w:w="5046" w:type="dxa"/>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w:t>
            </w:r>
            <w:r>
              <w:rPr>
                <w:rFonts w:hint="default" w:ascii="Times New Roman" w:hAnsi="Times New Roman" w:cs="Times New Roman"/>
                <w:color w:val="auto"/>
                <w:kern w:val="0"/>
                <w:sz w:val="20"/>
                <w:szCs w:val="20"/>
                <w:shd w:val="clear" w:color="auto" w:fill="auto"/>
              </w:rPr>
              <w:t>10万元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上</w:t>
            </w:r>
            <w:r>
              <w:rPr>
                <w:rFonts w:hint="default" w:ascii="Times New Roman" w:hAnsi="Times New Roman" w:cs="Times New Roman"/>
                <w:color w:val="auto"/>
                <w:kern w:val="0"/>
                <w:sz w:val="20"/>
                <w:szCs w:val="20"/>
                <w:shd w:val="clear" w:color="auto" w:fill="auto"/>
              </w:rPr>
              <w:t>20万元</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违法所得2</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上</w:t>
            </w:r>
            <w:r>
              <w:rPr>
                <w:rFonts w:hint="default" w:ascii="Times New Roman" w:hAnsi="Times New Roman" w:cs="Times New Roman"/>
                <w:color w:val="auto"/>
                <w:kern w:val="0"/>
                <w:sz w:val="20"/>
                <w:szCs w:val="20"/>
                <w:shd w:val="clear" w:color="auto" w:fill="auto"/>
                <w:lang/>
              </w:rPr>
              <w:t>3</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违法所得3</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上</w:t>
            </w:r>
            <w:r>
              <w:rPr>
                <w:rFonts w:hint="default" w:ascii="Times New Roman" w:hAnsi="Times New Roman" w:cs="Times New Roman"/>
                <w:color w:val="auto"/>
                <w:kern w:val="0"/>
                <w:sz w:val="20"/>
                <w:szCs w:val="20"/>
                <w:shd w:val="clear" w:color="auto" w:fill="auto"/>
              </w:rPr>
              <w:t>40万元</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违法所得4</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上</w:t>
            </w:r>
            <w:r>
              <w:rPr>
                <w:rFonts w:hint="default" w:ascii="Times New Roman" w:hAnsi="Times New Roman" w:cs="Times New Roman"/>
                <w:color w:val="auto"/>
                <w:kern w:val="0"/>
                <w:sz w:val="20"/>
                <w:szCs w:val="20"/>
                <w:shd w:val="clear" w:color="auto" w:fill="auto"/>
                <w:lang/>
              </w:rPr>
              <w:t>5</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违法所得50万元以上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类型</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Ⅳ类、Ⅴ类放射源或Ⅲ类射线装置的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Ⅲ类放射源或Ⅱ类射线装置的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Ⅰ类、Ⅱ类放射源或Ⅰ类射线装置的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非密封放射性物质工作场所分类</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丙级工作场所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乙级工作场所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甲级工作场所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工作场所</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防护情况</w:t>
            </w: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有防护措施</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有防护措施但不完备</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无防护措施</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r>
              <w:rPr>
                <w:rFonts w:hint="default" w:ascii="Times New Roman" w:hAnsi="Times New Roman" w:eastAsia="宋体" w:cs="Times New Roman"/>
                <w:color w:val="auto"/>
                <w:kern w:val="2"/>
                <w:sz w:val="21"/>
                <w:szCs w:val="21"/>
                <w:shd w:val="clear" w:color="auto" w:fill="auto"/>
                <w:lang w:val="en-US"/>
              </w:rPr>
              <w:t>次以上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046"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i w:val="0"/>
                <w:iCs w:val="0"/>
                <w:caps w:val="0"/>
                <w:color w:val="auto"/>
                <w:spacing w:val="0"/>
                <w:sz w:val="21"/>
                <w:szCs w:val="21"/>
                <w:shd w:val="clear" w:color="auto" w:fill="auto"/>
                <w:lang w:val="en-US" w:eastAsia="zh-CN"/>
              </w:rPr>
              <w:t xml:space="preserve"> </w:t>
            </w: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eastAsia" w:ascii="Times New Roman" w:hAnsi="Times New Roman" w:cs="Times New Roman"/>
                <w:i w:val="0"/>
                <w:iCs w:val="0"/>
                <w:caps w:val="0"/>
                <w:color w:val="auto"/>
                <w:spacing w:val="0"/>
                <w:sz w:val="21"/>
                <w:szCs w:val="21"/>
                <w:shd w:val="clear" w:color="auto" w:fill="auto"/>
                <w:lang w:val="en-US" w:eastAsia="zh-CN"/>
              </w:rPr>
              <w:t xml:space="preserve"> </w:t>
            </w: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eastAsia" w:ascii="Times New Roman" w:hAnsi="Times New Roman" w:cs="Times New Roman"/>
                <w:i w:val="0"/>
                <w:iCs w:val="0"/>
                <w:caps w:val="0"/>
                <w:color w:val="auto"/>
                <w:spacing w:val="0"/>
                <w:sz w:val="21"/>
                <w:szCs w:val="21"/>
                <w:shd w:val="clear" w:color="auto" w:fill="auto"/>
                <w:lang w:val="en-US" w:eastAsia="zh-CN"/>
              </w:rPr>
              <w:t xml:space="preserve"> </w:t>
            </w: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eastAsia" w:ascii="Times New Roman" w:hAnsi="Times New Roman" w:cs="Times New Roman"/>
                <w:i w:val="0"/>
                <w:iCs w:val="0"/>
                <w:caps w:val="0"/>
                <w:color w:val="auto"/>
                <w:spacing w:val="0"/>
                <w:sz w:val="21"/>
                <w:szCs w:val="21"/>
                <w:shd w:val="clear" w:color="auto" w:fill="auto"/>
                <w:lang w:val="en-US" w:eastAsia="zh-CN"/>
              </w:rPr>
              <w:t xml:space="preserve"> </w:t>
            </w: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046"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 xml:space="preserve">  </w:t>
            </w: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改正时间</w:t>
            </w:r>
          </w:p>
        </w:tc>
        <w:tc>
          <w:tcPr>
            <w:tcW w:w="50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eastAsia"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046"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对于“违法所得10万元以上”的情形，法定处罚金额上限M=违法所得×5，法定处罚金额下限N=违法所得×1。</w:t>
            </w:r>
          </w:p>
        </w:tc>
      </w:tr>
    </w:tbl>
    <w:p>
      <w:pPr>
        <w:shd w:val="clear" w:color="auto" w:fill="auto"/>
        <w:snapToGrid w:val="0"/>
        <w:spacing w:line="300" w:lineRule="exact"/>
        <w:rPr>
          <w:rFonts w:hint="default" w:ascii="Times New Roman" w:hAnsi="Times New Roman" w:cs="Times New Roman"/>
          <w:color w:val="auto"/>
          <w:shd w:val="clear" w:color="auto" w:fill="auto"/>
        </w:rPr>
      </w:pPr>
    </w:p>
    <w:p>
      <w:pPr>
        <w:shd w:val="clear" w:color="auto" w:fill="auto"/>
        <w:snapToGrid w:val="0"/>
        <w:spacing w:line="300" w:lineRule="exact"/>
        <w:rPr>
          <w:rFonts w:hint="default" w:ascii="Times New Roman" w:hAnsi="Times New Roman" w:cs="Times New Roman"/>
          <w:color w:val="auto"/>
          <w:shd w:val="clear" w:color="auto" w:fill="auto"/>
        </w:rPr>
      </w:pPr>
    </w:p>
    <w:p>
      <w:pPr>
        <w:shd w:val="clear" w:color="auto" w:fill="auto"/>
        <w:snapToGrid w:val="0"/>
        <w:spacing w:line="300" w:lineRule="exact"/>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c>
          <w:tcPr>
            <w:tcW w:w="9060" w:type="dxa"/>
            <w:gridSpan w:val="3"/>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316" w:name="_Toc3565"/>
            <w:r>
              <w:rPr>
                <w:rFonts w:hint="default" w:ascii="Times New Roman" w:hAnsi="Times New Roman" w:cs="Times New Roman"/>
                <w:color w:val="auto"/>
                <w:sz w:val="20"/>
                <w:szCs w:val="20"/>
                <w:shd w:val="clear" w:color="auto" w:fill="auto"/>
              </w:rPr>
              <w:t>17</w:t>
            </w:r>
            <w:bookmarkEnd w:id="316"/>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top"/>
          </w:tcPr>
          <w:p>
            <w:pPr>
              <w:pStyle w:val="18"/>
              <w:shd w:val="clear" w:color="auto" w:fill="auto"/>
              <w:spacing w:before="0" w:beforeAutospacing="0" w:after="0" w:afterAutospacing="0" w:line="320" w:lineRule="exact"/>
              <w:ind w:left="0" w:right="0" w:firstLine="420"/>
              <w:outlineLvl w:val="9"/>
              <w:rPr>
                <w:rFonts w:hint="default" w:ascii="Times New Roman" w:hAnsi="Times New Roman" w:cs="Times New Roman"/>
                <w:color w:val="auto"/>
                <w:sz w:val="21"/>
                <w:szCs w:val="21"/>
                <w:shd w:val="clear" w:color="auto" w:fill="auto"/>
              </w:rPr>
            </w:pPr>
            <w:bookmarkStart w:id="317" w:name="_Toc23905"/>
            <w:r>
              <w:rPr>
                <w:rFonts w:hint="default" w:ascii="Times New Roman" w:hAnsi="Times New Roman" w:cs="Times New Roman"/>
                <w:color w:val="auto"/>
                <w:sz w:val="21"/>
                <w:szCs w:val="21"/>
                <w:shd w:val="clear" w:color="auto" w:fill="auto"/>
              </w:rPr>
              <w:t>生产、销售、使用放射性同位素和射线装置的单位部分终止或者全部终止生产、销售、使用活动，未按照规定办理许可证变更或者注销手续，责令限期改正逾期不改正的</w:t>
            </w:r>
            <w:bookmarkEnd w:id="317"/>
          </w:p>
        </w:tc>
      </w:tr>
      <w:t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《放射性同位素与射线装置安全和防护条例》第十四条</w:t>
            </w:r>
            <w:r>
              <w:rPr>
                <w:rFonts w:hint="default" w:ascii="Times New Roman" w:hAnsi="Times New Roman" w:cs="Times New Roman"/>
                <w:color w:val="auto"/>
                <w:sz w:val="21"/>
                <w:szCs w:val="21"/>
                <w:shd w:val="clear" w:color="auto" w:fill="auto"/>
              </w:rPr>
              <w:t xml:space="preserve"> 持证单位部分终止或者全部终止生产、销售、使用放射性同位素和射线装置活动的，应当向原发证机关提出部分变更或者注销许可证申请，由原发证机关核查合格后，予以变更或者注销许可证。</w:t>
            </w:r>
          </w:p>
        </w:tc>
      </w:tr>
      <w:t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《放射性同位素与射线装置安全和防护条例》第五十四条 </w:t>
            </w:r>
            <w:r>
              <w:rPr>
                <w:rFonts w:hint="default" w:ascii="Times New Roman" w:hAnsi="Times New Roman" w:cs="Times New Roman"/>
                <w:color w:val="auto"/>
                <w:sz w:val="21"/>
                <w:szCs w:val="21"/>
                <w:shd w:val="clear" w:color="auto" w:fill="auto"/>
              </w:rPr>
              <w:t>违反本条例规定，生产、销售、使用放射性同位素和射线装置的单位部分终止或者全部终止生产、销售、使用活动，未按照规定办理许可证变更或者注销手续的，由县级以上人民政府生态环境主管部门责令停止违法行为，限期改正；逾期不改正的，处1万元以上10万元以下的罚款；造成辐射事故，构成犯罪的，依法追究刑事责任。</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86"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★涉及放射类型</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Ⅳ类、Ⅴ类放射源或Ⅲ类射线装置的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Ⅲ类放射源或Ⅱ类射线装置的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Ⅰ类、Ⅱ类放射源或Ⅰ类射线装置的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非密封放射性物质工作场所分类</w:t>
            </w: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丙级工作场所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乙级工作场所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甲级工作场所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284"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86"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86"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86"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86"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86" w:hRule="atLeast"/>
        </w:trPr>
        <w:tc>
          <w:tcPr>
            <w:tcW w:w="128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130"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3</w:t>
            </w:r>
          </w:p>
        </w:tc>
      </w:tr>
      <w:tr>
        <w:trPr>
          <w:trHeight w:val="386"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4</w:t>
            </w:r>
          </w:p>
        </w:tc>
      </w:tr>
      <w:tr>
        <w:trPr>
          <w:trHeight w:val="386"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5</w:t>
            </w:r>
          </w:p>
        </w:tc>
      </w:tr>
      <w:tr>
        <w:trPr>
          <w:trHeight w:val="386"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86"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6"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c>
          <w:tcPr>
            <w:tcW w:w="9060" w:type="dxa"/>
            <w:gridSpan w:val="3"/>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318" w:name="_Toc23111"/>
            <w:r>
              <w:rPr>
                <w:rFonts w:hint="default" w:ascii="Times New Roman" w:hAnsi="Times New Roman" w:cs="Times New Roman"/>
                <w:color w:val="auto"/>
                <w:sz w:val="20"/>
                <w:szCs w:val="20"/>
                <w:shd w:val="clear" w:color="auto" w:fill="auto"/>
              </w:rPr>
              <w:t>18</w:t>
            </w:r>
            <w:bookmarkEnd w:id="318"/>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center"/>
          </w:tcPr>
          <w:p>
            <w:pPr>
              <w:pStyle w:val="18"/>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1"/>
                <w:szCs w:val="21"/>
                <w:shd w:val="clear" w:color="auto" w:fill="auto"/>
              </w:rPr>
            </w:pPr>
            <w:bookmarkStart w:id="319" w:name="_Toc26753"/>
            <w:r>
              <w:rPr>
                <w:rFonts w:hint="default" w:ascii="Times New Roman" w:hAnsi="Times New Roman" w:cs="Times New Roman"/>
                <w:color w:val="auto"/>
                <w:sz w:val="21"/>
                <w:szCs w:val="21"/>
                <w:shd w:val="clear" w:color="auto" w:fill="auto"/>
              </w:rPr>
              <w:t>伪造、变造、转让许可证的</w:t>
            </w:r>
            <w:bookmarkEnd w:id="319"/>
          </w:p>
        </w:tc>
      </w:tr>
      <w:t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《放射性同位素与射线装置安全和防护条例》第十五条第二款</w:t>
            </w:r>
            <w:r>
              <w:rPr>
                <w:rFonts w:hint="default" w:ascii="Times New Roman" w:hAnsi="Times New Roman" w:cs="Times New Roman"/>
                <w:color w:val="auto"/>
                <w:sz w:val="21"/>
                <w:szCs w:val="21"/>
                <w:shd w:val="clear" w:color="auto" w:fill="auto"/>
              </w:rPr>
              <w:t xml:space="preserve">  禁止伪造、变造、转让许可证。</w:t>
            </w:r>
          </w:p>
        </w:tc>
      </w:tr>
      <w:t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《放射性同位素与射线装置安全和防护条例》第五十五条第一款  </w:t>
            </w:r>
            <w:r>
              <w:rPr>
                <w:rFonts w:hint="default" w:ascii="Times New Roman" w:hAnsi="Times New Roman" w:cs="Times New Roman"/>
                <w:color w:val="auto"/>
                <w:sz w:val="21"/>
                <w:szCs w:val="21"/>
                <w:shd w:val="clear" w:color="auto" w:fill="auto"/>
              </w:rPr>
              <w:t>违反本条例规定，伪造、变造、转让许可证的，由县级以上人民政府生态环境主管部门收缴伪造、变造的许可证或者由原发证机关吊销许可证，并处5万元以上10万元以下的罚款；构成犯罪的，依法追究刑事责任。</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转让许可证的，尚未使用的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伪造、变造许可证，尚未使用的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转让、伪造、变造许可证，已使用的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辐射事故</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等级</w:t>
            </w: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未造成辐射事故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造成一般辐射事故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造成较大辐射事故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造成重大辐射事故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造成特别重大辐射事故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类型</w:t>
            </w: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Ⅳ类、Ⅴ类放射源或Ⅲ类射线装置的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Ⅲ类放射源或Ⅱ类射线装置的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Ⅰ类、Ⅱ类放射源或Ⅰ类射线装置的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非密封放射性物质工作场所分类</w:t>
            </w: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丙级工作场所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乙级工作场所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甲级工作场所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bidi="ar-SA"/>
              </w:rPr>
              <w:t>1个月</w:t>
            </w:r>
            <w:r>
              <w:rPr>
                <w:rFonts w:hint="default" w:ascii="Times New Roman" w:hAnsi="Times New Roman" w:cs="Times New Roman"/>
                <w:color w:val="auto"/>
                <w:kern w:val="2"/>
                <w:sz w:val="21"/>
                <w:szCs w:val="21"/>
                <w:shd w:val="clear" w:color="auto" w:fill="auto"/>
                <w:lang w:val="en-US" w:eastAsia="zh-CN" w:bidi="ar-SA"/>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bidi="ar-SA"/>
              </w:rPr>
              <w:t>1个月以上3个月</w:t>
            </w:r>
            <w:r>
              <w:rPr>
                <w:rFonts w:hint="default" w:ascii="Times New Roman" w:hAnsi="Times New Roman" w:cs="Times New Roman"/>
                <w:color w:val="auto"/>
                <w:kern w:val="2"/>
                <w:sz w:val="21"/>
                <w:szCs w:val="21"/>
                <w:shd w:val="clear" w:color="auto" w:fill="auto"/>
                <w:lang w:val="en-US" w:eastAsia="zh-CN" w:bidi="ar-SA"/>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bidi="ar-SA"/>
              </w:rPr>
              <w:t>3个月以上</w:t>
            </w:r>
            <w:r>
              <w:rPr>
                <w:rFonts w:hint="default" w:ascii="Times New Roman" w:hAnsi="Times New Roman" w:cs="Times New Roman"/>
                <w:color w:val="auto"/>
                <w:kern w:val="2"/>
                <w:sz w:val="21"/>
                <w:szCs w:val="21"/>
                <w:shd w:val="clear" w:color="auto" w:fill="auto"/>
                <w:lang w:eastAsia="zh-CN" w:bidi="ar-SA"/>
              </w:rPr>
              <w:t>6</w:t>
            </w:r>
            <w:r>
              <w:rPr>
                <w:rFonts w:hint="default" w:ascii="Times New Roman" w:hAnsi="Times New Roman" w:eastAsia="宋体" w:cs="Times New Roman"/>
                <w:color w:val="auto"/>
                <w:kern w:val="2"/>
                <w:sz w:val="21"/>
                <w:szCs w:val="21"/>
                <w:shd w:val="clear" w:color="auto" w:fill="auto"/>
                <w:lang w:val="en-US" w:eastAsia="zh-CN" w:bidi="ar-SA"/>
              </w:rPr>
              <w:t>个月</w:t>
            </w:r>
            <w:r>
              <w:rPr>
                <w:rFonts w:hint="default" w:ascii="Times New Roman" w:hAnsi="Times New Roman" w:cs="Times New Roman"/>
                <w:color w:val="auto"/>
                <w:kern w:val="2"/>
                <w:sz w:val="21"/>
                <w:szCs w:val="21"/>
                <w:shd w:val="clear" w:color="auto" w:fill="auto"/>
                <w:lang w:val="en-US" w:eastAsia="zh-CN" w:bidi="ar-SA"/>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bidi="ar-SA"/>
              </w:rPr>
              <w:t>6</w:t>
            </w:r>
            <w:r>
              <w:rPr>
                <w:rFonts w:hint="default" w:ascii="Times New Roman" w:hAnsi="Times New Roman" w:eastAsia="宋体" w:cs="Times New Roman"/>
                <w:color w:val="auto"/>
                <w:kern w:val="2"/>
                <w:sz w:val="21"/>
                <w:szCs w:val="21"/>
                <w:shd w:val="clear" w:color="auto" w:fill="auto"/>
                <w:lang w:val="en-US" w:eastAsia="zh-CN" w:bidi="ar-SA"/>
              </w:rPr>
              <w:t>个月以上</w:t>
            </w:r>
            <w:r>
              <w:rPr>
                <w:rFonts w:hint="default" w:ascii="Times New Roman" w:hAnsi="Times New Roman" w:cs="Times New Roman"/>
                <w:color w:val="auto"/>
                <w:kern w:val="2"/>
                <w:sz w:val="21"/>
                <w:szCs w:val="21"/>
                <w:shd w:val="clear" w:color="auto" w:fill="auto"/>
                <w:lang w:eastAsia="zh-CN" w:bidi="ar-SA"/>
              </w:rPr>
              <w:t>1</w:t>
            </w:r>
            <w:r>
              <w:rPr>
                <w:rFonts w:hint="default" w:ascii="Times New Roman" w:hAnsi="Times New Roman" w:eastAsia="宋体" w:cs="Times New Roman"/>
                <w:color w:val="auto"/>
                <w:kern w:val="2"/>
                <w:sz w:val="21"/>
                <w:szCs w:val="21"/>
                <w:shd w:val="clear" w:color="auto" w:fill="auto"/>
                <w:lang w:val="en-US" w:eastAsia="zh-CN" w:bidi="ar-SA"/>
              </w:rPr>
              <w:t>年</w:t>
            </w:r>
            <w:r>
              <w:rPr>
                <w:rFonts w:hint="default" w:ascii="Times New Roman" w:hAnsi="Times New Roman" w:cs="Times New Roman"/>
                <w:color w:val="auto"/>
                <w:kern w:val="2"/>
                <w:sz w:val="21"/>
                <w:szCs w:val="21"/>
                <w:shd w:val="clear" w:color="auto" w:fill="auto"/>
                <w:lang w:val="en-US" w:eastAsia="zh-CN" w:bidi="ar-SA"/>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bidi="ar-SA"/>
              </w:rPr>
              <w:t>1</w:t>
            </w:r>
            <w:r>
              <w:rPr>
                <w:rFonts w:hint="default" w:ascii="Times New Roman" w:hAnsi="Times New Roman" w:eastAsia="宋体" w:cs="Times New Roman"/>
                <w:color w:val="auto"/>
                <w:kern w:val="2"/>
                <w:sz w:val="21"/>
                <w:szCs w:val="21"/>
                <w:shd w:val="clear" w:color="auto" w:fill="auto"/>
                <w:lang w:val="en-US" w:eastAsia="zh-CN" w:bidi="ar-SA"/>
              </w:rPr>
              <w:t>年以上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284"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bidi="ar-SA"/>
              </w:rPr>
              <w:t>1次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bidi="ar-SA"/>
              </w:rPr>
              <w:t>2次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bidi="ar-SA"/>
              </w:rPr>
              <w:t>3次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bidi="ar-SA"/>
              </w:rPr>
              <w:t>4次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bidi="ar-SA"/>
              </w:rPr>
              <w:t>5</w:t>
            </w:r>
            <w:r>
              <w:rPr>
                <w:rFonts w:hint="default" w:ascii="Times New Roman" w:hAnsi="Times New Roman" w:eastAsia="宋体" w:cs="Times New Roman"/>
                <w:color w:val="auto"/>
                <w:kern w:val="2"/>
                <w:sz w:val="21"/>
                <w:szCs w:val="21"/>
                <w:shd w:val="clear" w:color="auto" w:fill="auto"/>
                <w:lang w:val="en-US" w:eastAsia="zh-CN" w:bidi="ar-SA"/>
              </w:rPr>
              <w:t>次以上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9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napToGrid w:val="0"/>
              <w:spacing w:before="0" w:beforeAutospacing="0" w:after="0" w:afterAutospacing="0" w:line="240" w:lineRule="auto"/>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line="240" w:lineRule="auto"/>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6"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20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5213"/>
        <w:gridCol w:w="2689"/>
      </w:tblGrid>
      <w:tr>
        <w:trPr>
          <w:trHeight w:val="284" w:hRule="atLeast"/>
        </w:trPr>
        <w:tc>
          <w:tcPr>
            <w:tcW w:w="9208" w:type="dxa"/>
            <w:gridSpan w:val="3"/>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284" w:hRule="atLeast"/>
        </w:trPr>
        <w:tc>
          <w:tcPr>
            <w:tcW w:w="130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90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320" w:name="_Toc6916"/>
            <w:r>
              <w:rPr>
                <w:rFonts w:hint="default" w:ascii="Times New Roman" w:hAnsi="Times New Roman" w:cs="Times New Roman"/>
                <w:color w:val="auto"/>
                <w:sz w:val="20"/>
                <w:szCs w:val="20"/>
                <w:shd w:val="clear" w:color="auto" w:fill="auto"/>
              </w:rPr>
              <w:t>19</w:t>
            </w:r>
            <w:bookmarkEnd w:id="320"/>
          </w:p>
        </w:tc>
      </w:tr>
      <w:tr>
        <w:trPr>
          <w:trHeight w:val="284" w:hRule="atLeast"/>
        </w:trPr>
        <w:tc>
          <w:tcPr>
            <w:tcW w:w="130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902" w:type="dxa"/>
            <w:gridSpan w:val="2"/>
            <w:vAlign w:val="center"/>
          </w:tcPr>
          <w:p>
            <w:pPr>
              <w:pStyle w:val="18"/>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1"/>
                <w:szCs w:val="21"/>
                <w:shd w:val="clear" w:color="auto" w:fill="auto"/>
              </w:rPr>
            </w:pPr>
            <w:bookmarkStart w:id="321" w:name="_Toc26647"/>
            <w:r>
              <w:rPr>
                <w:rFonts w:hint="default" w:ascii="Times New Roman" w:hAnsi="Times New Roman" w:cs="Times New Roman"/>
                <w:color w:val="auto"/>
                <w:sz w:val="21"/>
                <w:szCs w:val="21"/>
                <w:shd w:val="clear" w:color="auto" w:fill="auto"/>
              </w:rPr>
              <w:t>伪造、变造、转让放射性同位素进口和转让批准文件的</w:t>
            </w:r>
            <w:bookmarkEnd w:id="321"/>
          </w:p>
        </w:tc>
      </w:tr>
      <w:tr>
        <w:trPr>
          <w:trHeight w:val="284" w:hRule="atLeast"/>
        </w:trPr>
        <w:tc>
          <w:tcPr>
            <w:tcW w:w="130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902" w:type="dxa"/>
            <w:gridSpan w:val="2"/>
            <w:vAlign w:val="top"/>
          </w:tcPr>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《放射性同位素与射线装置安全和防护条例》第十五条第二款</w:t>
            </w:r>
            <w:r>
              <w:rPr>
                <w:rFonts w:hint="default" w:ascii="Times New Roman" w:hAnsi="Times New Roman" w:cs="Times New Roman"/>
                <w:color w:val="auto"/>
                <w:sz w:val="21"/>
                <w:szCs w:val="21"/>
                <w:shd w:val="clear" w:color="auto" w:fill="auto"/>
              </w:rPr>
              <w:t xml:space="preserve"> 禁止伪造、变造、转让许可证。</w:t>
            </w:r>
          </w:p>
          <w:p>
            <w:pPr>
              <w:shd w:val="clear" w:color="auto" w:fill="auto"/>
              <w:spacing w:before="0" w:beforeAutospacing="0" w:after="0" w:afterAutospacing="0" w:line="320" w:lineRule="exact"/>
              <w:ind w:left="0" w:right="0" w:firstLine="422" w:firstLineChars="200"/>
              <w:rPr>
                <w:rFonts w:hint="default" w:ascii="Times New Roman" w:hAnsi="Times New Roman" w:cs="Times New Roman"/>
                <w:color w:val="auto"/>
                <w:kern w:val="0"/>
                <w:sz w:val="20"/>
                <w:szCs w:val="20"/>
                <w:shd w:val="clear" w:color="auto" w:fill="auto"/>
              </w:rPr>
            </w:pPr>
            <w:r>
              <w:rPr>
                <w:rStyle w:val="12"/>
                <w:rFonts w:hint="default" w:ascii="Times New Roman" w:hAnsi="Times New Roman" w:cs="Times New Roman"/>
                <w:color w:val="auto"/>
                <w:sz w:val="20"/>
                <w:szCs w:val="20"/>
                <w:shd w:val="clear" w:color="auto" w:fill="auto"/>
              </w:rPr>
              <w:t xml:space="preserve">第十八条 </w:t>
            </w:r>
            <w:r>
              <w:rPr>
                <w:rFonts w:hint="default" w:ascii="Times New Roman" w:hAnsi="Times New Roman" w:cs="Times New Roman"/>
                <w:color w:val="auto"/>
                <w:kern w:val="0"/>
                <w:sz w:val="20"/>
                <w:szCs w:val="20"/>
                <w:shd w:val="clear" w:color="auto" w:fill="auto"/>
              </w:rPr>
              <w:t>进口列入限制进出口目录的放射性同位素的单位，应当向国务院生态环境主管部门提出进口申请，并提交符合本条例第十七条规定要求的证明材料。</w:t>
            </w:r>
          </w:p>
          <w:p>
            <w:pPr>
              <w:shd w:val="clear" w:color="auto" w:fill="auto"/>
              <w:spacing w:before="0" w:beforeAutospacing="0" w:after="0" w:afterAutospacing="0" w:line="320" w:lineRule="exact"/>
              <w:ind w:left="0" w:right="0"/>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国务院生态环境主管部门应当自受理申请之日起10个工作日内完成审查，符合条件的，予以批准；不符合条件的，书面通知申请单位并说明理由。</w:t>
            </w:r>
          </w:p>
          <w:p>
            <w:pPr>
              <w:shd w:val="clear" w:color="auto" w:fill="auto"/>
              <w:spacing w:before="0" w:beforeAutospacing="0" w:after="0" w:afterAutospacing="0" w:line="320" w:lineRule="exact"/>
              <w:ind w:left="0" w:right="0"/>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海关验凭放射性同位素进口许可证办理有关进口手续。进口放射性同位素的包装材料依法需要实施检疫的，依照国家有关检疫法律、法规的规定执行。</w:t>
            </w:r>
          </w:p>
          <w:p>
            <w:pPr>
              <w:shd w:val="clear" w:color="auto" w:fill="auto"/>
              <w:spacing w:before="0" w:beforeAutospacing="0" w:after="0" w:afterAutospacing="0" w:line="320" w:lineRule="exact"/>
              <w:ind w:left="0" w:right="0"/>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对进口的放射源，国务院生态环境主管部门还应当同时确定与其标号相对应的放射源编码。</w:t>
            </w:r>
          </w:p>
          <w:p>
            <w:pPr>
              <w:shd w:val="clear" w:color="auto" w:fill="auto"/>
              <w:spacing w:before="0" w:beforeAutospacing="0" w:after="0" w:afterAutospacing="0" w:line="320" w:lineRule="exact"/>
              <w:ind w:left="0" w:right="0" w:firstLine="422" w:firstLineChars="200"/>
              <w:rPr>
                <w:rFonts w:hint="default" w:ascii="Times New Roman" w:hAnsi="Times New Roman" w:cs="Times New Roman"/>
                <w:color w:val="auto"/>
                <w:kern w:val="0"/>
                <w:sz w:val="20"/>
                <w:szCs w:val="20"/>
                <w:shd w:val="clear" w:color="auto" w:fill="auto"/>
              </w:rPr>
            </w:pPr>
            <w:r>
              <w:rPr>
                <w:rStyle w:val="12"/>
                <w:rFonts w:hint="default" w:ascii="Times New Roman" w:hAnsi="Times New Roman" w:cs="Times New Roman"/>
                <w:color w:val="auto"/>
                <w:sz w:val="20"/>
                <w:szCs w:val="20"/>
                <w:shd w:val="clear" w:color="auto" w:fill="auto"/>
              </w:rPr>
              <w:t xml:space="preserve">第二十条 </w:t>
            </w:r>
            <w:r>
              <w:rPr>
                <w:rFonts w:hint="default" w:ascii="Times New Roman" w:hAnsi="Times New Roman" w:cs="Times New Roman"/>
                <w:color w:val="auto"/>
                <w:kern w:val="0"/>
                <w:sz w:val="20"/>
                <w:szCs w:val="20"/>
                <w:shd w:val="clear" w:color="auto" w:fill="auto"/>
              </w:rPr>
              <w:t>转让放射性同位素，由转入单位向其所在地省、自治区、直辖市人民政府生态环境主管部门提出申请，并提交符合本条例第十九条规定要求的证明材料。</w:t>
            </w:r>
          </w:p>
          <w:p>
            <w:pPr>
              <w:shd w:val="clear" w:color="auto" w:fill="auto"/>
              <w:spacing w:before="0" w:beforeAutospacing="0" w:after="0" w:afterAutospacing="0" w:line="320" w:lineRule="exact"/>
              <w:ind w:left="0" w:right="0" w:firstLine="420"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省、自治区、直辖市人民政府生态环境主管部门应当自受理申请之日起15个工作日内完成审查，符合条件的，予以批准；不符合条件的，书面通知申请单位并说明理由。</w:t>
            </w:r>
          </w:p>
        </w:tc>
      </w:tr>
      <w:tr>
        <w:trPr>
          <w:trHeight w:val="284" w:hRule="atLeast"/>
        </w:trPr>
        <w:tc>
          <w:tcPr>
            <w:tcW w:w="130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902" w:type="dxa"/>
            <w:gridSpan w:val="2"/>
            <w:vAlign w:val="top"/>
          </w:tcPr>
          <w:p>
            <w:pPr>
              <w:pStyle w:val="18"/>
              <w:shd w:val="clear" w:color="auto" w:fill="auto"/>
              <w:spacing w:before="0" w:beforeAutospacing="0" w:after="0" w:afterAutospacing="0" w:line="320" w:lineRule="exact"/>
              <w:ind w:left="0" w:right="0" w:firstLine="422" w:firstLineChars="20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《放射性同位素与射线装置安全和防护条例》第五十五条第二款 </w:t>
            </w:r>
            <w:r>
              <w:rPr>
                <w:rFonts w:hint="default" w:ascii="Times New Roman" w:hAnsi="Times New Roman" w:cs="Times New Roman"/>
                <w:color w:val="auto"/>
                <w:sz w:val="21"/>
                <w:szCs w:val="21"/>
                <w:shd w:val="clear" w:color="auto" w:fill="auto"/>
              </w:rPr>
              <w:t>违反本条例规定，伪造、变造、转让放射性同位素进口和转让批准文件的，由县级以上人民政府生态环境主管部门收缴伪造、变造的批准文件或者由原批准机关撤销批准文件，并处5万元以上10万元以下的罚款；情节严重的，可以由原发证机关吊销许可证；构成犯罪的，依法追究刑事责任。</w:t>
            </w:r>
          </w:p>
        </w:tc>
      </w:tr>
      <w:tr>
        <w:trPr>
          <w:trHeight w:val="369" w:hRule="atLeast"/>
        </w:trPr>
        <w:tc>
          <w:tcPr>
            <w:tcW w:w="130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2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trPr>
        <w:tc>
          <w:tcPr>
            <w:tcW w:w="130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213" w:type="dxa"/>
            <w:vAlign w:val="center"/>
          </w:tcPr>
          <w:p>
            <w:pPr>
              <w:snapToGrid w:val="0"/>
              <w:spacing w:before="0" w:beforeAutospacing="0" w:after="0" w:afterAutospacing="0" w:line="240" w:lineRule="auto"/>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转让批准文件的，尚未使用的</w:t>
            </w:r>
          </w:p>
        </w:tc>
        <w:tc>
          <w:tcPr>
            <w:tcW w:w="2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1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伪造、变造批准文件，尚未使用的</w:t>
            </w:r>
          </w:p>
        </w:tc>
        <w:tc>
          <w:tcPr>
            <w:tcW w:w="2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1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转让、伪造、变造批准文件，已使用的</w:t>
            </w:r>
          </w:p>
        </w:tc>
        <w:tc>
          <w:tcPr>
            <w:tcW w:w="2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0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辐射事故</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等级</w:t>
            </w:r>
          </w:p>
        </w:tc>
        <w:tc>
          <w:tcPr>
            <w:tcW w:w="521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未造成辐射事故</w:t>
            </w:r>
          </w:p>
        </w:tc>
        <w:tc>
          <w:tcPr>
            <w:tcW w:w="2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13" w:type="dxa"/>
            <w:vAlign w:val="center"/>
          </w:tcPr>
          <w:p>
            <w:pPr>
              <w:snapToGrid w:val="0"/>
              <w:spacing w:before="0" w:beforeAutospacing="0" w:after="0" w:afterAutospacing="0" w:line="240" w:lineRule="auto"/>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造成一般辐射事故</w:t>
            </w:r>
          </w:p>
        </w:tc>
        <w:tc>
          <w:tcPr>
            <w:tcW w:w="2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trPr>
        <w:tc>
          <w:tcPr>
            <w:tcW w:w="13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13" w:type="dxa"/>
            <w:vAlign w:val="center"/>
          </w:tcPr>
          <w:p>
            <w:pPr>
              <w:snapToGrid w:val="0"/>
              <w:spacing w:before="0" w:beforeAutospacing="0" w:after="0" w:afterAutospacing="0" w:line="240" w:lineRule="auto"/>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造成较大辐射事故</w:t>
            </w:r>
          </w:p>
        </w:tc>
        <w:tc>
          <w:tcPr>
            <w:tcW w:w="2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13" w:type="dxa"/>
            <w:vAlign w:val="center"/>
          </w:tcPr>
          <w:p>
            <w:pPr>
              <w:snapToGrid w:val="0"/>
              <w:spacing w:before="0" w:beforeAutospacing="0" w:after="0" w:afterAutospacing="0" w:line="240" w:lineRule="auto"/>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造成重大辐射事故</w:t>
            </w:r>
          </w:p>
        </w:tc>
        <w:tc>
          <w:tcPr>
            <w:tcW w:w="2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trPr>
        <w:tc>
          <w:tcPr>
            <w:tcW w:w="13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13" w:type="dxa"/>
            <w:vAlign w:val="center"/>
          </w:tcPr>
          <w:p>
            <w:pPr>
              <w:snapToGrid w:val="0"/>
              <w:spacing w:before="0" w:beforeAutospacing="0" w:after="0" w:afterAutospacing="0" w:line="240" w:lineRule="auto"/>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造成特别重大辐射事故</w:t>
            </w:r>
          </w:p>
        </w:tc>
        <w:tc>
          <w:tcPr>
            <w:tcW w:w="2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0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类型</w:t>
            </w:r>
          </w:p>
        </w:tc>
        <w:tc>
          <w:tcPr>
            <w:tcW w:w="5213" w:type="dxa"/>
            <w:vAlign w:val="center"/>
          </w:tcPr>
          <w:p>
            <w:pPr>
              <w:snapToGrid w:val="0"/>
              <w:spacing w:before="0" w:beforeAutospacing="0" w:after="0" w:afterAutospacing="0" w:line="240" w:lineRule="auto"/>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Ⅳ类、Ⅴ类放射源</w:t>
            </w:r>
          </w:p>
        </w:tc>
        <w:tc>
          <w:tcPr>
            <w:tcW w:w="2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13" w:type="dxa"/>
            <w:vAlign w:val="center"/>
          </w:tcPr>
          <w:p>
            <w:pPr>
              <w:snapToGrid w:val="0"/>
              <w:spacing w:before="0" w:beforeAutospacing="0" w:after="0" w:afterAutospacing="0" w:line="240" w:lineRule="auto"/>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Ⅲ类放射源</w:t>
            </w:r>
          </w:p>
        </w:tc>
        <w:tc>
          <w:tcPr>
            <w:tcW w:w="2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13" w:type="dxa"/>
            <w:vAlign w:val="center"/>
          </w:tcPr>
          <w:p>
            <w:pPr>
              <w:snapToGrid w:val="0"/>
              <w:spacing w:before="0" w:beforeAutospacing="0" w:after="0" w:afterAutospacing="0" w:line="240" w:lineRule="auto"/>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Ⅰ类、Ⅱ类放射源</w:t>
            </w:r>
          </w:p>
        </w:tc>
        <w:tc>
          <w:tcPr>
            <w:tcW w:w="2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0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非密封放射性物质工作场所分类</w:t>
            </w:r>
          </w:p>
        </w:tc>
        <w:tc>
          <w:tcPr>
            <w:tcW w:w="5213" w:type="dxa"/>
            <w:vAlign w:val="center"/>
          </w:tcPr>
          <w:p>
            <w:pPr>
              <w:snapToGrid w:val="0"/>
              <w:spacing w:before="0" w:beforeAutospacing="0" w:after="0" w:afterAutospacing="0" w:line="240" w:lineRule="auto"/>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丙级工作场所</w:t>
            </w:r>
          </w:p>
        </w:tc>
        <w:tc>
          <w:tcPr>
            <w:tcW w:w="2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13" w:type="dxa"/>
            <w:vAlign w:val="center"/>
          </w:tcPr>
          <w:p>
            <w:pPr>
              <w:snapToGrid w:val="0"/>
              <w:spacing w:before="0" w:beforeAutospacing="0" w:after="0" w:afterAutospacing="0" w:line="240" w:lineRule="auto"/>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乙级工作场所</w:t>
            </w:r>
          </w:p>
        </w:tc>
        <w:tc>
          <w:tcPr>
            <w:tcW w:w="2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13" w:type="dxa"/>
            <w:vAlign w:val="center"/>
          </w:tcPr>
          <w:p>
            <w:pPr>
              <w:snapToGrid w:val="0"/>
              <w:spacing w:before="0" w:beforeAutospacing="0" w:after="0" w:afterAutospacing="0" w:line="240" w:lineRule="auto"/>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甲级工作场所</w:t>
            </w:r>
          </w:p>
        </w:tc>
        <w:tc>
          <w:tcPr>
            <w:tcW w:w="2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06"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213"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8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trPr>
        <w:tc>
          <w:tcPr>
            <w:tcW w:w="130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13"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8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trPr>
        <w:tc>
          <w:tcPr>
            <w:tcW w:w="130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13"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8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trPr>
        <w:tc>
          <w:tcPr>
            <w:tcW w:w="130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13"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8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trPr>
        <w:tc>
          <w:tcPr>
            <w:tcW w:w="130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13"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8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284" w:hRule="atLeast"/>
        </w:trPr>
        <w:tc>
          <w:tcPr>
            <w:tcW w:w="1306"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213"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1次</w:t>
            </w:r>
          </w:p>
        </w:tc>
        <w:tc>
          <w:tcPr>
            <w:tcW w:w="268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284" w:hRule="atLeast"/>
        </w:trPr>
        <w:tc>
          <w:tcPr>
            <w:tcW w:w="130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213"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2次</w:t>
            </w:r>
          </w:p>
        </w:tc>
        <w:tc>
          <w:tcPr>
            <w:tcW w:w="268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284" w:hRule="atLeast"/>
        </w:trPr>
        <w:tc>
          <w:tcPr>
            <w:tcW w:w="130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213"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3次</w:t>
            </w:r>
          </w:p>
        </w:tc>
        <w:tc>
          <w:tcPr>
            <w:tcW w:w="268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284" w:hRule="atLeast"/>
        </w:trPr>
        <w:tc>
          <w:tcPr>
            <w:tcW w:w="130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213"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4次</w:t>
            </w:r>
          </w:p>
        </w:tc>
        <w:tc>
          <w:tcPr>
            <w:tcW w:w="268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284" w:hRule="atLeast"/>
        </w:trPr>
        <w:tc>
          <w:tcPr>
            <w:tcW w:w="130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213" w:type="dxa"/>
            <w:vAlign w:val="center"/>
          </w:tcPr>
          <w:p>
            <w:pPr>
              <w:widowControl/>
              <w:snapToGrid w:val="0"/>
              <w:spacing w:before="0" w:beforeAutospacing="0" w:after="0" w:afterAutospacing="0" w:line="240" w:lineRule="auto"/>
              <w:ind w:left="0" w:leftChars="0" w:right="0"/>
              <w:jc w:val="center"/>
              <w:rPr>
                <w:rFonts w:hint="eastAsia"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rPr>
              <w:t>5</w:t>
            </w:r>
            <w:r>
              <w:rPr>
                <w:rFonts w:hint="default" w:ascii="Times New Roman" w:hAnsi="Times New Roman" w:eastAsia="宋体" w:cs="Times New Roman"/>
                <w:color w:val="auto"/>
                <w:kern w:val="2"/>
                <w:sz w:val="21"/>
                <w:szCs w:val="21"/>
                <w:shd w:val="clear" w:color="auto" w:fill="auto"/>
                <w:lang w:val="en-US"/>
              </w:rPr>
              <w:t>次</w:t>
            </w:r>
            <w:r>
              <w:rPr>
                <w:rFonts w:hint="eastAsia" w:ascii="Times New Roman" w:hAnsi="Times New Roman" w:cs="Times New Roman"/>
                <w:color w:val="auto"/>
                <w:kern w:val="2"/>
                <w:sz w:val="21"/>
                <w:szCs w:val="21"/>
                <w:shd w:val="clear" w:color="auto" w:fill="auto"/>
                <w:lang w:val="en-US" w:eastAsia="zh-CN"/>
              </w:rPr>
              <w:t>以上</w:t>
            </w:r>
          </w:p>
        </w:tc>
        <w:tc>
          <w:tcPr>
            <w:tcW w:w="268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p>
        </w:tc>
      </w:tr>
      <w:tr>
        <w:trPr>
          <w:trHeight w:val="284" w:hRule="atLeast"/>
        </w:trPr>
        <w:tc>
          <w:tcPr>
            <w:tcW w:w="130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213"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284" w:hRule="atLeast"/>
        </w:trPr>
        <w:tc>
          <w:tcPr>
            <w:tcW w:w="13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13"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284" w:hRule="atLeast"/>
        </w:trPr>
        <w:tc>
          <w:tcPr>
            <w:tcW w:w="13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13"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284" w:hRule="atLeast"/>
        </w:trPr>
        <w:tc>
          <w:tcPr>
            <w:tcW w:w="13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13"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284" w:hRule="atLeast"/>
        </w:trPr>
        <w:tc>
          <w:tcPr>
            <w:tcW w:w="130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213"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登记管理</w:t>
            </w:r>
          </w:p>
        </w:tc>
        <w:tc>
          <w:tcPr>
            <w:tcW w:w="2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284" w:hRule="atLeast"/>
        </w:trPr>
        <w:tc>
          <w:tcPr>
            <w:tcW w:w="13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284" w:hRule="atLeast"/>
        </w:trPr>
        <w:tc>
          <w:tcPr>
            <w:tcW w:w="13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13"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rPr>
              <w:t>重点管理</w:t>
            </w:r>
          </w:p>
        </w:tc>
        <w:tc>
          <w:tcPr>
            <w:tcW w:w="2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284" w:hRule="atLeast"/>
        </w:trPr>
        <w:tc>
          <w:tcPr>
            <w:tcW w:w="130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213"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284" w:hRule="atLeast"/>
        </w:trPr>
        <w:tc>
          <w:tcPr>
            <w:tcW w:w="13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13"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284" w:hRule="atLeast"/>
        </w:trPr>
        <w:tc>
          <w:tcPr>
            <w:tcW w:w="13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13"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84" w:hRule="atLeast"/>
        </w:trPr>
        <w:tc>
          <w:tcPr>
            <w:tcW w:w="130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2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284" w:hRule="atLeast"/>
        </w:trPr>
        <w:tc>
          <w:tcPr>
            <w:tcW w:w="13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284" w:hRule="atLeast"/>
        </w:trPr>
        <w:tc>
          <w:tcPr>
            <w:tcW w:w="13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284" w:hRule="atLeast"/>
        </w:trPr>
        <w:tc>
          <w:tcPr>
            <w:tcW w:w="13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84" w:hRule="atLeast"/>
        </w:trPr>
        <w:tc>
          <w:tcPr>
            <w:tcW w:w="130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90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4865"/>
        <w:gridCol w:w="2647"/>
      </w:tblGrid>
      <w:tr>
        <w:tc>
          <w:tcPr>
            <w:tcW w:w="9060" w:type="dxa"/>
            <w:gridSpan w:val="3"/>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51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20</w:t>
            </w:r>
          </w:p>
        </w:tc>
      </w:tr>
      <w:tr>
        <w:trPr>
          <w:trHeight w:val="397"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512" w:type="dxa"/>
            <w:gridSpan w:val="2"/>
            <w:vAlign w:val="top"/>
          </w:tcPr>
          <w:p>
            <w:pPr>
              <w:pStyle w:val="18"/>
              <w:shd w:val="clear" w:color="auto" w:fill="auto"/>
              <w:spacing w:before="0" w:beforeAutospacing="0" w:after="0" w:afterAutospacing="0" w:line="320" w:lineRule="exact"/>
              <w:ind w:left="0" w:right="0" w:firstLine="420"/>
              <w:outlineLvl w:val="9"/>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生产、销售、使用放射性同位素和射线装置的单位在室外、野外使用放射性同位素和射线装置，未按照国家有关安全和防护标准的要求划出安全防护区域和设置明显的放射性标志，责令限期改正逾期不改正的</w:t>
            </w:r>
          </w:p>
        </w:tc>
      </w:tr>
      <w:tr>
        <w:trPr>
          <w:trHeight w:val="1150"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512" w:type="dxa"/>
            <w:gridSpan w:val="2"/>
            <w:vAlign w:val="center"/>
          </w:tcPr>
          <w:p>
            <w:pPr>
              <w:pStyle w:val="18"/>
              <w:shd w:val="clear" w:color="auto" w:fill="auto"/>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《放射性同位素与射线装置安全和防护条例》第三十六条第一款</w:t>
            </w:r>
            <w:r>
              <w:rPr>
                <w:rFonts w:hint="default" w:ascii="Times New Roman" w:hAnsi="Times New Roman" w:cs="Times New Roman"/>
                <w:color w:val="auto"/>
                <w:sz w:val="21"/>
                <w:szCs w:val="21"/>
                <w:shd w:val="clear" w:color="auto" w:fill="auto"/>
              </w:rPr>
              <w:t xml:space="preserve">  在室外、野外使用放射性同位素和射线装置的，应当按照国家安全和防护标准的要求划出安全防护区域，设置明显的放射性标志，必要时设专人警戒。</w:t>
            </w:r>
          </w:p>
        </w:tc>
      </w:tr>
      <w:tr>
        <w:trPr>
          <w:trHeight w:val="2050"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512" w:type="dxa"/>
            <w:gridSpan w:val="2"/>
            <w:vAlign w:val="center"/>
          </w:tcPr>
          <w:p>
            <w:pPr>
              <w:pStyle w:val="18"/>
              <w:shd w:val="clear" w:color="auto" w:fill="auto"/>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《放射性同位素与射线装置安全和防护条例》第五十七条第（一）项  </w:t>
            </w:r>
            <w:r>
              <w:rPr>
                <w:rFonts w:hint="default" w:ascii="Times New Roman" w:hAnsi="Times New Roman" w:cs="Times New Roman"/>
                <w:color w:val="auto"/>
                <w:sz w:val="21"/>
                <w:szCs w:val="21"/>
                <w:shd w:val="clear" w:color="auto" w:fill="auto"/>
              </w:rPr>
              <w:t>违反本条例规定，生产、销售、使用放射性同位素和射线装置的单位有下列行为之一的，由县级以上人民政府生态环境主管部门责令停止违法行为，限期改正；逾期不改正的，处1万元以上10万元以下的罚款：</w:t>
            </w:r>
          </w:p>
          <w:p>
            <w:pPr>
              <w:pStyle w:val="18"/>
              <w:shd w:val="clear" w:color="auto" w:fill="auto"/>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（一）在室外、野外使用放射性同位素和射线装置，未按照国家有关安全和防护标准的要求划出安全防护区域和设置明显的放射性标志的。</w:t>
            </w:r>
          </w:p>
        </w:tc>
      </w:tr>
      <w:tr>
        <w:trPr>
          <w:trHeight w:val="351"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48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54"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4865"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设置放射性标志不规范不明显的</w:t>
            </w:r>
          </w:p>
        </w:tc>
        <w:tc>
          <w:tcPr>
            <w:tcW w:w="2647"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未划出安全防护区域，或者未设置放射性标志</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未划出安全防护区域</w:t>
            </w:r>
            <w:r>
              <w:rPr>
                <w:rFonts w:hint="default" w:ascii="Times New Roman" w:hAnsi="Times New Roman" w:cs="Times New Roman"/>
                <w:color w:val="auto"/>
                <w:sz w:val="21"/>
                <w:szCs w:val="21"/>
                <w:shd w:val="clear" w:color="auto" w:fill="auto"/>
                <w:lang w:val="en-US"/>
              </w:rPr>
              <w:t>且</w:t>
            </w:r>
            <w:r>
              <w:rPr>
                <w:rFonts w:hint="default" w:ascii="Times New Roman" w:hAnsi="Times New Roman" w:cs="Times New Roman"/>
                <w:color w:val="auto"/>
                <w:sz w:val="21"/>
                <w:szCs w:val="21"/>
                <w:shd w:val="clear" w:color="auto" w:fill="auto"/>
              </w:rPr>
              <w:t>未设置放射性标志</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54"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辐射事故等级</w:t>
            </w:r>
          </w:p>
        </w:tc>
        <w:tc>
          <w:tcPr>
            <w:tcW w:w="4865"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未造成辐射事故</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造成一般辐射事故</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造成较大辐射事故</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造成重大辐射事故</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造成特别重大辐射事故</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54"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涉及放射类型</w:t>
            </w:r>
          </w:p>
        </w:tc>
        <w:tc>
          <w:tcPr>
            <w:tcW w:w="4865"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Ⅳ类、Ⅴ类放射源或Ⅲ类射线装置的</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Ⅲ类放射源或Ⅱ类射线装置的</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Ⅰ类、Ⅱ类放射源或Ⅰ类射线装置的</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54"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非密封放射性物质工作场所分类</w:t>
            </w:r>
          </w:p>
        </w:tc>
        <w:tc>
          <w:tcPr>
            <w:tcW w:w="4865"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丙级工作场所</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乙级工作场所</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甲级工作场所</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54" w:hRule="atLeast"/>
        </w:trPr>
        <w:tc>
          <w:tcPr>
            <w:tcW w:w="154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4865"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3天以下</w:t>
            </w:r>
          </w:p>
        </w:tc>
        <w:tc>
          <w:tcPr>
            <w:tcW w:w="264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3</w:t>
            </w:r>
          </w:p>
        </w:tc>
      </w:tr>
      <w:tr>
        <w:trPr>
          <w:trHeight w:val="454" w:hRule="atLeast"/>
        </w:trPr>
        <w:tc>
          <w:tcPr>
            <w:tcW w:w="154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3天以上7天以下</w:t>
            </w:r>
          </w:p>
        </w:tc>
        <w:tc>
          <w:tcPr>
            <w:tcW w:w="264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4</w:t>
            </w:r>
          </w:p>
        </w:tc>
      </w:tr>
      <w:tr>
        <w:trPr>
          <w:trHeight w:val="454" w:hRule="atLeast"/>
        </w:trPr>
        <w:tc>
          <w:tcPr>
            <w:tcW w:w="154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7天以上</w:t>
            </w:r>
          </w:p>
        </w:tc>
        <w:tc>
          <w:tcPr>
            <w:tcW w:w="264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5</w:t>
            </w:r>
          </w:p>
        </w:tc>
      </w:tr>
      <w:tr>
        <w:trPr>
          <w:trHeight w:val="454"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4865"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454"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管理类别</w:t>
            </w:r>
          </w:p>
        </w:tc>
        <w:tc>
          <w:tcPr>
            <w:tcW w:w="4865" w:type="dxa"/>
            <w:vAlign w:val="center"/>
          </w:tcPr>
          <w:p>
            <w:pPr>
              <w:shd w:val="clear" w:color="auto" w:fill="auto"/>
              <w:snapToGrid w:val="0"/>
              <w:spacing w:before="0" w:beforeAutospacing="0" w:after="0" w:afterAutospacing="0" w:line="320" w:lineRule="exact"/>
              <w:ind w:left="0" w:right="0" w:firstLine="1890" w:firstLineChars="900"/>
              <w:jc w:val="both"/>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登记管理</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48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4865"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重点管理</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54"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4865"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54"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48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54"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54"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51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4983"/>
        <w:gridCol w:w="2578"/>
      </w:tblGrid>
      <w:tr>
        <w:tc>
          <w:tcPr>
            <w:tcW w:w="9060" w:type="dxa"/>
            <w:gridSpan w:val="3"/>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trPr>
        <w:tc>
          <w:tcPr>
            <w:tcW w:w="14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561"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322" w:name="_Toc29535"/>
            <w:r>
              <w:rPr>
                <w:rFonts w:hint="default" w:ascii="Times New Roman" w:hAnsi="Times New Roman" w:cs="Times New Roman"/>
                <w:color w:val="auto"/>
                <w:sz w:val="20"/>
                <w:szCs w:val="20"/>
                <w:shd w:val="clear" w:color="auto" w:fill="auto"/>
              </w:rPr>
              <w:t>21</w:t>
            </w:r>
            <w:bookmarkEnd w:id="322"/>
          </w:p>
        </w:tc>
      </w:tr>
      <w:tr>
        <w:trPr>
          <w:trHeight w:val="397" w:hRule="atLeast"/>
        </w:trPr>
        <w:tc>
          <w:tcPr>
            <w:tcW w:w="14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561" w:type="dxa"/>
            <w:gridSpan w:val="2"/>
            <w:vAlign w:val="top"/>
          </w:tcPr>
          <w:p>
            <w:pPr>
              <w:pStyle w:val="18"/>
              <w:shd w:val="clear" w:color="auto" w:fill="auto"/>
              <w:snapToGrid w:val="0"/>
              <w:spacing w:before="0" w:beforeAutospacing="0" w:after="0" w:afterAutospacing="0" w:line="320" w:lineRule="exact"/>
              <w:ind w:left="0" w:right="0" w:firstLine="420"/>
              <w:outlineLvl w:val="9"/>
              <w:rPr>
                <w:rFonts w:hint="default" w:ascii="Times New Roman" w:hAnsi="Times New Roman" w:cs="Times New Roman"/>
                <w:color w:val="auto"/>
                <w:sz w:val="21"/>
                <w:szCs w:val="21"/>
                <w:shd w:val="clear" w:color="auto" w:fill="auto"/>
              </w:rPr>
            </w:pPr>
            <w:bookmarkStart w:id="323" w:name="_Toc7164"/>
            <w:r>
              <w:rPr>
                <w:rFonts w:hint="default" w:ascii="Times New Roman" w:hAnsi="Times New Roman" w:cs="Times New Roman"/>
                <w:color w:val="auto"/>
                <w:sz w:val="21"/>
                <w:szCs w:val="21"/>
                <w:shd w:val="clear" w:color="auto" w:fill="auto"/>
              </w:rPr>
              <w:t>生产、销售、使用放射性同位素和射线装置的单位未经批准擅自在野外进行放射性同位素示踪试验，责令限期改正逾期不改正的</w:t>
            </w:r>
            <w:bookmarkEnd w:id="323"/>
          </w:p>
        </w:tc>
      </w:tr>
      <w:tr>
        <w:tc>
          <w:tcPr>
            <w:tcW w:w="14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561"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《放射性同位素与射线装置安全和防护条例》第三十六条第二款</w:t>
            </w:r>
            <w:r>
              <w:rPr>
                <w:rFonts w:hint="default" w:ascii="Times New Roman" w:hAnsi="Times New Roman" w:cs="Times New Roman"/>
                <w:color w:val="auto"/>
                <w:sz w:val="21"/>
                <w:szCs w:val="21"/>
                <w:shd w:val="clear" w:color="auto" w:fill="auto"/>
              </w:rPr>
              <w:t xml:space="preserve">  在野外进行放射性同位素示踪试验的，应当经省级以上人民政府生态环境主管部门商同级有关部门批准方可进行。</w:t>
            </w:r>
          </w:p>
        </w:tc>
      </w:tr>
      <w:tr>
        <w:tc>
          <w:tcPr>
            <w:tcW w:w="14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561"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《放射性同位素与射线装置安全和防护条例》第五十七条第（二）项  </w:t>
            </w:r>
            <w:r>
              <w:rPr>
                <w:rFonts w:hint="default" w:ascii="Times New Roman" w:hAnsi="Times New Roman" w:cs="Times New Roman"/>
                <w:color w:val="auto"/>
                <w:sz w:val="21"/>
                <w:szCs w:val="21"/>
                <w:shd w:val="clear" w:color="auto" w:fill="auto"/>
              </w:rPr>
              <w:t>违反本条例规定，生产、销售、使用放射性同位素和射线装置的单位有下列行为之一的，由县级以上人民政府生态环境主管部门责令停止违法行为，限期改正；逾期不改正的，处1万元以上10万元以下的罚款：</w:t>
            </w:r>
          </w:p>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（二）未经批准擅自在野外进行放射性同位素示踪试验的。</w:t>
            </w:r>
          </w:p>
        </w:tc>
      </w:tr>
      <w:tr>
        <w:trPr>
          <w:trHeight w:val="397" w:hRule="atLeast"/>
        </w:trPr>
        <w:tc>
          <w:tcPr>
            <w:tcW w:w="14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498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49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类型</w:t>
            </w:r>
          </w:p>
        </w:tc>
        <w:tc>
          <w:tcPr>
            <w:tcW w:w="4983"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Ⅳ类、Ⅴ类放射源或Ⅲ类射线装置的</w:t>
            </w:r>
          </w:p>
        </w:tc>
        <w:tc>
          <w:tcPr>
            <w:tcW w:w="25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4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98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Ⅲ类放射源或Ⅱ类射线装置的</w:t>
            </w:r>
          </w:p>
        </w:tc>
        <w:tc>
          <w:tcPr>
            <w:tcW w:w="25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4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98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Ⅰ类、Ⅱ类放射源或Ⅰ类射线装置的</w:t>
            </w:r>
          </w:p>
        </w:tc>
        <w:tc>
          <w:tcPr>
            <w:tcW w:w="25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49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非密封放射性物质工作场所分类</w:t>
            </w:r>
          </w:p>
        </w:tc>
        <w:tc>
          <w:tcPr>
            <w:tcW w:w="4983"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丙级工作场所</w:t>
            </w:r>
          </w:p>
        </w:tc>
        <w:tc>
          <w:tcPr>
            <w:tcW w:w="25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4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983"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乙级工作场所</w:t>
            </w:r>
          </w:p>
        </w:tc>
        <w:tc>
          <w:tcPr>
            <w:tcW w:w="25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4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983"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甲级工作场所</w:t>
            </w:r>
          </w:p>
        </w:tc>
        <w:tc>
          <w:tcPr>
            <w:tcW w:w="25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49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辐射事故</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等级</w:t>
            </w:r>
          </w:p>
        </w:tc>
        <w:tc>
          <w:tcPr>
            <w:tcW w:w="4983"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未造成辐射事故</w:t>
            </w:r>
          </w:p>
        </w:tc>
        <w:tc>
          <w:tcPr>
            <w:tcW w:w="25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4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983"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造成一般辐射事故</w:t>
            </w:r>
          </w:p>
        </w:tc>
        <w:tc>
          <w:tcPr>
            <w:tcW w:w="25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4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983"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造成较大辐射事故</w:t>
            </w:r>
          </w:p>
        </w:tc>
        <w:tc>
          <w:tcPr>
            <w:tcW w:w="25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4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983"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造成重大辐射事故</w:t>
            </w:r>
          </w:p>
        </w:tc>
        <w:tc>
          <w:tcPr>
            <w:tcW w:w="25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4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983"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造成特别重大辐射事故</w:t>
            </w:r>
          </w:p>
        </w:tc>
        <w:tc>
          <w:tcPr>
            <w:tcW w:w="25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49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工作场所</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防护情况</w:t>
            </w:r>
          </w:p>
        </w:tc>
        <w:tc>
          <w:tcPr>
            <w:tcW w:w="4983"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有防护措施</w:t>
            </w:r>
          </w:p>
        </w:tc>
        <w:tc>
          <w:tcPr>
            <w:tcW w:w="25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4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983"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有防护措施但不完备</w:t>
            </w:r>
          </w:p>
        </w:tc>
        <w:tc>
          <w:tcPr>
            <w:tcW w:w="25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4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983" w:type="dxa"/>
            <w:vAlign w:val="center"/>
          </w:tcPr>
          <w:p>
            <w:pPr>
              <w:pStyle w:val="18"/>
              <w:spacing w:before="0" w:beforeAutospacing="0" w:after="0" w:afterAutospacing="0"/>
              <w:ind w:left="0" w:right="0" w:firstLine="1890" w:firstLineChars="90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无防护措施</w:t>
            </w:r>
          </w:p>
        </w:tc>
        <w:tc>
          <w:tcPr>
            <w:tcW w:w="25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499"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4983"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3天以下</w:t>
            </w:r>
          </w:p>
        </w:tc>
        <w:tc>
          <w:tcPr>
            <w:tcW w:w="257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3</w:t>
            </w:r>
          </w:p>
        </w:tc>
      </w:tr>
      <w:tr>
        <w:trPr>
          <w:trHeight w:val="397" w:hRule="atLeast"/>
        </w:trPr>
        <w:tc>
          <w:tcPr>
            <w:tcW w:w="1499"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4983"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3天以上7天以下</w:t>
            </w:r>
          </w:p>
        </w:tc>
        <w:tc>
          <w:tcPr>
            <w:tcW w:w="257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4</w:t>
            </w:r>
          </w:p>
        </w:tc>
      </w:tr>
      <w:tr>
        <w:trPr>
          <w:trHeight w:val="397" w:hRule="atLeast"/>
        </w:trPr>
        <w:tc>
          <w:tcPr>
            <w:tcW w:w="1499"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4983"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7天以上</w:t>
            </w:r>
          </w:p>
        </w:tc>
        <w:tc>
          <w:tcPr>
            <w:tcW w:w="257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5</w:t>
            </w:r>
          </w:p>
        </w:tc>
      </w:tr>
      <w:tr>
        <w:trPr>
          <w:trHeight w:val="397" w:hRule="atLeast"/>
        </w:trPr>
        <w:tc>
          <w:tcPr>
            <w:tcW w:w="1499"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4983"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bidi="ar-SA"/>
              </w:rPr>
              <w:t>1个月</w:t>
            </w:r>
            <w:r>
              <w:rPr>
                <w:rFonts w:hint="default" w:ascii="Times New Roman" w:hAnsi="Times New Roman" w:cs="Times New Roman"/>
                <w:color w:val="auto"/>
                <w:kern w:val="2"/>
                <w:sz w:val="21"/>
                <w:szCs w:val="21"/>
                <w:shd w:val="clear" w:color="auto" w:fill="auto"/>
                <w:lang w:val="en-US" w:eastAsia="zh-CN" w:bidi="ar-SA"/>
              </w:rPr>
              <w:t>以下</w:t>
            </w:r>
          </w:p>
        </w:tc>
        <w:tc>
          <w:tcPr>
            <w:tcW w:w="257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49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4983"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bidi="ar-SA"/>
              </w:rPr>
              <w:t>1个月以上3个月</w:t>
            </w:r>
            <w:r>
              <w:rPr>
                <w:rFonts w:hint="default" w:ascii="Times New Roman" w:hAnsi="Times New Roman" w:cs="Times New Roman"/>
                <w:color w:val="auto"/>
                <w:kern w:val="2"/>
                <w:sz w:val="21"/>
                <w:szCs w:val="21"/>
                <w:shd w:val="clear" w:color="auto" w:fill="auto"/>
                <w:lang w:val="en-US" w:eastAsia="zh-CN" w:bidi="ar-SA"/>
              </w:rPr>
              <w:t>以下</w:t>
            </w:r>
          </w:p>
        </w:tc>
        <w:tc>
          <w:tcPr>
            <w:tcW w:w="257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49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4983"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bidi="ar-SA"/>
              </w:rPr>
              <w:t>3个月以上</w:t>
            </w:r>
            <w:r>
              <w:rPr>
                <w:rFonts w:hint="default" w:ascii="Times New Roman" w:hAnsi="Times New Roman" w:cs="Times New Roman"/>
                <w:color w:val="auto"/>
                <w:kern w:val="2"/>
                <w:sz w:val="21"/>
                <w:szCs w:val="21"/>
                <w:shd w:val="clear" w:color="auto" w:fill="auto"/>
                <w:lang w:eastAsia="zh-CN" w:bidi="ar-SA"/>
              </w:rPr>
              <w:t>6</w:t>
            </w:r>
            <w:r>
              <w:rPr>
                <w:rFonts w:hint="default" w:ascii="Times New Roman" w:hAnsi="Times New Roman" w:eastAsia="宋体" w:cs="Times New Roman"/>
                <w:color w:val="auto"/>
                <w:kern w:val="2"/>
                <w:sz w:val="21"/>
                <w:szCs w:val="21"/>
                <w:shd w:val="clear" w:color="auto" w:fill="auto"/>
                <w:lang w:val="en-US" w:eastAsia="zh-CN" w:bidi="ar-SA"/>
              </w:rPr>
              <w:t>个月</w:t>
            </w:r>
            <w:r>
              <w:rPr>
                <w:rFonts w:hint="default" w:ascii="Times New Roman" w:hAnsi="Times New Roman" w:cs="Times New Roman"/>
                <w:color w:val="auto"/>
                <w:kern w:val="2"/>
                <w:sz w:val="21"/>
                <w:szCs w:val="21"/>
                <w:shd w:val="clear" w:color="auto" w:fill="auto"/>
                <w:lang w:val="en-US" w:eastAsia="zh-CN" w:bidi="ar-SA"/>
              </w:rPr>
              <w:t>以下</w:t>
            </w:r>
          </w:p>
        </w:tc>
        <w:tc>
          <w:tcPr>
            <w:tcW w:w="257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49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4983"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bidi="ar-SA"/>
              </w:rPr>
              <w:t>6</w:t>
            </w:r>
            <w:r>
              <w:rPr>
                <w:rFonts w:hint="default" w:ascii="Times New Roman" w:hAnsi="Times New Roman" w:eastAsia="宋体" w:cs="Times New Roman"/>
                <w:color w:val="auto"/>
                <w:kern w:val="2"/>
                <w:sz w:val="21"/>
                <w:szCs w:val="21"/>
                <w:shd w:val="clear" w:color="auto" w:fill="auto"/>
                <w:lang w:val="en-US" w:eastAsia="zh-CN" w:bidi="ar-SA"/>
              </w:rPr>
              <w:t>个月以上</w:t>
            </w:r>
            <w:r>
              <w:rPr>
                <w:rFonts w:hint="default" w:ascii="Times New Roman" w:hAnsi="Times New Roman" w:cs="Times New Roman"/>
                <w:color w:val="auto"/>
                <w:kern w:val="2"/>
                <w:sz w:val="21"/>
                <w:szCs w:val="21"/>
                <w:shd w:val="clear" w:color="auto" w:fill="auto"/>
                <w:lang w:eastAsia="zh-CN" w:bidi="ar-SA"/>
              </w:rPr>
              <w:t>1</w:t>
            </w:r>
            <w:r>
              <w:rPr>
                <w:rFonts w:hint="default" w:ascii="Times New Roman" w:hAnsi="Times New Roman" w:eastAsia="宋体" w:cs="Times New Roman"/>
                <w:color w:val="auto"/>
                <w:kern w:val="2"/>
                <w:sz w:val="21"/>
                <w:szCs w:val="21"/>
                <w:shd w:val="clear" w:color="auto" w:fill="auto"/>
                <w:lang w:val="en-US" w:eastAsia="zh-CN" w:bidi="ar-SA"/>
              </w:rPr>
              <w:t>年</w:t>
            </w:r>
            <w:r>
              <w:rPr>
                <w:rFonts w:hint="default" w:ascii="Times New Roman" w:hAnsi="Times New Roman" w:cs="Times New Roman"/>
                <w:color w:val="auto"/>
                <w:kern w:val="2"/>
                <w:sz w:val="21"/>
                <w:szCs w:val="21"/>
                <w:shd w:val="clear" w:color="auto" w:fill="auto"/>
                <w:lang w:val="en-US" w:eastAsia="zh-CN" w:bidi="ar-SA"/>
              </w:rPr>
              <w:t>以下</w:t>
            </w:r>
          </w:p>
        </w:tc>
        <w:tc>
          <w:tcPr>
            <w:tcW w:w="257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49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4983"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bidi="ar-SA"/>
              </w:rPr>
              <w:t>1</w:t>
            </w:r>
            <w:r>
              <w:rPr>
                <w:rFonts w:hint="default" w:ascii="Times New Roman" w:hAnsi="Times New Roman" w:eastAsia="宋体" w:cs="Times New Roman"/>
                <w:color w:val="auto"/>
                <w:kern w:val="2"/>
                <w:sz w:val="21"/>
                <w:szCs w:val="21"/>
                <w:shd w:val="clear" w:color="auto" w:fill="auto"/>
                <w:lang w:val="en-US" w:eastAsia="zh-CN" w:bidi="ar-SA"/>
              </w:rPr>
              <w:t>年以上</w:t>
            </w:r>
          </w:p>
        </w:tc>
        <w:tc>
          <w:tcPr>
            <w:tcW w:w="257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40" w:hRule="atLeast"/>
        </w:trPr>
        <w:tc>
          <w:tcPr>
            <w:tcW w:w="1499"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4983"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bidi="ar-SA"/>
              </w:rPr>
              <w:t>1次</w:t>
            </w:r>
          </w:p>
        </w:tc>
        <w:tc>
          <w:tcPr>
            <w:tcW w:w="257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40" w:hRule="atLeast"/>
        </w:trPr>
        <w:tc>
          <w:tcPr>
            <w:tcW w:w="149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4983"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bidi="ar-SA"/>
              </w:rPr>
              <w:t>2次</w:t>
            </w:r>
          </w:p>
        </w:tc>
        <w:tc>
          <w:tcPr>
            <w:tcW w:w="257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40" w:hRule="atLeast"/>
        </w:trPr>
        <w:tc>
          <w:tcPr>
            <w:tcW w:w="149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4983"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bidi="ar-SA"/>
              </w:rPr>
              <w:t>3次</w:t>
            </w:r>
          </w:p>
        </w:tc>
        <w:tc>
          <w:tcPr>
            <w:tcW w:w="257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40" w:hRule="atLeast"/>
        </w:trPr>
        <w:tc>
          <w:tcPr>
            <w:tcW w:w="149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4983"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bidi="ar-SA"/>
              </w:rPr>
              <w:t>4次</w:t>
            </w:r>
          </w:p>
        </w:tc>
        <w:tc>
          <w:tcPr>
            <w:tcW w:w="257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40" w:hRule="atLeast"/>
        </w:trPr>
        <w:tc>
          <w:tcPr>
            <w:tcW w:w="1499"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4983"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bidi="ar-SA"/>
              </w:rPr>
              <w:t>5</w:t>
            </w:r>
            <w:r>
              <w:rPr>
                <w:rFonts w:hint="default" w:ascii="Times New Roman" w:hAnsi="Times New Roman" w:eastAsia="宋体" w:cs="Times New Roman"/>
                <w:color w:val="auto"/>
                <w:kern w:val="2"/>
                <w:sz w:val="21"/>
                <w:szCs w:val="21"/>
                <w:shd w:val="clear" w:color="auto" w:fill="auto"/>
                <w:lang w:val="en-US" w:eastAsia="zh-CN" w:bidi="ar-SA"/>
              </w:rPr>
              <w:t>次以上</w:t>
            </w:r>
          </w:p>
        </w:tc>
        <w:tc>
          <w:tcPr>
            <w:tcW w:w="257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p>
        </w:tc>
      </w:tr>
      <w:tr>
        <w:trPr>
          <w:trHeight w:val="340" w:hRule="atLeast"/>
        </w:trPr>
        <w:tc>
          <w:tcPr>
            <w:tcW w:w="149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4983"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5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90" w:hRule="atLeast"/>
        </w:trPr>
        <w:tc>
          <w:tcPr>
            <w:tcW w:w="14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983"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5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40" w:hRule="atLeast"/>
        </w:trPr>
        <w:tc>
          <w:tcPr>
            <w:tcW w:w="14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983"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5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40" w:hRule="atLeast"/>
        </w:trPr>
        <w:tc>
          <w:tcPr>
            <w:tcW w:w="14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983"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5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40" w:hRule="atLeast"/>
        </w:trPr>
        <w:tc>
          <w:tcPr>
            <w:tcW w:w="149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管理类别</w:t>
            </w:r>
          </w:p>
        </w:tc>
        <w:tc>
          <w:tcPr>
            <w:tcW w:w="4983"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登记管理</w:t>
            </w:r>
          </w:p>
        </w:tc>
        <w:tc>
          <w:tcPr>
            <w:tcW w:w="25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4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498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 xml:space="preserve">   </w:t>
            </w:r>
            <w:r>
              <w:rPr>
                <w:rFonts w:hint="default" w:ascii="Times New Roman" w:hAnsi="Times New Roman" w:cs="Times New Roman"/>
                <w:color w:val="auto"/>
                <w:sz w:val="20"/>
                <w:szCs w:val="20"/>
                <w:shd w:val="clear" w:color="auto" w:fill="auto"/>
                <w:lang w:val="en-US"/>
              </w:rPr>
              <w:t>简化管理</w:t>
            </w:r>
          </w:p>
        </w:tc>
        <w:tc>
          <w:tcPr>
            <w:tcW w:w="25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40" w:hRule="atLeast"/>
        </w:trPr>
        <w:tc>
          <w:tcPr>
            <w:tcW w:w="14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4983"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重点管理</w:t>
            </w:r>
          </w:p>
        </w:tc>
        <w:tc>
          <w:tcPr>
            <w:tcW w:w="25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trPr>
        <w:tc>
          <w:tcPr>
            <w:tcW w:w="149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4983"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5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4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983"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5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trPr>
        <w:tc>
          <w:tcPr>
            <w:tcW w:w="14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983"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5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trPr>
        <w:tc>
          <w:tcPr>
            <w:tcW w:w="1499"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498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57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4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98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7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40" w:hRule="atLeast"/>
        </w:trPr>
        <w:tc>
          <w:tcPr>
            <w:tcW w:w="14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98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57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40" w:hRule="atLeast"/>
        </w:trPr>
        <w:tc>
          <w:tcPr>
            <w:tcW w:w="1499"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98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57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trPr>
        <w:tc>
          <w:tcPr>
            <w:tcW w:w="149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561"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5191"/>
        <w:gridCol w:w="2647"/>
      </w:tblGrid>
      <w:tr>
        <w:tc>
          <w:tcPr>
            <w:tcW w:w="9060" w:type="dxa"/>
            <w:gridSpan w:val="3"/>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trPr>
        <w:tc>
          <w:tcPr>
            <w:tcW w:w="122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838"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324" w:name="_Toc31270"/>
            <w:r>
              <w:rPr>
                <w:rFonts w:hint="default" w:ascii="Times New Roman" w:hAnsi="Times New Roman" w:cs="Times New Roman"/>
                <w:color w:val="auto"/>
                <w:sz w:val="20"/>
                <w:szCs w:val="20"/>
                <w:shd w:val="clear" w:color="auto" w:fill="auto"/>
              </w:rPr>
              <w:t>22</w:t>
            </w:r>
            <w:bookmarkEnd w:id="324"/>
          </w:p>
        </w:tc>
      </w:tr>
      <w:tr>
        <w:trPr>
          <w:trHeight w:val="397" w:hRule="atLeast"/>
        </w:trPr>
        <w:tc>
          <w:tcPr>
            <w:tcW w:w="122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838" w:type="dxa"/>
            <w:gridSpan w:val="2"/>
            <w:vAlign w:val="top"/>
          </w:tcPr>
          <w:p>
            <w:pPr>
              <w:pStyle w:val="18"/>
              <w:shd w:val="clear" w:color="auto" w:fill="auto"/>
              <w:spacing w:before="0" w:beforeAutospacing="0" w:after="0" w:afterAutospacing="0" w:line="320" w:lineRule="exact"/>
              <w:ind w:left="0" w:right="0" w:firstLine="420"/>
              <w:outlineLvl w:val="9"/>
              <w:rPr>
                <w:rFonts w:hint="default" w:ascii="Times New Roman" w:hAnsi="Times New Roman" w:cs="Times New Roman"/>
                <w:color w:val="auto"/>
                <w:sz w:val="21"/>
                <w:szCs w:val="21"/>
                <w:shd w:val="clear" w:color="auto" w:fill="auto"/>
              </w:rPr>
            </w:pPr>
            <w:bookmarkStart w:id="325" w:name="_Toc31829"/>
            <w:r>
              <w:rPr>
                <w:rFonts w:hint="default" w:ascii="Times New Roman" w:hAnsi="Times New Roman" w:cs="Times New Roman"/>
                <w:color w:val="auto"/>
                <w:sz w:val="21"/>
                <w:szCs w:val="21"/>
                <w:shd w:val="clear" w:color="auto" w:fill="auto"/>
              </w:rPr>
              <w:t>生产放射性同位素的单位未建立放射性同位素产品台账，责令限期改正逾期不改正的</w:t>
            </w:r>
            <w:bookmarkEnd w:id="325"/>
          </w:p>
        </w:tc>
      </w:tr>
      <w:tr>
        <w:tc>
          <w:tcPr>
            <w:tcW w:w="122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838" w:type="dxa"/>
            <w:gridSpan w:val="2"/>
            <w:vAlign w:val="center"/>
          </w:tcPr>
          <w:p>
            <w:pPr>
              <w:pStyle w:val="18"/>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《放射性同位素与射线装置安全和防护条例》第二十二条第一款</w:t>
            </w:r>
            <w:r>
              <w:rPr>
                <w:rFonts w:hint="default" w:ascii="Times New Roman" w:hAnsi="Times New Roman" w:cs="Times New Roman"/>
                <w:color w:val="auto"/>
                <w:sz w:val="21"/>
                <w:szCs w:val="21"/>
                <w:shd w:val="clear" w:color="auto" w:fill="auto"/>
              </w:rPr>
              <w:t xml:space="preserve"> 生产放射性同位素的单位，应当建立放射性同位素产品台账，并按照国务院生态环境主管部门制定的编码规则，对生产的放射源统一编码。放射性同位素产品台账和放射源编码清单应当报国务院生态环境主管部门备案。</w:t>
            </w:r>
          </w:p>
        </w:tc>
      </w:tr>
      <w:tr>
        <w:trPr>
          <w:trHeight w:val="2110" w:hRule="atLeast"/>
        </w:trPr>
        <w:tc>
          <w:tcPr>
            <w:tcW w:w="122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838" w:type="dxa"/>
            <w:gridSpan w:val="2"/>
            <w:vAlign w:val="center"/>
          </w:tcPr>
          <w:p>
            <w:pPr>
              <w:pStyle w:val="18"/>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《放射性同位素与射线装置安全和防护条例》第五十八条第（一）项 </w:t>
            </w:r>
            <w:r>
              <w:rPr>
                <w:rFonts w:hint="default" w:ascii="Times New Roman" w:hAnsi="Times New Roman" w:cs="Times New Roman"/>
                <w:color w:val="auto"/>
                <w:sz w:val="21"/>
                <w:szCs w:val="21"/>
                <w:shd w:val="clear" w:color="auto" w:fill="auto"/>
              </w:rPr>
              <w:t>违反本条例规定，生产放射性同位素的单位有下列行为之一的，由县级以上人民政府生态环境主管部门责令限期改正，给予警告；逾期不改正的，依法收缴其未备案的放射性同位素和未编码的放射源，处5万元以上10万元以下的罚款，并可以由原发证机关暂扣或者吊销许可证：</w:t>
            </w:r>
          </w:p>
          <w:p>
            <w:pPr>
              <w:pStyle w:val="18"/>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（一）未建立放射性同位素产品台账的。</w:t>
            </w:r>
          </w:p>
        </w:tc>
      </w:tr>
      <w:tr>
        <w:trPr>
          <w:trHeight w:val="397" w:hRule="atLeast"/>
        </w:trPr>
        <w:tc>
          <w:tcPr>
            <w:tcW w:w="122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22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★涉及放射类型</w:t>
            </w:r>
          </w:p>
        </w:tc>
        <w:tc>
          <w:tcPr>
            <w:tcW w:w="5191"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Ⅳ类、Ⅴ类放射源</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22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91"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Ⅲ类放射源</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22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91"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Ⅰ类、Ⅱ类放射源</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222" w:type="dxa"/>
            <w:vMerge w:val="restart"/>
            <w:tcMar>
              <w:left w:w="57" w:type="dxa"/>
              <w:right w:w="57" w:type="dxa"/>
            </w:tcMar>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非密封放射性物质工作场所分类</w:t>
            </w:r>
          </w:p>
        </w:tc>
        <w:tc>
          <w:tcPr>
            <w:tcW w:w="5191"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丙级工作场所</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22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91"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乙级工作场所</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22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91"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甲级工作场所</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222"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val="en-US"/>
              </w:rPr>
              <w:t>改正时间</w:t>
            </w:r>
          </w:p>
        </w:tc>
        <w:tc>
          <w:tcPr>
            <w:tcW w:w="5191" w:type="dxa"/>
            <w:vAlign w:val="center"/>
          </w:tcPr>
          <w:p>
            <w:pPr>
              <w:pStyle w:val="18"/>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3天以下</w:t>
            </w:r>
          </w:p>
        </w:tc>
        <w:tc>
          <w:tcPr>
            <w:tcW w:w="264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eastAsia="zh-CN" w:bidi="ar-SA"/>
              </w:rPr>
            </w:pPr>
            <w:r>
              <w:rPr>
                <w:rFonts w:hint="default" w:ascii="Times New Roman" w:hAnsi="Times New Roman" w:cs="Times New Roman"/>
                <w:color w:val="auto"/>
                <w:sz w:val="20"/>
                <w:szCs w:val="20"/>
                <w:shd w:val="clear" w:color="auto" w:fill="auto"/>
                <w:lang w:eastAsia="zh-CN"/>
              </w:rPr>
              <w:t>3</w:t>
            </w:r>
          </w:p>
        </w:tc>
      </w:tr>
      <w:tr>
        <w:trPr>
          <w:trHeight w:val="425" w:hRule="atLeast"/>
        </w:trPr>
        <w:tc>
          <w:tcPr>
            <w:tcW w:w="122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91" w:type="dxa"/>
            <w:vAlign w:val="center"/>
          </w:tcPr>
          <w:p>
            <w:pPr>
              <w:pStyle w:val="18"/>
              <w:snapToGrid w:val="0"/>
              <w:spacing w:before="0" w:beforeAutospacing="0" w:after="0" w:afterAutospacing="0"/>
              <w:ind w:left="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3天以上7天以下</w:t>
            </w:r>
          </w:p>
        </w:tc>
        <w:tc>
          <w:tcPr>
            <w:tcW w:w="264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eastAsia="zh-CN" w:bidi="ar-SA"/>
              </w:rPr>
            </w:pPr>
            <w:r>
              <w:rPr>
                <w:rFonts w:hint="default" w:ascii="Times New Roman" w:hAnsi="Times New Roman" w:cs="Times New Roman"/>
                <w:color w:val="auto"/>
                <w:sz w:val="20"/>
                <w:szCs w:val="20"/>
                <w:shd w:val="clear" w:color="auto" w:fill="auto"/>
                <w:lang w:eastAsia="zh-CN"/>
              </w:rPr>
              <w:t>4</w:t>
            </w:r>
          </w:p>
        </w:tc>
      </w:tr>
      <w:tr>
        <w:trPr>
          <w:trHeight w:val="425" w:hRule="atLeast"/>
        </w:trPr>
        <w:tc>
          <w:tcPr>
            <w:tcW w:w="122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91" w:type="dxa"/>
            <w:vAlign w:val="center"/>
          </w:tcPr>
          <w:p>
            <w:pPr>
              <w:pStyle w:val="18"/>
              <w:snapToGrid w:val="0"/>
              <w:spacing w:before="0" w:beforeAutospacing="0" w:after="0" w:afterAutospacing="0"/>
              <w:ind w:left="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7天以上</w:t>
            </w:r>
          </w:p>
        </w:tc>
        <w:tc>
          <w:tcPr>
            <w:tcW w:w="264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eastAsia="zh-CN" w:bidi="ar-SA"/>
              </w:rPr>
            </w:pPr>
            <w:r>
              <w:rPr>
                <w:rFonts w:hint="default" w:ascii="Times New Roman" w:hAnsi="Times New Roman" w:cs="Times New Roman"/>
                <w:color w:val="auto"/>
                <w:sz w:val="20"/>
                <w:szCs w:val="20"/>
                <w:shd w:val="clear" w:color="auto" w:fill="auto"/>
                <w:lang w:eastAsia="zh-CN"/>
              </w:rPr>
              <w:t>5</w:t>
            </w:r>
          </w:p>
        </w:tc>
      </w:tr>
      <w:tr>
        <w:trPr>
          <w:trHeight w:val="425" w:hRule="atLeast"/>
        </w:trPr>
        <w:tc>
          <w:tcPr>
            <w:tcW w:w="1222"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91"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22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91"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22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91"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22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91"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22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91"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trPr>
        <w:tc>
          <w:tcPr>
            <w:tcW w:w="122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191"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25" w:hRule="atLeast"/>
        </w:trPr>
        <w:tc>
          <w:tcPr>
            <w:tcW w:w="122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91"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25" w:hRule="atLeast"/>
        </w:trPr>
        <w:tc>
          <w:tcPr>
            <w:tcW w:w="122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91"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25" w:hRule="atLeast"/>
        </w:trPr>
        <w:tc>
          <w:tcPr>
            <w:tcW w:w="122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91"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425" w:hRule="atLeast"/>
        </w:trPr>
        <w:tc>
          <w:tcPr>
            <w:tcW w:w="122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191"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登记管理</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22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425" w:hRule="atLeast"/>
        </w:trPr>
        <w:tc>
          <w:tcPr>
            <w:tcW w:w="122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91"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重点管理</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22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次数</w:t>
            </w:r>
          </w:p>
        </w:tc>
        <w:tc>
          <w:tcPr>
            <w:tcW w:w="5191"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25" w:hRule="atLeast"/>
        </w:trPr>
        <w:tc>
          <w:tcPr>
            <w:tcW w:w="122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91"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425" w:hRule="atLeast"/>
        </w:trPr>
        <w:tc>
          <w:tcPr>
            <w:tcW w:w="122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91"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425" w:hRule="atLeast"/>
        </w:trPr>
        <w:tc>
          <w:tcPr>
            <w:tcW w:w="122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22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22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22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22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838"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c>
          <w:tcPr>
            <w:tcW w:w="9060" w:type="dxa"/>
            <w:gridSpan w:val="3"/>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326" w:name="_Toc29107"/>
            <w:r>
              <w:rPr>
                <w:rFonts w:hint="default" w:ascii="Times New Roman" w:hAnsi="Times New Roman" w:cs="Times New Roman"/>
                <w:color w:val="auto"/>
                <w:sz w:val="20"/>
                <w:szCs w:val="20"/>
                <w:shd w:val="clear" w:color="auto" w:fill="auto"/>
              </w:rPr>
              <w:t>23</w:t>
            </w:r>
            <w:bookmarkEnd w:id="326"/>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top"/>
          </w:tcPr>
          <w:p>
            <w:pPr>
              <w:pStyle w:val="18"/>
              <w:shd w:val="clear" w:color="auto" w:fill="auto"/>
              <w:snapToGrid w:val="0"/>
              <w:spacing w:before="0" w:beforeAutospacing="0" w:after="0" w:afterAutospacing="0" w:line="320" w:lineRule="exact"/>
              <w:ind w:left="0" w:right="0" w:firstLine="420"/>
              <w:outlineLvl w:val="9"/>
              <w:rPr>
                <w:rFonts w:hint="default" w:ascii="Times New Roman" w:hAnsi="Times New Roman" w:cs="Times New Roman"/>
                <w:color w:val="auto"/>
                <w:sz w:val="21"/>
                <w:szCs w:val="21"/>
                <w:shd w:val="clear" w:color="auto" w:fill="auto"/>
              </w:rPr>
            </w:pPr>
            <w:bookmarkStart w:id="327" w:name="_Toc26627"/>
            <w:r>
              <w:rPr>
                <w:rFonts w:hint="default" w:ascii="Times New Roman" w:hAnsi="Times New Roman" w:cs="Times New Roman"/>
                <w:color w:val="auto"/>
                <w:sz w:val="21"/>
                <w:szCs w:val="21"/>
                <w:shd w:val="clear" w:color="auto" w:fill="auto"/>
              </w:rPr>
              <w:t>生产放射性同位素的单位未按照国务院生态环境主管部门制定的编码规则，对生产的放射源进行统一编码，责令限期改正逾期不改正的</w:t>
            </w:r>
            <w:bookmarkEnd w:id="327"/>
          </w:p>
        </w:tc>
      </w:tr>
      <w:t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《放射性同位素与射线装置安全和防护条例》第二十二条第一款</w:t>
            </w:r>
            <w:r>
              <w:rPr>
                <w:rFonts w:hint="default" w:ascii="Times New Roman" w:hAnsi="Times New Roman" w:cs="Times New Roman"/>
                <w:color w:val="auto"/>
                <w:sz w:val="21"/>
                <w:szCs w:val="21"/>
                <w:shd w:val="clear" w:color="auto" w:fill="auto"/>
              </w:rPr>
              <w:t xml:space="preserve"> 生产放射性同位素的单位，应当建立放射性同位素产品台账，并按照国务院生态环境主管部门制定的编码规则，对生产的放射源统一编码。放射性同位素产品台账和放射源编码清单应当报国务院生态环境主管部门备案。</w:t>
            </w:r>
          </w:p>
        </w:tc>
      </w:tr>
      <w:t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《放射性同位素与射线装置安全和防护条例》第五十八条第（二）项 </w:t>
            </w:r>
            <w:r>
              <w:rPr>
                <w:rFonts w:hint="default" w:ascii="Times New Roman" w:hAnsi="Times New Roman" w:cs="Times New Roman"/>
                <w:color w:val="auto"/>
                <w:sz w:val="21"/>
                <w:szCs w:val="21"/>
                <w:shd w:val="clear" w:color="auto" w:fill="auto"/>
              </w:rPr>
              <w:t>违反本条例规定，生产放射性同位素的单位有下列行为之一的，由县级以上人民政府生态环境主管部门责令限期改正，给予警告；逾期不改正的，依法收缴其未备案的放射性同位素和未编码的放射源，处5万元以上10万元以下的罚款，并可以由原发证机关暂扣或者吊销许可证：</w:t>
            </w:r>
          </w:p>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（二）未按照国务院生态环境主管部门制定的编码规则，对生产的放射源进行统一编码的。</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对生产的放射源未规范进行统一编码的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对生产的放射源部分进行统一编码的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未对生产的放射源进行统一编码的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非密封放射性物质工作场所分类</w:t>
            </w: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丙级工作场所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乙级工作场所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甲级工作场所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类型</w:t>
            </w: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Ⅳ类、Ⅴ类放射源</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Ⅲ类放射源</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Ⅰ类、Ⅱ类放射源</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bidi="ar-SA"/>
              </w:rPr>
              <w:t>1个月</w:t>
            </w:r>
            <w:r>
              <w:rPr>
                <w:rFonts w:hint="default" w:ascii="Times New Roman" w:hAnsi="Times New Roman" w:cs="Times New Roman"/>
                <w:color w:val="auto"/>
                <w:kern w:val="2"/>
                <w:sz w:val="21"/>
                <w:szCs w:val="21"/>
                <w:shd w:val="clear" w:color="auto" w:fill="auto"/>
                <w:lang w:val="en-US" w:eastAsia="zh-CN" w:bidi="ar-SA"/>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bidi="ar-SA"/>
              </w:rPr>
              <w:t>1个月以上3个月</w:t>
            </w:r>
            <w:r>
              <w:rPr>
                <w:rFonts w:hint="default" w:ascii="Times New Roman" w:hAnsi="Times New Roman" w:cs="Times New Roman"/>
                <w:color w:val="auto"/>
                <w:kern w:val="2"/>
                <w:sz w:val="21"/>
                <w:szCs w:val="21"/>
                <w:shd w:val="clear" w:color="auto" w:fill="auto"/>
                <w:lang w:val="en-US" w:eastAsia="zh-CN" w:bidi="ar-SA"/>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bidi="ar-SA"/>
              </w:rPr>
              <w:t>3个月以上</w:t>
            </w:r>
            <w:r>
              <w:rPr>
                <w:rFonts w:hint="default" w:ascii="Times New Roman" w:hAnsi="Times New Roman" w:cs="Times New Roman"/>
                <w:color w:val="auto"/>
                <w:kern w:val="2"/>
                <w:sz w:val="21"/>
                <w:szCs w:val="21"/>
                <w:shd w:val="clear" w:color="auto" w:fill="auto"/>
                <w:lang w:eastAsia="zh-CN" w:bidi="ar-SA"/>
              </w:rPr>
              <w:t>6</w:t>
            </w:r>
            <w:r>
              <w:rPr>
                <w:rFonts w:hint="default" w:ascii="Times New Roman" w:hAnsi="Times New Roman" w:eastAsia="宋体" w:cs="Times New Roman"/>
                <w:color w:val="auto"/>
                <w:kern w:val="2"/>
                <w:sz w:val="21"/>
                <w:szCs w:val="21"/>
                <w:shd w:val="clear" w:color="auto" w:fill="auto"/>
                <w:lang w:val="en-US" w:eastAsia="zh-CN" w:bidi="ar-SA"/>
              </w:rPr>
              <w:t>个月</w:t>
            </w:r>
            <w:r>
              <w:rPr>
                <w:rFonts w:hint="default" w:ascii="Times New Roman" w:hAnsi="Times New Roman" w:cs="Times New Roman"/>
                <w:color w:val="auto"/>
                <w:kern w:val="2"/>
                <w:sz w:val="21"/>
                <w:szCs w:val="21"/>
                <w:shd w:val="clear" w:color="auto" w:fill="auto"/>
                <w:lang w:val="en-US" w:eastAsia="zh-CN" w:bidi="ar-SA"/>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bidi="ar-SA"/>
              </w:rPr>
              <w:t>6</w:t>
            </w:r>
            <w:r>
              <w:rPr>
                <w:rFonts w:hint="default" w:ascii="Times New Roman" w:hAnsi="Times New Roman" w:eastAsia="宋体" w:cs="Times New Roman"/>
                <w:color w:val="auto"/>
                <w:kern w:val="2"/>
                <w:sz w:val="21"/>
                <w:szCs w:val="21"/>
                <w:shd w:val="clear" w:color="auto" w:fill="auto"/>
                <w:lang w:val="en-US" w:eastAsia="zh-CN" w:bidi="ar-SA"/>
              </w:rPr>
              <w:t>个月以上</w:t>
            </w:r>
            <w:r>
              <w:rPr>
                <w:rFonts w:hint="default" w:ascii="Times New Roman" w:hAnsi="Times New Roman" w:cs="Times New Roman"/>
                <w:color w:val="auto"/>
                <w:kern w:val="2"/>
                <w:sz w:val="21"/>
                <w:szCs w:val="21"/>
                <w:shd w:val="clear" w:color="auto" w:fill="auto"/>
                <w:lang w:eastAsia="zh-CN" w:bidi="ar-SA"/>
              </w:rPr>
              <w:t>1</w:t>
            </w:r>
            <w:r>
              <w:rPr>
                <w:rFonts w:hint="default" w:ascii="Times New Roman" w:hAnsi="Times New Roman" w:eastAsia="宋体" w:cs="Times New Roman"/>
                <w:color w:val="auto"/>
                <w:kern w:val="2"/>
                <w:sz w:val="21"/>
                <w:szCs w:val="21"/>
                <w:shd w:val="clear" w:color="auto" w:fill="auto"/>
                <w:lang w:val="en-US" w:eastAsia="zh-CN" w:bidi="ar-SA"/>
              </w:rPr>
              <w:t>年</w:t>
            </w:r>
            <w:r>
              <w:rPr>
                <w:rFonts w:hint="default" w:ascii="Times New Roman" w:hAnsi="Times New Roman" w:cs="Times New Roman"/>
                <w:color w:val="auto"/>
                <w:kern w:val="2"/>
                <w:sz w:val="21"/>
                <w:szCs w:val="21"/>
                <w:shd w:val="clear" w:color="auto" w:fill="auto"/>
                <w:lang w:val="en-US" w:eastAsia="zh-CN" w:bidi="ar-SA"/>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bidi="ar-SA"/>
              </w:rPr>
              <w:t>1</w:t>
            </w:r>
            <w:r>
              <w:rPr>
                <w:rFonts w:hint="default" w:ascii="Times New Roman" w:hAnsi="Times New Roman" w:eastAsia="宋体" w:cs="Times New Roman"/>
                <w:color w:val="auto"/>
                <w:kern w:val="2"/>
                <w:sz w:val="21"/>
                <w:szCs w:val="21"/>
                <w:shd w:val="clear" w:color="auto" w:fill="auto"/>
                <w:lang w:val="en-US" w:eastAsia="zh-CN" w:bidi="ar-SA"/>
              </w:rPr>
              <w:t>年以上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284"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bidi="ar-SA"/>
              </w:rPr>
              <w:t>1次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val="en-US"/>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bidi="ar-SA"/>
              </w:rPr>
              <w:t>2次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val="en-US"/>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bidi="ar-SA"/>
              </w:rPr>
              <w:t>3次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val="en-US"/>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bidi="ar-SA"/>
              </w:rPr>
              <w:t>4次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val="en-US"/>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eastAsia="zh-CN" w:bidi="ar-SA"/>
              </w:rPr>
              <w:t>5</w:t>
            </w:r>
            <w:r>
              <w:rPr>
                <w:rFonts w:hint="default" w:ascii="Times New Roman" w:hAnsi="Times New Roman" w:eastAsia="宋体" w:cs="Times New Roman"/>
                <w:color w:val="auto"/>
                <w:kern w:val="2"/>
                <w:sz w:val="21"/>
                <w:szCs w:val="21"/>
                <w:shd w:val="clear" w:color="auto" w:fill="auto"/>
                <w:lang w:val="en-US" w:eastAsia="zh-CN" w:bidi="ar-SA"/>
              </w:rPr>
              <w:t>次以上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eastAsia="zh-CN"/>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130"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4</w:t>
            </w:r>
          </w:p>
        </w:tc>
      </w:tr>
      <w:tr>
        <w:trPr>
          <w:trHeight w:val="397"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5</w:t>
            </w:r>
          </w:p>
        </w:tc>
      </w:tr>
      <w:tr>
        <w:trPr>
          <w:trHeight w:val="371"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6"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rPr>
          <w:trHeight w:val="397" w:hRule="atLeast"/>
        </w:trPr>
        <w:tc>
          <w:tcPr>
            <w:tcW w:w="9060" w:type="dxa"/>
            <w:gridSpan w:val="3"/>
            <w:vAlign w:val="center"/>
          </w:tcPr>
          <w:p>
            <w:pPr>
              <w:shd w:val="clear" w:color="auto" w:fill="auto"/>
              <w:snapToGrid w:val="0"/>
              <w:spacing w:before="0" w:beforeAutospacing="0" w:after="0" w:afterAutospacing="0"/>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trPr>
        <w:tc>
          <w:tcPr>
            <w:tcW w:w="1284"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snapToGrid w:val="0"/>
              <w:spacing w:before="0" w:beforeAutospacing="0" w:after="0" w:afterAutospacing="0"/>
              <w:ind w:left="0" w:right="0"/>
              <w:jc w:val="center"/>
              <w:outlineLvl w:val="9"/>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24</w:t>
            </w:r>
          </w:p>
        </w:tc>
      </w:tr>
      <w:tr>
        <w:trPr>
          <w:trHeight w:val="397" w:hRule="atLeast"/>
        </w:trPr>
        <w:tc>
          <w:tcPr>
            <w:tcW w:w="1284"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top"/>
          </w:tcPr>
          <w:p>
            <w:pPr>
              <w:pStyle w:val="18"/>
              <w:shd w:val="clear" w:color="auto" w:fill="auto"/>
              <w:snapToGrid w:val="0"/>
              <w:spacing w:beforeLines="20" w:beforeAutospacing="0" w:after="0" w:afterAutospacing="0" w:line="288" w:lineRule="auto"/>
              <w:ind w:left="0" w:right="0" w:firstLine="420"/>
              <w:outlineLvl w:val="9"/>
              <w:rPr>
                <w:rFonts w:hint="default" w:ascii="Times New Roman" w:hAnsi="Times New Roman" w:cs="Times New Roman"/>
                <w:color w:val="auto"/>
                <w:sz w:val="21"/>
                <w:szCs w:val="21"/>
                <w:shd w:val="clear" w:color="auto" w:fill="auto"/>
              </w:rPr>
            </w:pPr>
            <w:bookmarkStart w:id="328" w:name="_Toc29330"/>
            <w:r>
              <w:rPr>
                <w:rFonts w:hint="default" w:ascii="Times New Roman" w:hAnsi="Times New Roman" w:cs="Times New Roman"/>
                <w:color w:val="auto"/>
                <w:sz w:val="21"/>
                <w:szCs w:val="21"/>
                <w:shd w:val="clear" w:color="auto" w:fill="auto"/>
              </w:rPr>
              <w:t>生产放射性同位素的单位未将放射性同位素产品台账和放射源编码清单报国务院生态环境主管部门备案，责令限期改正逾期不改正的</w:t>
            </w:r>
            <w:bookmarkEnd w:id="328"/>
          </w:p>
        </w:tc>
      </w:tr>
      <w:tr>
        <w:tc>
          <w:tcPr>
            <w:tcW w:w="1284"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snapToGrid w:val="0"/>
              <w:spacing w:beforeLines="20" w:beforeAutospacing="0" w:after="0" w:afterAutospacing="0" w:line="288" w:lineRule="auto"/>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《放射性同位素与射线装置安全和防护条例》第二十二条第一款</w:t>
            </w:r>
            <w:r>
              <w:rPr>
                <w:rFonts w:hint="default" w:ascii="Times New Roman" w:hAnsi="Times New Roman" w:cs="Times New Roman"/>
                <w:color w:val="auto"/>
                <w:sz w:val="21"/>
                <w:szCs w:val="21"/>
                <w:shd w:val="clear" w:color="auto" w:fill="auto"/>
              </w:rPr>
              <w:t xml:space="preserve"> 生产放射性同位素的单位，应当建立放射性同位素产品台账，并按照国务院生态环境主管部门制定的编码规则，对生产的放射源统一编码。放射性同位素产品台账和放射源编码清单应当报国务院生态环境主管部门备案。</w:t>
            </w:r>
          </w:p>
        </w:tc>
      </w:tr>
      <w:tr>
        <w:tc>
          <w:tcPr>
            <w:tcW w:w="1284"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snapToGrid w:val="0"/>
              <w:spacing w:beforeLines="20" w:beforeAutospacing="0" w:after="0" w:afterAutospacing="0" w:line="288" w:lineRule="auto"/>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《放射性同位素与射线装置安全和防护条例》第五十八条第（三）项 </w:t>
            </w:r>
            <w:r>
              <w:rPr>
                <w:rFonts w:hint="default" w:ascii="Times New Roman" w:hAnsi="Times New Roman" w:cs="Times New Roman"/>
                <w:color w:val="auto"/>
                <w:sz w:val="21"/>
                <w:szCs w:val="21"/>
                <w:shd w:val="clear" w:color="auto" w:fill="auto"/>
              </w:rPr>
              <w:t>违反本条例规定，生产放射性同位素的单位有下列行为之一的，由县级以上人民政府生态环境主管部门责令限期改正，给予警告；逾期不改正的，依法收缴其未备案的放射性同位素和未编码的放射源，处5万元以上10万元以下的罚款，并可以由原发证机关暂扣或者吊销许可证：</w:t>
            </w:r>
          </w:p>
          <w:p>
            <w:pPr>
              <w:pStyle w:val="18"/>
              <w:shd w:val="clear" w:color="auto" w:fill="auto"/>
              <w:snapToGrid w:val="0"/>
              <w:spacing w:before="0" w:beforeAutospacing="0" w:after="0" w:afterAutospacing="0" w:line="288" w:lineRule="auto"/>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（三）未将放射性同位素产品台账和放射源编码清单报国务院生态环境主管部门备案的。</w:t>
            </w:r>
          </w:p>
        </w:tc>
      </w:tr>
      <w:tr>
        <w:trPr>
          <w:trHeight w:val="397" w:hRule="atLeast"/>
        </w:trPr>
        <w:tc>
          <w:tcPr>
            <w:tcW w:w="1284"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284"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w:t>
            </w:r>
          </w:p>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类型</w:t>
            </w: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Ⅳ类、Ⅴ类放射源</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Ⅲ类放射源</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Ⅰ类、Ⅱ类放射源</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非密封放射性物质工作场所分类</w:t>
            </w: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丙级工作场所</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乙级工作场所</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甲级工作场所</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widowControl w:val="0"/>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bidi="ar-SA"/>
              </w:rPr>
              <w:t>1个月</w:t>
            </w:r>
            <w:r>
              <w:rPr>
                <w:rFonts w:hint="default" w:ascii="Times New Roman" w:hAnsi="Times New Roman" w:cs="Times New Roman"/>
                <w:color w:val="auto"/>
                <w:kern w:val="2"/>
                <w:sz w:val="21"/>
                <w:szCs w:val="21"/>
                <w:shd w:val="clear" w:color="auto" w:fill="auto"/>
                <w:lang w:val="en-US" w:eastAsia="zh-CN" w:bidi="ar-SA"/>
              </w:rPr>
              <w:t>以下</w:t>
            </w:r>
          </w:p>
        </w:tc>
        <w:tc>
          <w:tcPr>
            <w:tcW w:w="26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bidi="ar-SA"/>
              </w:rPr>
              <w:t>1个月以上3个月</w:t>
            </w:r>
            <w:r>
              <w:rPr>
                <w:rFonts w:hint="default" w:ascii="Times New Roman" w:hAnsi="Times New Roman" w:cs="Times New Roman"/>
                <w:color w:val="auto"/>
                <w:kern w:val="2"/>
                <w:sz w:val="21"/>
                <w:szCs w:val="21"/>
                <w:shd w:val="clear" w:color="auto" w:fill="auto"/>
                <w:lang w:val="en-US" w:eastAsia="zh-CN" w:bidi="ar-SA"/>
              </w:rPr>
              <w:t>以下</w:t>
            </w:r>
          </w:p>
        </w:tc>
        <w:tc>
          <w:tcPr>
            <w:tcW w:w="26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bidi="ar-SA"/>
              </w:rPr>
              <w:t>3个月以上</w:t>
            </w:r>
            <w:r>
              <w:rPr>
                <w:rFonts w:hint="default" w:ascii="Times New Roman" w:hAnsi="Times New Roman" w:cs="Times New Roman"/>
                <w:color w:val="auto"/>
                <w:kern w:val="2"/>
                <w:sz w:val="21"/>
                <w:szCs w:val="21"/>
                <w:shd w:val="clear" w:color="auto" w:fill="auto"/>
                <w:lang w:eastAsia="zh-CN" w:bidi="ar-SA"/>
              </w:rPr>
              <w:t>6</w:t>
            </w:r>
            <w:r>
              <w:rPr>
                <w:rFonts w:hint="default" w:ascii="Times New Roman" w:hAnsi="Times New Roman" w:eastAsia="宋体" w:cs="Times New Roman"/>
                <w:color w:val="auto"/>
                <w:kern w:val="2"/>
                <w:sz w:val="21"/>
                <w:szCs w:val="21"/>
                <w:shd w:val="clear" w:color="auto" w:fill="auto"/>
                <w:lang w:val="en-US" w:eastAsia="zh-CN" w:bidi="ar-SA"/>
              </w:rPr>
              <w:t>个月</w:t>
            </w:r>
            <w:r>
              <w:rPr>
                <w:rFonts w:hint="default" w:ascii="Times New Roman" w:hAnsi="Times New Roman" w:cs="Times New Roman"/>
                <w:color w:val="auto"/>
                <w:kern w:val="2"/>
                <w:sz w:val="21"/>
                <w:szCs w:val="21"/>
                <w:shd w:val="clear" w:color="auto" w:fill="auto"/>
                <w:lang w:val="en-US" w:eastAsia="zh-CN" w:bidi="ar-SA"/>
              </w:rPr>
              <w:t>以下</w:t>
            </w:r>
          </w:p>
        </w:tc>
        <w:tc>
          <w:tcPr>
            <w:tcW w:w="26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6</w:t>
            </w:r>
            <w:r>
              <w:rPr>
                <w:rFonts w:hint="default" w:ascii="Times New Roman" w:hAnsi="Times New Roman" w:eastAsia="宋体" w:cs="Times New Roman"/>
                <w:color w:val="auto"/>
                <w:kern w:val="2"/>
                <w:sz w:val="21"/>
                <w:szCs w:val="21"/>
                <w:shd w:val="clear" w:color="auto" w:fill="auto"/>
                <w:lang w:val="en-US" w:eastAsia="zh-CN" w:bidi="ar-SA"/>
              </w:rPr>
              <w:t>个月以上</w:t>
            </w:r>
            <w:r>
              <w:rPr>
                <w:rFonts w:hint="default" w:ascii="Times New Roman" w:hAnsi="Times New Roman" w:cs="Times New Roman"/>
                <w:color w:val="auto"/>
                <w:kern w:val="2"/>
                <w:sz w:val="21"/>
                <w:szCs w:val="21"/>
                <w:shd w:val="clear" w:color="auto" w:fill="auto"/>
                <w:lang w:eastAsia="zh-CN" w:bidi="ar-SA"/>
              </w:rPr>
              <w:t>1</w:t>
            </w:r>
            <w:r>
              <w:rPr>
                <w:rFonts w:hint="default" w:ascii="Times New Roman" w:hAnsi="Times New Roman" w:eastAsia="宋体" w:cs="Times New Roman"/>
                <w:color w:val="auto"/>
                <w:kern w:val="2"/>
                <w:sz w:val="21"/>
                <w:szCs w:val="21"/>
                <w:shd w:val="clear" w:color="auto" w:fill="auto"/>
                <w:lang w:val="en-US" w:eastAsia="zh-CN" w:bidi="ar-SA"/>
              </w:rPr>
              <w:t>年</w:t>
            </w:r>
            <w:r>
              <w:rPr>
                <w:rFonts w:hint="default" w:ascii="Times New Roman" w:hAnsi="Times New Roman" w:cs="Times New Roman"/>
                <w:color w:val="auto"/>
                <w:kern w:val="2"/>
                <w:sz w:val="21"/>
                <w:szCs w:val="21"/>
                <w:shd w:val="clear" w:color="auto" w:fill="auto"/>
                <w:lang w:val="en-US" w:eastAsia="zh-CN" w:bidi="ar-SA"/>
              </w:rPr>
              <w:t>以下</w:t>
            </w:r>
          </w:p>
        </w:tc>
        <w:tc>
          <w:tcPr>
            <w:tcW w:w="26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bidi="ar-SA"/>
              </w:rPr>
              <w:t>1</w:t>
            </w:r>
            <w:r>
              <w:rPr>
                <w:rFonts w:hint="default" w:ascii="Times New Roman" w:hAnsi="Times New Roman" w:eastAsia="宋体" w:cs="Times New Roman"/>
                <w:color w:val="auto"/>
                <w:kern w:val="2"/>
                <w:sz w:val="21"/>
                <w:szCs w:val="21"/>
                <w:shd w:val="clear" w:color="auto" w:fill="auto"/>
                <w:lang w:val="en-US" w:eastAsia="zh-CN" w:bidi="ar-SA"/>
              </w:rPr>
              <w:t>年以上</w:t>
            </w:r>
          </w:p>
        </w:tc>
        <w:tc>
          <w:tcPr>
            <w:tcW w:w="264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130"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kern w:val="2"/>
                <w:sz w:val="21"/>
                <w:szCs w:val="21"/>
                <w:shd w:val="clear" w:color="auto" w:fill="auto"/>
                <w:lang w:val="en-US"/>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kern w:val="2"/>
                <w:sz w:val="21"/>
                <w:szCs w:val="21"/>
                <w:shd w:val="clear" w:color="auto" w:fill="auto"/>
                <w:lang w:val="en-US"/>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4</w:t>
            </w:r>
          </w:p>
        </w:tc>
      </w:tr>
      <w:tr>
        <w:trPr>
          <w:trHeight w:val="397"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kern w:val="2"/>
                <w:sz w:val="21"/>
                <w:szCs w:val="21"/>
                <w:shd w:val="clear" w:color="auto" w:fill="auto"/>
                <w:lang w:val="en-US"/>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5</w:t>
            </w:r>
          </w:p>
        </w:tc>
      </w:tr>
      <w:tr>
        <w:trPr>
          <w:trHeight w:val="397" w:hRule="atLeast"/>
        </w:trPr>
        <w:tc>
          <w:tcPr>
            <w:tcW w:w="1284"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28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trPr>
        <w:tc>
          <w:tcPr>
            <w:tcW w:w="1284"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trPr>
        <w:tc>
          <w:tcPr>
            <w:tcW w:w="128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28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6" w:type="dxa"/>
            <w:gridSpan w:val="2"/>
            <w:vAlign w:val="center"/>
          </w:tcPr>
          <w:p>
            <w:pPr>
              <w:shd w:val="clear" w:color="auto" w:fill="auto"/>
              <w:snapToGrid w:val="0"/>
              <w:spacing w:before="0" w:beforeAutospacing="0" w:after="0" w:afterAutospacing="0"/>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5079"/>
        <w:gridCol w:w="2470"/>
      </w:tblGrid>
      <w:tr>
        <w:trPr>
          <w:trHeight w:val="397" w:hRule="atLeast"/>
        </w:trPr>
        <w:tc>
          <w:tcPr>
            <w:tcW w:w="9060" w:type="dxa"/>
            <w:gridSpan w:val="3"/>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trPr>
        <w:tc>
          <w:tcPr>
            <w:tcW w:w="15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549"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329" w:name="_Toc11871"/>
            <w:r>
              <w:rPr>
                <w:rFonts w:hint="default" w:ascii="Times New Roman" w:hAnsi="Times New Roman" w:cs="Times New Roman"/>
                <w:color w:val="auto"/>
                <w:sz w:val="20"/>
                <w:szCs w:val="20"/>
                <w:shd w:val="clear" w:color="auto" w:fill="auto"/>
              </w:rPr>
              <w:t>25</w:t>
            </w:r>
            <w:bookmarkEnd w:id="329"/>
          </w:p>
        </w:tc>
      </w:tr>
      <w:tr>
        <w:trPr>
          <w:trHeight w:val="397" w:hRule="atLeast"/>
        </w:trPr>
        <w:tc>
          <w:tcPr>
            <w:tcW w:w="15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549" w:type="dxa"/>
            <w:gridSpan w:val="2"/>
            <w:vAlign w:val="center"/>
          </w:tcPr>
          <w:p>
            <w:pPr>
              <w:pStyle w:val="18"/>
              <w:shd w:val="clear" w:color="auto" w:fill="auto"/>
              <w:snapToGrid w:val="0"/>
              <w:spacing w:before="0" w:beforeAutospacing="0" w:after="0" w:afterAutospacing="0" w:line="320" w:lineRule="exact"/>
              <w:ind w:left="0" w:right="0" w:firstLine="420"/>
              <w:jc w:val="both"/>
              <w:outlineLvl w:val="9"/>
              <w:rPr>
                <w:rFonts w:hint="default" w:ascii="Times New Roman" w:hAnsi="Times New Roman" w:cs="Times New Roman"/>
                <w:color w:val="auto"/>
                <w:sz w:val="21"/>
                <w:szCs w:val="21"/>
                <w:shd w:val="clear" w:color="auto" w:fill="auto"/>
              </w:rPr>
            </w:pPr>
            <w:bookmarkStart w:id="330" w:name="_Toc14114"/>
            <w:r>
              <w:rPr>
                <w:rFonts w:hint="default" w:ascii="Times New Roman" w:hAnsi="Times New Roman" w:cs="Times New Roman"/>
                <w:color w:val="auto"/>
                <w:sz w:val="21"/>
                <w:szCs w:val="21"/>
                <w:shd w:val="clear" w:color="auto" w:fill="auto"/>
              </w:rPr>
              <w:t>生产放射性同位素的单位出厂或者销售未列入产品台账的放射性同位素和未编码的放射源，责令限期改正逾期不改正的</w:t>
            </w:r>
            <w:bookmarkEnd w:id="330"/>
          </w:p>
        </w:tc>
      </w:tr>
      <w:tr>
        <w:trPr>
          <w:trHeight w:val="397" w:hRule="atLeast"/>
        </w:trPr>
        <w:tc>
          <w:tcPr>
            <w:tcW w:w="15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549"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《放射性同位素与射线装置安全和防护条例》第二十二条第四款</w:t>
            </w:r>
            <w:r>
              <w:rPr>
                <w:rFonts w:hint="default" w:ascii="Times New Roman" w:hAnsi="Times New Roman" w:cs="Times New Roman"/>
                <w:color w:val="auto"/>
                <w:sz w:val="21"/>
                <w:szCs w:val="21"/>
                <w:shd w:val="clear" w:color="auto" w:fill="auto"/>
              </w:rPr>
              <w:t xml:space="preserve">  未列入产品台账的放射性同位素和未编码的放射源，不得出厂和销售。</w:t>
            </w:r>
          </w:p>
        </w:tc>
      </w:tr>
      <w:tr>
        <w:trPr>
          <w:trHeight w:val="397" w:hRule="atLeast"/>
        </w:trPr>
        <w:tc>
          <w:tcPr>
            <w:tcW w:w="15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549"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《放射性同位素与射线装置安全和防护条例》第五十八条第（四）项  </w:t>
            </w:r>
            <w:r>
              <w:rPr>
                <w:rFonts w:hint="default" w:ascii="Times New Roman" w:hAnsi="Times New Roman" w:cs="Times New Roman"/>
                <w:color w:val="auto"/>
                <w:sz w:val="21"/>
                <w:szCs w:val="21"/>
                <w:shd w:val="clear" w:color="auto" w:fill="auto"/>
              </w:rPr>
              <w:t>违反本条例规定，生产放射性同位素的单位有下列行为之一的，由县级以上人民政府生态环境主管部门责令限期改正，给予警告；逾期不改正的，依法收缴其未备案的放射性同位素和未编码的放射源，处5万元以上10万元以下的罚款，并可以由原发证机关暂扣或者吊销许可证：</w:t>
            </w:r>
          </w:p>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（四）出厂或者销售未列入产品台账的放射性同位素和未编码的放射源的。</w:t>
            </w:r>
          </w:p>
        </w:tc>
      </w:tr>
      <w:tr>
        <w:trPr>
          <w:trHeight w:val="369" w:hRule="atLeast"/>
        </w:trPr>
        <w:tc>
          <w:tcPr>
            <w:tcW w:w="15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47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08" w:hRule="atLeast"/>
        </w:trPr>
        <w:tc>
          <w:tcPr>
            <w:tcW w:w="151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类型</w:t>
            </w:r>
          </w:p>
        </w:tc>
        <w:tc>
          <w:tcPr>
            <w:tcW w:w="5079" w:type="dxa"/>
            <w:vAlign w:val="center"/>
          </w:tcPr>
          <w:p>
            <w:pPr>
              <w:snapToGrid w:val="0"/>
              <w:spacing w:before="0" w:beforeAutospacing="0" w:after="0" w:afterAutospacing="0" w:line="240" w:lineRule="auto"/>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Ⅳ类、Ⅴ类放射源</w:t>
            </w:r>
          </w:p>
        </w:tc>
        <w:tc>
          <w:tcPr>
            <w:tcW w:w="247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08" w:hRule="atLeast"/>
        </w:trPr>
        <w:tc>
          <w:tcPr>
            <w:tcW w:w="15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79"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Ⅲ类放射源</w:t>
            </w:r>
          </w:p>
        </w:tc>
        <w:tc>
          <w:tcPr>
            <w:tcW w:w="247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08" w:hRule="atLeast"/>
        </w:trPr>
        <w:tc>
          <w:tcPr>
            <w:tcW w:w="15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79"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Ⅰ类、Ⅱ类放射源</w:t>
            </w:r>
          </w:p>
        </w:tc>
        <w:tc>
          <w:tcPr>
            <w:tcW w:w="247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08" w:hRule="atLeast"/>
        </w:trPr>
        <w:tc>
          <w:tcPr>
            <w:tcW w:w="151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非密封放射性物质工作场所分类</w:t>
            </w:r>
          </w:p>
        </w:tc>
        <w:tc>
          <w:tcPr>
            <w:tcW w:w="5079" w:type="dxa"/>
            <w:vAlign w:val="center"/>
          </w:tcPr>
          <w:p>
            <w:pPr>
              <w:snapToGrid w:val="0"/>
              <w:spacing w:before="0" w:beforeAutospacing="0" w:after="0" w:afterAutospacing="0" w:line="240" w:lineRule="auto"/>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丙级工作场所</w:t>
            </w:r>
          </w:p>
        </w:tc>
        <w:tc>
          <w:tcPr>
            <w:tcW w:w="247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08" w:hRule="atLeast"/>
        </w:trPr>
        <w:tc>
          <w:tcPr>
            <w:tcW w:w="15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79" w:type="dxa"/>
            <w:vAlign w:val="center"/>
          </w:tcPr>
          <w:p>
            <w:pPr>
              <w:snapToGrid w:val="0"/>
              <w:spacing w:before="0" w:beforeAutospacing="0" w:after="0" w:afterAutospacing="0" w:line="240" w:lineRule="auto"/>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乙级工作场所</w:t>
            </w:r>
          </w:p>
        </w:tc>
        <w:tc>
          <w:tcPr>
            <w:tcW w:w="247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08" w:hRule="atLeast"/>
        </w:trPr>
        <w:tc>
          <w:tcPr>
            <w:tcW w:w="15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79" w:type="dxa"/>
            <w:vAlign w:val="center"/>
          </w:tcPr>
          <w:p>
            <w:pPr>
              <w:snapToGrid w:val="0"/>
              <w:spacing w:before="0" w:beforeAutospacing="0" w:after="0" w:afterAutospacing="0" w:line="240" w:lineRule="auto"/>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甲级工作场所</w:t>
            </w:r>
          </w:p>
        </w:tc>
        <w:tc>
          <w:tcPr>
            <w:tcW w:w="247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08" w:hRule="atLeast"/>
        </w:trPr>
        <w:tc>
          <w:tcPr>
            <w:tcW w:w="1511"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79"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bidi="ar-SA"/>
              </w:rPr>
              <w:t>1个月</w:t>
            </w:r>
            <w:r>
              <w:rPr>
                <w:rFonts w:hint="default" w:ascii="Times New Roman" w:hAnsi="Times New Roman" w:cs="Times New Roman"/>
                <w:color w:val="auto"/>
                <w:kern w:val="2"/>
                <w:sz w:val="21"/>
                <w:szCs w:val="21"/>
                <w:shd w:val="clear" w:color="auto" w:fill="auto"/>
                <w:lang w:val="en-US" w:eastAsia="zh-CN" w:bidi="ar-SA"/>
              </w:rPr>
              <w:t>以下</w:t>
            </w:r>
          </w:p>
        </w:tc>
        <w:tc>
          <w:tcPr>
            <w:tcW w:w="247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08" w:hRule="atLeast"/>
        </w:trPr>
        <w:tc>
          <w:tcPr>
            <w:tcW w:w="1511"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79"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bidi="ar-SA"/>
              </w:rPr>
              <w:t>1个月以上3个月</w:t>
            </w:r>
            <w:r>
              <w:rPr>
                <w:rFonts w:hint="default" w:ascii="Times New Roman" w:hAnsi="Times New Roman" w:cs="Times New Roman"/>
                <w:color w:val="auto"/>
                <w:kern w:val="2"/>
                <w:sz w:val="21"/>
                <w:szCs w:val="21"/>
                <w:shd w:val="clear" w:color="auto" w:fill="auto"/>
                <w:lang w:val="en-US" w:eastAsia="zh-CN" w:bidi="ar-SA"/>
              </w:rPr>
              <w:t>以下</w:t>
            </w:r>
          </w:p>
        </w:tc>
        <w:tc>
          <w:tcPr>
            <w:tcW w:w="247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08" w:hRule="atLeast"/>
        </w:trPr>
        <w:tc>
          <w:tcPr>
            <w:tcW w:w="1511"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79"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bidi="ar-SA"/>
              </w:rPr>
              <w:t>3个月以上</w:t>
            </w:r>
            <w:r>
              <w:rPr>
                <w:rFonts w:hint="default" w:ascii="Times New Roman" w:hAnsi="Times New Roman" w:cs="Times New Roman"/>
                <w:color w:val="auto"/>
                <w:kern w:val="2"/>
                <w:sz w:val="21"/>
                <w:szCs w:val="21"/>
                <w:shd w:val="clear" w:color="auto" w:fill="auto"/>
                <w:lang w:eastAsia="zh-CN" w:bidi="ar-SA"/>
              </w:rPr>
              <w:t>6</w:t>
            </w:r>
            <w:r>
              <w:rPr>
                <w:rFonts w:hint="default" w:ascii="Times New Roman" w:hAnsi="Times New Roman" w:eastAsia="宋体" w:cs="Times New Roman"/>
                <w:color w:val="auto"/>
                <w:kern w:val="2"/>
                <w:sz w:val="21"/>
                <w:szCs w:val="21"/>
                <w:shd w:val="clear" w:color="auto" w:fill="auto"/>
                <w:lang w:val="en-US" w:eastAsia="zh-CN" w:bidi="ar-SA"/>
              </w:rPr>
              <w:t>个月</w:t>
            </w:r>
            <w:r>
              <w:rPr>
                <w:rFonts w:hint="default" w:ascii="Times New Roman" w:hAnsi="Times New Roman" w:cs="Times New Roman"/>
                <w:color w:val="auto"/>
                <w:kern w:val="2"/>
                <w:sz w:val="21"/>
                <w:szCs w:val="21"/>
                <w:shd w:val="clear" w:color="auto" w:fill="auto"/>
                <w:lang w:val="en-US" w:eastAsia="zh-CN" w:bidi="ar-SA"/>
              </w:rPr>
              <w:t>以下</w:t>
            </w:r>
          </w:p>
        </w:tc>
        <w:tc>
          <w:tcPr>
            <w:tcW w:w="247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08" w:hRule="atLeast"/>
        </w:trPr>
        <w:tc>
          <w:tcPr>
            <w:tcW w:w="1511"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79"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6</w:t>
            </w:r>
            <w:r>
              <w:rPr>
                <w:rFonts w:hint="default" w:ascii="Times New Roman" w:hAnsi="Times New Roman" w:eastAsia="宋体" w:cs="Times New Roman"/>
                <w:color w:val="auto"/>
                <w:kern w:val="2"/>
                <w:sz w:val="21"/>
                <w:szCs w:val="21"/>
                <w:shd w:val="clear" w:color="auto" w:fill="auto"/>
                <w:lang w:val="en-US" w:eastAsia="zh-CN" w:bidi="ar-SA"/>
              </w:rPr>
              <w:t>个月以上</w:t>
            </w:r>
            <w:r>
              <w:rPr>
                <w:rFonts w:hint="default" w:ascii="Times New Roman" w:hAnsi="Times New Roman" w:cs="Times New Roman"/>
                <w:color w:val="auto"/>
                <w:kern w:val="2"/>
                <w:sz w:val="21"/>
                <w:szCs w:val="21"/>
                <w:shd w:val="clear" w:color="auto" w:fill="auto"/>
                <w:lang w:eastAsia="zh-CN" w:bidi="ar-SA"/>
              </w:rPr>
              <w:t>1</w:t>
            </w:r>
            <w:r>
              <w:rPr>
                <w:rFonts w:hint="default" w:ascii="Times New Roman" w:hAnsi="Times New Roman" w:eastAsia="宋体" w:cs="Times New Roman"/>
                <w:color w:val="auto"/>
                <w:kern w:val="2"/>
                <w:sz w:val="21"/>
                <w:szCs w:val="21"/>
                <w:shd w:val="clear" w:color="auto" w:fill="auto"/>
                <w:lang w:val="en-US" w:eastAsia="zh-CN" w:bidi="ar-SA"/>
              </w:rPr>
              <w:t>年</w:t>
            </w:r>
            <w:r>
              <w:rPr>
                <w:rFonts w:hint="default" w:ascii="Times New Roman" w:hAnsi="Times New Roman" w:cs="Times New Roman"/>
                <w:color w:val="auto"/>
                <w:kern w:val="2"/>
                <w:sz w:val="21"/>
                <w:szCs w:val="21"/>
                <w:shd w:val="clear" w:color="auto" w:fill="auto"/>
                <w:lang w:val="en-US" w:eastAsia="zh-CN" w:bidi="ar-SA"/>
              </w:rPr>
              <w:t>以下</w:t>
            </w:r>
          </w:p>
        </w:tc>
        <w:tc>
          <w:tcPr>
            <w:tcW w:w="247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08" w:hRule="atLeast"/>
        </w:trPr>
        <w:tc>
          <w:tcPr>
            <w:tcW w:w="1511"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79"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bidi="ar-SA"/>
              </w:rPr>
              <w:t>1</w:t>
            </w:r>
            <w:r>
              <w:rPr>
                <w:rFonts w:hint="default" w:ascii="Times New Roman" w:hAnsi="Times New Roman" w:eastAsia="宋体" w:cs="Times New Roman"/>
                <w:color w:val="auto"/>
                <w:kern w:val="2"/>
                <w:sz w:val="21"/>
                <w:szCs w:val="21"/>
                <w:shd w:val="clear" w:color="auto" w:fill="auto"/>
                <w:lang w:val="en-US" w:eastAsia="zh-CN" w:bidi="ar-SA"/>
              </w:rPr>
              <w:t>年以上</w:t>
            </w:r>
          </w:p>
        </w:tc>
        <w:tc>
          <w:tcPr>
            <w:tcW w:w="247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08" w:hRule="atLeast"/>
        </w:trPr>
        <w:tc>
          <w:tcPr>
            <w:tcW w:w="1511"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079"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kern w:val="2"/>
                <w:sz w:val="21"/>
                <w:szCs w:val="21"/>
                <w:shd w:val="clear" w:color="auto" w:fill="auto"/>
                <w:lang w:val="en-US"/>
              </w:rPr>
              <w:t>3天以下</w:t>
            </w:r>
          </w:p>
        </w:tc>
        <w:tc>
          <w:tcPr>
            <w:tcW w:w="247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3</w:t>
            </w:r>
          </w:p>
        </w:tc>
      </w:tr>
      <w:tr>
        <w:trPr>
          <w:trHeight w:val="408" w:hRule="atLeast"/>
        </w:trPr>
        <w:tc>
          <w:tcPr>
            <w:tcW w:w="1511"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79"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kern w:val="2"/>
                <w:sz w:val="21"/>
                <w:szCs w:val="21"/>
                <w:shd w:val="clear" w:color="auto" w:fill="auto"/>
                <w:lang w:val="en-US"/>
              </w:rPr>
              <w:t>3天以上7天以下</w:t>
            </w:r>
          </w:p>
        </w:tc>
        <w:tc>
          <w:tcPr>
            <w:tcW w:w="247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4</w:t>
            </w:r>
          </w:p>
        </w:tc>
      </w:tr>
      <w:tr>
        <w:trPr>
          <w:trHeight w:val="408" w:hRule="atLeast"/>
        </w:trPr>
        <w:tc>
          <w:tcPr>
            <w:tcW w:w="1511"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79"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kern w:val="2"/>
                <w:sz w:val="21"/>
                <w:szCs w:val="21"/>
                <w:shd w:val="clear" w:color="auto" w:fill="auto"/>
                <w:lang w:val="en-US"/>
              </w:rPr>
              <w:t>7天以上</w:t>
            </w:r>
          </w:p>
        </w:tc>
        <w:tc>
          <w:tcPr>
            <w:tcW w:w="247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5</w:t>
            </w:r>
          </w:p>
        </w:tc>
      </w:tr>
      <w:tr>
        <w:trPr>
          <w:trHeight w:val="408" w:hRule="atLeast"/>
        </w:trPr>
        <w:tc>
          <w:tcPr>
            <w:tcW w:w="151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079"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47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08" w:hRule="atLeast"/>
        </w:trPr>
        <w:tc>
          <w:tcPr>
            <w:tcW w:w="15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79"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47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08" w:hRule="atLeast"/>
        </w:trPr>
        <w:tc>
          <w:tcPr>
            <w:tcW w:w="15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79"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47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08" w:hRule="atLeast"/>
        </w:trPr>
        <w:tc>
          <w:tcPr>
            <w:tcW w:w="15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79"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47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408" w:hRule="atLeast"/>
        </w:trPr>
        <w:tc>
          <w:tcPr>
            <w:tcW w:w="151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079"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登记管理</w:t>
            </w:r>
          </w:p>
        </w:tc>
        <w:tc>
          <w:tcPr>
            <w:tcW w:w="247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08" w:hRule="atLeast"/>
        </w:trPr>
        <w:tc>
          <w:tcPr>
            <w:tcW w:w="15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47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408" w:hRule="atLeast"/>
        </w:trPr>
        <w:tc>
          <w:tcPr>
            <w:tcW w:w="15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79"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重点管理</w:t>
            </w:r>
          </w:p>
        </w:tc>
        <w:tc>
          <w:tcPr>
            <w:tcW w:w="247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08" w:hRule="atLeast"/>
        </w:trPr>
        <w:tc>
          <w:tcPr>
            <w:tcW w:w="151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受处罚次数</w:t>
            </w:r>
          </w:p>
        </w:tc>
        <w:tc>
          <w:tcPr>
            <w:tcW w:w="5079"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47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08" w:hRule="atLeast"/>
        </w:trPr>
        <w:tc>
          <w:tcPr>
            <w:tcW w:w="15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79"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247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408" w:hRule="atLeast"/>
        </w:trPr>
        <w:tc>
          <w:tcPr>
            <w:tcW w:w="15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79"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247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408" w:hRule="atLeast"/>
        </w:trPr>
        <w:tc>
          <w:tcPr>
            <w:tcW w:w="151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47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08" w:hRule="atLeast"/>
        </w:trPr>
        <w:tc>
          <w:tcPr>
            <w:tcW w:w="15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47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08" w:hRule="atLeast"/>
        </w:trPr>
        <w:tc>
          <w:tcPr>
            <w:tcW w:w="15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47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08" w:hRule="atLeast"/>
        </w:trPr>
        <w:tc>
          <w:tcPr>
            <w:tcW w:w="15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47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08" w:hRule="atLeast"/>
        </w:trPr>
        <w:tc>
          <w:tcPr>
            <w:tcW w:w="15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549"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231"/>
        <w:gridCol w:w="2281"/>
      </w:tblGrid>
      <w:tr>
        <w:trPr>
          <w:trHeight w:val="340" w:hRule="atLeast"/>
        </w:trPr>
        <w:tc>
          <w:tcPr>
            <w:tcW w:w="9060" w:type="dxa"/>
            <w:gridSpan w:val="3"/>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40"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51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331" w:name="_Toc15560"/>
            <w:r>
              <w:rPr>
                <w:rFonts w:hint="default" w:ascii="Times New Roman" w:hAnsi="Times New Roman" w:cs="Times New Roman"/>
                <w:color w:val="auto"/>
                <w:sz w:val="20"/>
                <w:szCs w:val="20"/>
                <w:shd w:val="clear" w:color="auto" w:fill="auto"/>
              </w:rPr>
              <w:t>26</w:t>
            </w:r>
            <w:bookmarkEnd w:id="331"/>
          </w:p>
        </w:tc>
      </w:tr>
      <w:tr>
        <w:trPr>
          <w:trHeight w:val="340"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512" w:type="dxa"/>
            <w:gridSpan w:val="2"/>
            <w:vAlign w:val="top"/>
          </w:tcPr>
          <w:p>
            <w:pPr>
              <w:pStyle w:val="18"/>
              <w:shd w:val="clear" w:color="auto" w:fill="auto"/>
              <w:snapToGrid w:val="0"/>
              <w:spacing w:before="0" w:beforeAutospacing="0" w:after="0" w:afterAutospacing="0" w:line="320" w:lineRule="exact"/>
              <w:ind w:left="0" w:right="0" w:firstLine="420"/>
              <w:outlineLvl w:val="9"/>
              <w:rPr>
                <w:rFonts w:hint="default" w:ascii="Times New Roman" w:hAnsi="Times New Roman" w:cs="Times New Roman"/>
                <w:color w:val="auto"/>
                <w:sz w:val="21"/>
                <w:szCs w:val="21"/>
                <w:shd w:val="clear" w:color="auto" w:fill="auto"/>
              </w:rPr>
            </w:pPr>
            <w:bookmarkStart w:id="332" w:name="_Toc3763"/>
            <w:r>
              <w:rPr>
                <w:rFonts w:hint="default" w:ascii="Times New Roman" w:hAnsi="Times New Roman" w:cs="Times New Roman"/>
                <w:color w:val="auto"/>
                <w:sz w:val="21"/>
                <w:szCs w:val="21"/>
                <w:shd w:val="clear" w:color="auto" w:fill="auto"/>
              </w:rPr>
              <w:t>生产、销售、使用放射性同位素和射线装置的单位未按照规定对废旧放射源进行处理，责令限期改正逾期不改正的</w:t>
            </w:r>
            <w:bookmarkEnd w:id="332"/>
          </w:p>
        </w:tc>
      </w:tr>
      <w:tr>
        <w:trPr>
          <w:trHeight w:val="340"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512"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《放射性同位素与射线装置安全和防护条例》第三十二条 </w:t>
            </w:r>
            <w:r>
              <w:rPr>
                <w:rFonts w:hint="default" w:ascii="Times New Roman" w:hAnsi="Times New Roman" w:cs="Times New Roman"/>
                <w:color w:val="auto"/>
                <w:sz w:val="21"/>
                <w:szCs w:val="21"/>
                <w:shd w:val="clear" w:color="auto" w:fill="auto"/>
              </w:rPr>
              <w:t>生产、进口放射源的单位销售Ⅰ类、Ⅱ类、Ⅲ类放射源给其他单位使用的，应当与使用放射源的单位签订废旧放射源返回协议；使用放射源的单位应当按照废旧放射源返回协议规定将废旧放射源交回生产单位或者返回原出口方。确实无法交回生产单位或者返回原出口方的，送交有相应资质的放射性废物集中贮存单位贮存。</w:t>
            </w:r>
          </w:p>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使用放射源的单位应当按照国务院环境保护主管部门的规定，将Ⅳ类、Ⅴ类废旧放射源进行包装整备后送交有相应资质的放射性废物集中贮存单位贮存。</w:t>
            </w:r>
          </w:p>
        </w:tc>
      </w:tr>
      <w:tr>
        <w:trPr>
          <w:trHeight w:val="340"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512"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《放射性同位素与射线装置安全和防护条例》第五十九条第（一）项 </w:t>
            </w:r>
            <w:r>
              <w:rPr>
                <w:rFonts w:hint="default" w:ascii="Times New Roman" w:hAnsi="Times New Roman" w:cs="Times New Roman"/>
                <w:color w:val="auto"/>
                <w:sz w:val="21"/>
                <w:szCs w:val="21"/>
                <w:shd w:val="clear" w:color="auto" w:fill="auto"/>
              </w:rPr>
              <w:t>违反本条例规定，生产、销售、使用放射性同位素和射线装置的单位有下列行为之一的，由县级以上人民政府生态环境主管部门责令停止违法行为，限期改正；逾期不改正的，由原发证机关指定有处理能力的单位代为处理或者实施退役，费用由生产、销售、使用放射性同位素和射线装置的单位承担，并处1万元以上10万元以下的罚款：</w:t>
            </w:r>
          </w:p>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（一）未按照规定对废旧放射源进行处理的。</w:t>
            </w:r>
          </w:p>
        </w:tc>
      </w:tr>
      <w:tr>
        <w:trPr>
          <w:trHeight w:val="425"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2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28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231"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未规范对废旧放射源进行处理的</w:t>
            </w:r>
          </w:p>
        </w:tc>
        <w:tc>
          <w:tcPr>
            <w:tcW w:w="228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只对部分废旧放射源进行处理的</w:t>
            </w:r>
          </w:p>
        </w:tc>
        <w:tc>
          <w:tcPr>
            <w:tcW w:w="228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未对废旧放射源进行处理的</w:t>
            </w:r>
          </w:p>
        </w:tc>
        <w:tc>
          <w:tcPr>
            <w:tcW w:w="228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涉及放射类型</w:t>
            </w:r>
          </w:p>
        </w:tc>
        <w:tc>
          <w:tcPr>
            <w:tcW w:w="5231"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Ⅳ类、Ⅴ类放射源</w:t>
            </w:r>
          </w:p>
        </w:tc>
        <w:tc>
          <w:tcPr>
            <w:tcW w:w="228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Ⅲ类放射源</w:t>
            </w:r>
          </w:p>
        </w:tc>
        <w:tc>
          <w:tcPr>
            <w:tcW w:w="228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Ⅰ类、Ⅱ类放射源</w:t>
            </w:r>
          </w:p>
        </w:tc>
        <w:tc>
          <w:tcPr>
            <w:tcW w:w="228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辐射事故</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等级</w:t>
            </w:r>
          </w:p>
        </w:tc>
        <w:tc>
          <w:tcPr>
            <w:tcW w:w="5231"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未造成辐射事故</w:t>
            </w:r>
          </w:p>
        </w:tc>
        <w:tc>
          <w:tcPr>
            <w:tcW w:w="228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napToGrid w:val="0"/>
              <w:spacing w:before="0" w:beforeAutospacing="0" w:after="0" w:afterAutospacing="0"/>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造成一般辐射事故</w:t>
            </w:r>
          </w:p>
        </w:tc>
        <w:tc>
          <w:tcPr>
            <w:tcW w:w="228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napToGrid w:val="0"/>
              <w:spacing w:before="0" w:beforeAutospacing="0" w:after="0" w:afterAutospacing="0"/>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造成较大辐射事故</w:t>
            </w:r>
          </w:p>
        </w:tc>
        <w:tc>
          <w:tcPr>
            <w:tcW w:w="228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napToGrid w:val="0"/>
              <w:spacing w:before="0" w:beforeAutospacing="0" w:after="0" w:afterAutospacing="0"/>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造成重大辐射事故</w:t>
            </w:r>
          </w:p>
        </w:tc>
        <w:tc>
          <w:tcPr>
            <w:tcW w:w="228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napToGrid w:val="0"/>
              <w:spacing w:before="0" w:beforeAutospacing="0" w:after="0" w:afterAutospacing="0"/>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造成特别重大辐射事故</w:t>
            </w:r>
          </w:p>
        </w:tc>
        <w:tc>
          <w:tcPr>
            <w:tcW w:w="228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54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231"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bidi="ar-SA"/>
              </w:rPr>
              <w:t>1个月</w:t>
            </w:r>
            <w:r>
              <w:rPr>
                <w:rFonts w:hint="default" w:ascii="Times New Roman" w:hAnsi="Times New Roman" w:cs="Times New Roman"/>
                <w:color w:val="auto"/>
                <w:kern w:val="2"/>
                <w:sz w:val="21"/>
                <w:szCs w:val="21"/>
                <w:shd w:val="clear" w:color="auto" w:fill="auto"/>
                <w:lang w:val="en-US" w:eastAsia="zh-CN" w:bidi="ar-SA"/>
              </w:rPr>
              <w:t>以下</w:t>
            </w:r>
          </w:p>
        </w:tc>
        <w:tc>
          <w:tcPr>
            <w:tcW w:w="228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54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bidi="ar-SA"/>
              </w:rPr>
              <w:t>1个月以上3个月</w:t>
            </w:r>
            <w:r>
              <w:rPr>
                <w:rFonts w:hint="default" w:ascii="Times New Roman" w:hAnsi="Times New Roman" w:cs="Times New Roman"/>
                <w:color w:val="auto"/>
                <w:kern w:val="2"/>
                <w:sz w:val="21"/>
                <w:szCs w:val="21"/>
                <w:shd w:val="clear" w:color="auto" w:fill="auto"/>
                <w:lang w:val="en-US" w:eastAsia="zh-CN" w:bidi="ar-SA"/>
              </w:rPr>
              <w:t>以下</w:t>
            </w:r>
          </w:p>
        </w:tc>
        <w:tc>
          <w:tcPr>
            <w:tcW w:w="228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54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bidi="ar-SA"/>
              </w:rPr>
              <w:t>3个月以上</w:t>
            </w:r>
            <w:r>
              <w:rPr>
                <w:rFonts w:hint="default" w:ascii="Times New Roman" w:hAnsi="Times New Roman" w:cs="Times New Roman"/>
                <w:color w:val="auto"/>
                <w:kern w:val="2"/>
                <w:sz w:val="21"/>
                <w:szCs w:val="21"/>
                <w:shd w:val="clear" w:color="auto" w:fill="auto"/>
                <w:lang w:eastAsia="zh-CN" w:bidi="ar-SA"/>
              </w:rPr>
              <w:t>6</w:t>
            </w:r>
            <w:r>
              <w:rPr>
                <w:rFonts w:hint="default" w:ascii="Times New Roman" w:hAnsi="Times New Roman" w:eastAsia="宋体" w:cs="Times New Roman"/>
                <w:color w:val="auto"/>
                <w:kern w:val="2"/>
                <w:sz w:val="21"/>
                <w:szCs w:val="21"/>
                <w:shd w:val="clear" w:color="auto" w:fill="auto"/>
                <w:lang w:val="en-US" w:eastAsia="zh-CN" w:bidi="ar-SA"/>
              </w:rPr>
              <w:t>个月</w:t>
            </w:r>
            <w:r>
              <w:rPr>
                <w:rFonts w:hint="default" w:ascii="Times New Roman" w:hAnsi="Times New Roman" w:cs="Times New Roman"/>
                <w:color w:val="auto"/>
                <w:kern w:val="2"/>
                <w:sz w:val="21"/>
                <w:szCs w:val="21"/>
                <w:shd w:val="clear" w:color="auto" w:fill="auto"/>
                <w:lang w:val="en-US" w:eastAsia="zh-CN" w:bidi="ar-SA"/>
              </w:rPr>
              <w:t>以下</w:t>
            </w:r>
          </w:p>
        </w:tc>
        <w:tc>
          <w:tcPr>
            <w:tcW w:w="228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54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6</w:t>
            </w:r>
            <w:r>
              <w:rPr>
                <w:rFonts w:hint="default" w:ascii="Times New Roman" w:hAnsi="Times New Roman" w:eastAsia="宋体" w:cs="Times New Roman"/>
                <w:color w:val="auto"/>
                <w:kern w:val="2"/>
                <w:sz w:val="21"/>
                <w:szCs w:val="21"/>
                <w:shd w:val="clear" w:color="auto" w:fill="auto"/>
                <w:lang w:val="en-US" w:eastAsia="zh-CN" w:bidi="ar-SA"/>
              </w:rPr>
              <w:t>个月以上</w:t>
            </w:r>
            <w:r>
              <w:rPr>
                <w:rFonts w:hint="default" w:ascii="Times New Roman" w:hAnsi="Times New Roman" w:cs="Times New Roman"/>
                <w:color w:val="auto"/>
                <w:kern w:val="2"/>
                <w:sz w:val="21"/>
                <w:szCs w:val="21"/>
                <w:shd w:val="clear" w:color="auto" w:fill="auto"/>
                <w:lang w:eastAsia="zh-CN" w:bidi="ar-SA"/>
              </w:rPr>
              <w:t>1</w:t>
            </w:r>
            <w:r>
              <w:rPr>
                <w:rFonts w:hint="default" w:ascii="Times New Roman" w:hAnsi="Times New Roman" w:eastAsia="宋体" w:cs="Times New Roman"/>
                <w:color w:val="auto"/>
                <w:kern w:val="2"/>
                <w:sz w:val="21"/>
                <w:szCs w:val="21"/>
                <w:shd w:val="clear" w:color="auto" w:fill="auto"/>
                <w:lang w:val="en-US" w:eastAsia="zh-CN" w:bidi="ar-SA"/>
              </w:rPr>
              <w:t>年</w:t>
            </w:r>
            <w:r>
              <w:rPr>
                <w:rFonts w:hint="default" w:ascii="Times New Roman" w:hAnsi="Times New Roman" w:cs="Times New Roman"/>
                <w:color w:val="auto"/>
                <w:kern w:val="2"/>
                <w:sz w:val="21"/>
                <w:szCs w:val="21"/>
                <w:shd w:val="clear" w:color="auto" w:fill="auto"/>
                <w:lang w:val="en-US" w:eastAsia="zh-CN" w:bidi="ar-SA"/>
              </w:rPr>
              <w:t>以下</w:t>
            </w:r>
          </w:p>
        </w:tc>
        <w:tc>
          <w:tcPr>
            <w:tcW w:w="228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54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bidi="ar-SA"/>
              </w:rPr>
              <w:t>1</w:t>
            </w:r>
            <w:r>
              <w:rPr>
                <w:rFonts w:hint="default" w:ascii="Times New Roman" w:hAnsi="Times New Roman" w:eastAsia="宋体" w:cs="Times New Roman"/>
                <w:color w:val="auto"/>
                <w:kern w:val="2"/>
                <w:sz w:val="21"/>
                <w:szCs w:val="21"/>
                <w:shd w:val="clear" w:color="auto" w:fill="auto"/>
                <w:lang w:val="en-US" w:eastAsia="zh-CN" w:bidi="ar-SA"/>
              </w:rPr>
              <w:t>年以上</w:t>
            </w:r>
          </w:p>
        </w:tc>
        <w:tc>
          <w:tcPr>
            <w:tcW w:w="228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90" w:hRule="atLeast"/>
        </w:trPr>
        <w:tc>
          <w:tcPr>
            <w:tcW w:w="154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231"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kern w:val="2"/>
                <w:sz w:val="21"/>
                <w:szCs w:val="21"/>
                <w:shd w:val="clear" w:color="auto" w:fill="auto"/>
                <w:lang w:val="en-US"/>
              </w:rPr>
              <w:t>3天以下</w:t>
            </w:r>
          </w:p>
        </w:tc>
        <w:tc>
          <w:tcPr>
            <w:tcW w:w="228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3</w:t>
            </w:r>
          </w:p>
        </w:tc>
      </w:tr>
      <w:tr>
        <w:trPr>
          <w:trHeight w:val="397" w:hRule="atLeast"/>
        </w:trPr>
        <w:tc>
          <w:tcPr>
            <w:tcW w:w="154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kern w:val="2"/>
                <w:sz w:val="21"/>
                <w:szCs w:val="21"/>
                <w:shd w:val="clear" w:color="auto" w:fill="auto"/>
                <w:lang w:val="en-US"/>
              </w:rPr>
              <w:t>3天以上7天以下</w:t>
            </w:r>
          </w:p>
        </w:tc>
        <w:tc>
          <w:tcPr>
            <w:tcW w:w="228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4</w:t>
            </w:r>
          </w:p>
        </w:tc>
      </w:tr>
      <w:tr>
        <w:trPr>
          <w:trHeight w:val="397" w:hRule="atLeast"/>
        </w:trPr>
        <w:tc>
          <w:tcPr>
            <w:tcW w:w="154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kern w:val="2"/>
                <w:sz w:val="21"/>
                <w:szCs w:val="21"/>
                <w:shd w:val="clear" w:color="auto" w:fill="auto"/>
                <w:lang w:val="en-US"/>
              </w:rPr>
              <w:t>7天以上</w:t>
            </w:r>
          </w:p>
        </w:tc>
        <w:tc>
          <w:tcPr>
            <w:tcW w:w="228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5</w:t>
            </w:r>
          </w:p>
        </w:tc>
      </w:tr>
      <w:tr>
        <w:trPr>
          <w:trHeight w:val="397"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231"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28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28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28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28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231"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登记管理</w:t>
            </w:r>
          </w:p>
        </w:tc>
        <w:tc>
          <w:tcPr>
            <w:tcW w:w="228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28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rPr>
              <w:t>重点管理</w:t>
            </w:r>
          </w:p>
        </w:tc>
        <w:tc>
          <w:tcPr>
            <w:tcW w:w="228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231"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28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28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28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2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28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28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28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28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51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5220"/>
        <w:gridCol w:w="2646"/>
      </w:tblGrid>
      <w:tr>
        <w:tc>
          <w:tcPr>
            <w:tcW w:w="9060" w:type="dxa"/>
            <w:gridSpan w:val="3"/>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trPr>
        <w:tc>
          <w:tcPr>
            <w:tcW w:w="11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866"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333" w:name="_Toc26700"/>
            <w:r>
              <w:rPr>
                <w:rFonts w:hint="default" w:ascii="Times New Roman" w:hAnsi="Times New Roman" w:cs="Times New Roman"/>
                <w:color w:val="auto"/>
                <w:sz w:val="20"/>
                <w:szCs w:val="20"/>
                <w:shd w:val="clear" w:color="auto" w:fill="auto"/>
              </w:rPr>
              <w:t>27</w:t>
            </w:r>
            <w:bookmarkEnd w:id="333"/>
          </w:p>
        </w:tc>
      </w:tr>
      <w:tr>
        <w:trPr>
          <w:trHeight w:val="397" w:hRule="atLeast"/>
        </w:trPr>
        <w:tc>
          <w:tcPr>
            <w:tcW w:w="11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866" w:type="dxa"/>
            <w:gridSpan w:val="2"/>
            <w:vAlign w:val="top"/>
          </w:tcPr>
          <w:p>
            <w:pPr>
              <w:pStyle w:val="18"/>
              <w:shd w:val="clear" w:color="auto" w:fill="auto"/>
              <w:snapToGrid w:val="0"/>
              <w:spacing w:before="0" w:beforeAutospacing="0" w:after="0" w:afterAutospacing="0" w:line="320" w:lineRule="exact"/>
              <w:ind w:left="0" w:right="0" w:firstLine="420"/>
              <w:outlineLvl w:val="9"/>
              <w:rPr>
                <w:rFonts w:hint="default" w:ascii="Times New Roman" w:hAnsi="Times New Roman" w:cs="Times New Roman"/>
                <w:color w:val="auto"/>
                <w:sz w:val="21"/>
                <w:szCs w:val="21"/>
                <w:shd w:val="clear" w:color="auto" w:fill="auto"/>
              </w:rPr>
            </w:pPr>
            <w:bookmarkStart w:id="334" w:name="_Toc17832"/>
            <w:r>
              <w:rPr>
                <w:rFonts w:hint="default" w:ascii="Times New Roman" w:hAnsi="Times New Roman" w:cs="Times New Roman"/>
                <w:color w:val="auto"/>
                <w:sz w:val="21"/>
                <w:szCs w:val="21"/>
                <w:shd w:val="clear" w:color="auto" w:fill="auto"/>
              </w:rPr>
              <w:t>生产、销售、使用放射性同位素和射线装置的单位未按照规定对使用Ⅰ类、Ⅱ类、Ⅲ类放射源的场所和生产放射性同位素的场所，以及终结运行后产生放射性污染的射线装置实施退役，责令限期改正逾期不改正的</w:t>
            </w:r>
            <w:bookmarkEnd w:id="334"/>
          </w:p>
        </w:tc>
      </w:tr>
      <w:tr>
        <w:tc>
          <w:tcPr>
            <w:tcW w:w="11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866"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《放射性同位素与射线装置安全和防护条例》第三十三条</w:t>
            </w:r>
            <w:r>
              <w:rPr>
                <w:rFonts w:hint="default" w:ascii="Times New Roman" w:hAnsi="Times New Roman" w:cs="Times New Roman"/>
                <w:color w:val="auto"/>
                <w:sz w:val="21"/>
                <w:szCs w:val="21"/>
                <w:shd w:val="clear" w:color="auto" w:fill="auto"/>
              </w:rPr>
              <w:t xml:space="preserve"> 使用Ⅰ类、Ⅱ类、Ⅲ类放射源的场所和生产放射性同位素的场所，以及终结运行后产生放射性污染的射线装置，应当依法实施退役。</w:t>
            </w:r>
          </w:p>
        </w:tc>
      </w:tr>
      <w:tr>
        <w:tc>
          <w:tcPr>
            <w:tcW w:w="11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866"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《放射性同位素与射线装置安全和防护条例》第五十九条第（二）项 </w:t>
            </w:r>
            <w:r>
              <w:rPr>
                <w:rFonts w:hint="default" w:ascii="Times New Roman" w:hAnsi="Times New Roman" w:cs="Times New Roman"/>
                <w:color w:val="auto"/>
                <w:sz w:val="21"/>
                <w:szCs w:val="21"/>
                <w:shd w:val="clear" w:color="auto" w:fill="auto"/>
              </w:rPr>
              <w:t>违反本条例规定，生产、销售、使用放射性同位素和射线装置的单位有下列行为之一的，由县级以上人民政府生态环境主管部门责令停止违法行为，限期改正；逾期不改正的，由原发证机关指定有处理能力的单位代为处理或者实施退役，费用由生产、销售、使用放射性同位素和射线装置的单位承担，并处1万元以上10万元以下的罚款：</w:t>
            </w:r>
          </w:p>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（二）未按照规定对使用Ⅰ类、Ⅱ类、Ⅲ类放射源的场所和生产放射性同位素的场所，以及终结运行后产生放射性污染的射线装置实施退役的。</w:t>
            </w:r>
          </w:p>
        </w:tc>
      </w:tr>
      <w:tr>
        <w:trPr>
          <w:trHeight w:val="425" w:hRule="atLeast"/>
        </w:trPr>
        <w:tc>
          <w:tcPr>
            <w:tcW w:w="11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2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19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★涉及放射类型</w:t>
            </w:r>
          </w:p>
        </w:tc>
        <w:tc>
          <w:tcPr>
            <w:tcW w:w="522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Ⅲ类射线装置的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1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Ⅲ类放射源或Ⅱ类射线装置的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1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Ⅰ类、Ⅱ类放射源或Ⅰ类射线装置的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19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★非密封放射性物质工作场所分类</w:t>
            </w:r>
          </w:p>
        </w:tc>
        <w:tc>
          <w:tcPr>
            <w:tcW w:w="522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丙级工作场所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1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乙级工作场所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1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甲级工作场所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194"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22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bidi="ar-SA"/>
              </w:rPr>
              <w:t>1个月</w:t>
            </w:r>
            <w:r>
              <w:rPr>
                <w:rFonts w:hint="default" w:ascii="Times New Roman" w:hAnsi="Times New Roman" w:cs="Times New Roman"/>
                <w:color w:val="auto"/>
                <w:kern w:val="2"/>
                <w:sz w:val="21"/>
                <w:szCs w:val="21"/>
                <w:shd w:val="clear" w:color="auto" w:fill="auto"/>
                <w:lang w:val="en-US" w:eastAsia="zh-CN" w:bidi="ar-SA"/>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19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bidi="ar-SA"/>
              </w:rPr>
              <w:t>1个月以上3个月</w:t>
            </w:r>
            <w:r>
              <w:rPr>
                <w:rFonts w:hint="default" w:ascii="Times New Roman" w:hAnsi="Times New Roman" w:cs="Times New Roman"/>
                <w:color w:val="auto"/>
                <w:kern w:val="2"/>
                <w:sz w:val="21"/>
                <w:szCs w:val="21"/>
                <w:shd w:val="clear" w:color="auto" w:fill="auto"/>
                <w:lang w:val="en-US" w:eastAsia="zh-CN" w:bidi="ar-SA"/>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19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bidi="ar-SA"/>
              </w:rPr>
              <w:t>3个月以上</w:t>
            </w:r>
            <w:r>
              <w:rPr>
                <w:rFonts w:hint="default" w:ascii="Times New Roman" w:hAnsi="Times New Roman" w:cs="Times New Roman"/>
                <w:color w:val="auto"/>
                <w:kern w:val="2"/>
                <w:sz w:val="21"/>
                <w:szCs w:val="21"/>
                <w:shd w:val="clear" w:color="auto" w:fill="auto"/>
                <w:lang w:eastAsia="zh-CN" w:bidi="ar-SA"/>
              </w:rPr>
              <w:t>6</w:t>
            </w:r>
            <w:r>
              <w:rPr>
                <w:rFonts w:hint="default" w:ascii="Times New Roman" w:hAnsi="Times New Roman" w:eastAsia="宋体" w:cs="Times New Roman"/>
                <w:color w:val="auto"/>
                <w:kern w:val="2"/>
                <w:sz w:val="21"/>
                <w:szCs w:val="21"/>
                <w:shd w:val="clear" w:color="auto" w:fill="auto"/>
                <w:lang w:val="en-US" w:eastAsia="zh-CN" w:bidi="ar-SA"/>
              </w:rPr>
              <w:t>个月</w:t>
            </w:r>
            <w:r>
              <w:rPr>
                <w:rFonts w:hint="default" w:ascii="Times New Roman" w:hAnsi="Times New Roman" w:cs="Times New Roman"/>
                <w:color w:val="auto"/>
                <w:kern w:val="2"/>
                <w:sz w:val="21"/>
                <w:szCs w:val="21"/>
                <w:shd w:val="clear" w:color="auto" w:fill="auto"/>
                <w:lang w:val="en-US" w:eastAsia="zh-CN" w:bidi="ar-SA"/>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19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6</w:t>
            </w:r>
            <w:r>
              <w:rPr>
                <w:rFonts w:hint="default" w:ascii="Times New Roman" w:hAnsi="Times New Roman" w:eastAsia="宋体" w:cs="Times New Roman"/>
                <w:color w:val="auto"/>
                <w:kern w:val="2"/>
                <w:sz w:val="21"/>
                <w:szCs w:val="21"/>
                <w:shd w:val="clear" w:color="auto" w:fill="auto"/>
                <w:lang w:val="en-US" w:eastAsia="zh-CN" w:bidi="ar-SA"/>
              </w:rPr>
              <w:t>个月以上</w:t>
            </w:r>
            <w:r>
              <w:rPr>
                <w:rFonts w:hint="default" w:ascii="Times New Roman" w:hAnsi="Times New Roman" w:cs="Times New Roman"/>
                <w:color w:val="auto"/>
                <w:kern w:val="2"/>
                <w:sz w:val="21"/>
                <w:szCs w:val="21"/>
                <w:shd w:val="clear" w:color="auto" w:fill="auto"/>
                <w:lang w:eastAsia="zh-CN" w:bidi="ar-SA"/>
              </w:rPr>
              <w:t>1</w:t>
            </w:r>
            <w:r>
              <w:rPr>
                <w:rFonts w:hint="default" w:ascii="Times New Roman" w:hAnsi="Times New Roman" w:eastAsia="宋体" w:cs="Times New Roman"/>
                <w:color w:val="auto"/>
                <w:kern w:val="2"/>
                <w:sz w:val="21"/>
                <w:szCs w:val="21"/>
                <w:shd w:val="clear" w:color="auto" w:fill="auto"/>
                <w:lang w:val="en-US" w:eastAsia="zh-CN" w:bidi="ar-SA"/>
              </w:rPr>
              <w:t>年</w:t>
            </w:r>
            <w:r>
              <w:rPr>
                <w:rFonts w:hint="default" w:ascii="Times New Roman" w:hAnsi="Times New Roman" w:cs="Times New Roman"/>
                <w:color w:val="auto"/>
                <w:kern w:val="2"/>
                <w:sz w:val="21"/>
                <w:szCs w:val="21"/>
                <w:shd w:val="clear" w:color="auto" w:fill="auto"/>
                <w:lang w:val="en-US" w:eastAsia="zh-CN" w:bidi="ar-SA"/>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19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bidi="ar-SA"/>
              </w:rPr>
              <w:t>1</w:t>
            </w:r>
            <w:r>
              <w:rPr>
                <w:rFonts w:hint="default" w:ascii="Times New Roman" w:hAnsi="Times New Roman" w:eastAsia="宋体" w:cs="Times New Roman"/>
                <w:color w:val="auto"/>
                <w:kern w:val="2"/>
                <w:sz w:val="21"/>
                <w:szCs w:val="21"/>
                <w:shd w:val="clear" w:color="auto" w:fill="auto"/>
                <w:lang w:val="en-US" w:eastAsia="zh-CN" w:bidi="ar-SA"/>
              </w:rPr>
              <w:t>年以上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25" w:hRule="atLeast"/>
        </w:trPr>
        <w:tc>
          <w:tcPr>
            <w:tcW w:w="119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220"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kern w:val="2"/>
                <w:sz w:val="21"/>
                <w:szCs w:val="21"/>
                <w:shd w:val="clear" w:color="auto" w:fill="auto"/>
                <w:lang w:val="en-US"/>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3</w:t>
            </w:r>
          </w:p>
        </w:tc>
      </w:tr>
      <w:tr>
        <w:trPr>
          <w:trHeight w:val="425" w:hRule="atLeast"/>
        </w:trPr>
        <w:tc>
          <w:tcPr>
            <w:tcW w:w="119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kern w:val="2"/>
                <w:sz w:val="21"/>
                <w:szCs w:val="21"/>
                <w:shd w:val="clear" w:color="auto" w:fill="auto"/>
                <w:lang w:val="en-US"/>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4</w:t>
            </w:r>
          </w:p>
        </w:tc>
      </w:tr>
      <w:tr>
        <w:trPr>
          <w:trHeight w:val="425" w:hRule="atLeast"/>
        </w:trPr>
        <w:tc>
          <w:tcPr>
            <w:tcW w:w="119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kern w:val="2"/>
                <w:sz w:val="21"/>
                <w:szCs w:val="21"/>
                <w:shd w:val="clear" w:color="auto" w:fill="auto"/>
                <w:lang w:val="en-US"/>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5</w:t>
            </w:r>
          </w:p>
        </w:tc>
      </w:tr>
      <w:tr>
        <w:trPr>
          <w:trHeight w:val="425" w:hRule="atLeast"/>
        </w:trPr>
        <w:tc>
          <w:tcPr>
            <w:tcW w:w="119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522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25" w:hRule="atLeast"/>
        </w:trPr>
        <w:tc>
          <w:tcPr>
            <w:tcW w:w="11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25" w:hRule="atLeast"/>
        </w:trPr>
        <w:tc>
          <w:tcPr>
            <w:tcW w:w="11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25" w:hRule="atLeast"/>
        </w:trPr>
        <w:tc>
          <w:tcPr>
            <w:tcW w:w="11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trPr>
        <w:tc>
          <w:tcPr>
            <w:tcW w:w="119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22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1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trPr>
        <w:tc>
          <w:tcPr>
            <w:tcW w:w="11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19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次数</w:t>
            </w:r>
          </w:p>
        </w:tc>
        <w:tc>
          <w:tcPr>
            <w:tcW w:w="5220"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1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97" w:hRule="atLeast"/>
        </w:trPr>
        <w:tc>
          <w:tcPr>
            <w:tcW w:w="11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trPr>
        <w:tc>
          <w:tcPr>
            <w:tcW w:w="119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2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1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1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19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1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866"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c>
          <w:tcPr>
            <w:tcW w:w="9060" w:type="dxa"/>
            <w:gridSpan w:val="3"/>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335" w:name="_Toc12960"/>
            <w:r>
              <w:rPr>
                <w:rFonts w:hint="default" w:ascii="Times New Roman" w:hAnsi="Times New Roman" w:cs="Times New Roman"/>
                <w:color w:val="auto"/>
                <w:sz w:val="20"/>
                <w:szCs w:val="20"/>
                <w:shd w:val="clear" w:color="auto" w:fill="auto"/>
              </w:rPr>
              <w:t>28</w:t>
            </w:r>
            <w:bookmarkEnd w:id="335"/>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top"/>
          </w:tcPr>
          <w:p>
            <w:pPr>
              <w:pStyle w:val="18"/>
              <w:shd w:val="clear" w:color="auto" w:fill="auto"/>
              <w:snapToGrid w:val="0"/>
              <w:spacing w:before="0" w:beforeAutospacing="0" w:after="0" w:afterAutospacing="0" w:line="320" w:lineRule="exact"/>
              <w:ind w:left="0" w:right="0" w:firstLine="420"/>
              <w:outlineLvl w:val="9"/>
              <w:rPr>
                <w:rFonts w:hint="default" w:ascii="Times New Roman" w:hAnsi="Times New Roman" w:cs="Times New Roman"/>
                <w:color w:val="auto"/>
                <w:sz w:val="21"/>
                <w:szCs w:val="21"/>
                <w:shd w:val="clear" w:color="auto" w:fill="auto"/>
              </w:rPr>
            </w:pPr>
            <w:bookmarkStart w:id="336" w:name="_Toc29975"/>
            <w:r>
              <w:rPr>
                <w:rFonts w:hint="default" w:ascii="Times New Roman" w:hAnsi="Times New Roman" w:cs="Times New Roman"/>
                <w:color w:val="auto"/>
                <w:sz w:val="21"/>
                <w:szCs w:val="21"/>
                <w:shd w:val="clear" w:color="auto" w:fill="auto"/>
              </w:rPr>
              <w:t>生产、销售、使用放射性同位素和射线装置的单位未按照规定对本单位的放射性同位素、射线装置安全和防护状况进行评估或者发现安全隐患不及时整改，责令限期改正逾期不改正的</w:t>
            </w:r>
            <w:bookmarkEnd w:id="336"/>
          </w:p>
        </w:tc>
      </w:tr>
      <w:t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《放射性同位素与射线装置安全和防护条例》第三十条</w:t>
            </w:r>
            <w:r>
              <w:rPr>
                <w:rFonts w:hint="default" w:ascii="Times New Roman" w:hAnsi="Times New Roman" w:cs="Times New Roman"/>
                <w:color w:val="auto"/>
                <w:sz w:val="21"/>
                <w:szCs w:val="21"/>
                <w:shd w:val="clear" w:color="auto" w:fill="auto"/>
              </w:rPr>
              <w:t xml:space="preserve">  生产、销售、使用放射性同位素和射线装置的单位，应当对本单位的放射性同位素、射线装置的安全和防护状况进行年度评估。发现安全隐患的，应当立即进行整改。</w:t>
            </w:r>
          </w:p>
        </w:tc>
      </w:tr>
      <w:t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《放射性同位素与射线装置安全和防护条例》第六十条第（一）项  </w:t>
            </w:r>
            <w:r>
              <w:rPr>
                <w:rFonts w:hint="default" w:ascii="Times New Roman" w:hAnsi="Times New Roman" w:cs="Times New Roman"/>
                <w:color w:val="auto"/>
                <w:sz w:val="21"/>
                <w:szCs w:val="21"/>
                <w:shd w:val="clear" w:color="auto" w:fill="auto"/>
              </w:rPr>
              <w:t>违反本条例规定，生产、销售、使用放射性同位素和射线装置的单位有下列行为之一的，由县级以上人民政府生态环境主管部门责令停止违法行为，限期改正；逾期不改正的，责令停产停业，并处2万元以上20万元以下的罚款；构成犯罪的，依法追究刑事责任：</w:t>
            </w:r>
          </w:p>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（一）未按照规定对本单位的放射性同位素、射线装置安全和防护状况进行评估或者发现安全隐患不及时整改的。</w:t>
            </w:r>
          </w:p>
        </w:tc>
      </w:tr>
      <w:tr>
        <w:trPr>
          <w:trHeight w:val="369"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未规范进行评估工作的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未进行评估工作的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发现安全隐患未立即进行整改的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类型</w:t>
            </w: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Ⅳ类、Ⅴ类放射源或Ⅲ类射线装置的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Ⅲ类放射源或Ⅱ类射线装置的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Ⅰ类、Ⅱ类放射源或Ⅰ类射线装置的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非密封放射性物质工作场所分类</w:t>
            </w: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丙级工作场所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乙级工作场所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甲级工作场所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284"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bidi="ar-SA"/>
              </w:rPr>
              <w:t>1个月</w:t>
            </w:r>
            <w:r>
              <w:rPr>
                <w:rFonts w:hint="default" w:ascii="Times New Roman" w:hAnsi="Times New Roman" w:cs="Times New Roman"/>
                <w:color w:val="auto"/>
                <w:kern w:val="2"/>
                <w:sz w:val="21"/>
                <w:szCs w:val="21"/>
                <w:shd w:val="clear" w:color="auto" w:fill="auto"/>
                <w:lang w:val="en-US" w:eastAsia="zh-CN" w:bidi="ar-SA"/>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bidi="ar-SA"/>
              </w:rPr>
              <w:t>1个月以上3个月</w:t>
            </w:r>
            <w:r>
              <w:rPr>
                <w:rFonts w:hint="default" w:ascii="Times New Roman" w:hAnsi="Times New Roman" w:cs="Times New Roman"/>
                <w:color w:val="auto"/>
                <w:kern w:val="2"/>
                <w:sz w:val="21"/>
                <w:szCs w:val="21"/>
                <w:shd w:val="clear" w:color="auto" w:fill="auto"/>
                <w:lang w:val="en-US" w:eastAsia="zh-CN" w:bidi="ar-SA"/>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bidi="ar-SA"/>
              </w:rPr>
              <w:t>3个月以上</w:t>
            </w:r>
            <w:r>
              <w:rPr>
                <w:rFonts w:hint="default" w:ascii="Times New Roman" w:hAnsi="Times New Roman" w:cs="Times New Roman"/>
                <w:color w:val="auto"/>
                <w:kern w:val="2"/>
                <w:sz w:val="21"/>
                <w:szCs w:val="21"/>
                <w:shd w:val="clear" w:color="auto" w:fill="auto"/>
                <w:lang w:eastAsia="zh-CN" w:bidi="ar-SA"/>
              </w:rPr>
              <w:t>6</w:t>
            </w:r>
            <w:r>
              <w:rPr>
                <w:rFonts w:hint="default" w:ascii="Times New Roman" w:hAnsi="Times New Roman" w:eastAsia="宋体" w:cs="Times New Roman"/>
                <w:color w:val="auto"/>
                <w:kern w:val="2"/>
                <w:sz w:val="21"/>
                <w:szCs w:val="21"/>
                <w:shd w:val="clear" w:color="auto" w:fill="auto"/>
                <w:lang w:val="en-US" w:eastAsia="zh-CN" w:bidi="ar-SA"/>
              </w:rPr>
              <w:t>个月</w:t>
            </w:r>
            <w:r>
              <w:rPr>
                <w:rFonts w:hint="default" w:ascii="Times New Roman" w:hAnsi="Times New Roman" w:cs="Times New Roman"/>
                <w:color w:val="auto"/>
                <w:kern w:val="2"/>
                <w:sz w:val="21"/>
                <w:szCs w:val="21"/>
                <w:shd w:val="clear" w:color="auto" w:fill="auto"/>
                <w:lang w:val="en-US" w:eastAsia="zh-CN" w:bidi="ar-SA"/>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6</w:t>
            </w:r>
            <w:r>
              <w:rPr>
                <w:rFonts w:hint="default" w:ascii="Times New Roman" w:hAnsi="Times New Roman" w:eastAsia="宋体" w:cs="Times New Roman"/>
                <w:color w:val="auto"/>
                <w:kern w:val="2"/>
                <w:sz w:val="21"/>
                <w:szCs w:val="21"/>
                <w:shd w:val="clear" w:color="auto" w:fill="auto"/>
                <w:lang w:val="en-US" w:eastAsia="zh-CN" w:bidi="ar-SA"/>
              </w:rPr>
              <w:t>个月以上</w:t>
            </w:r>
            <w:r>
              <w:rPr>
                <w:rFonts w:hint="default" w:ascii="Times New Roman" w:hAnsi="Times New Roman" w:cs="Times New Roman"/>
                <w:color w:val="auto"/>
                <w:kern w:val="2"/>
                <w:sz w:val="21"/>
                <w:szCs w:val="21"/>
                <w:shd w:val="clear" w:color="auto" w:fill="auto"/>
                <w:lang w:eastAsia="zh-CN" w:bidi="ar-SA"/>
              </w:rPr>
              <w:t>1</w:t>
            </w:r>
            <w:r>
              <w:rPr>
                <w:rFonts w:hint="default" w:ascii="Times New Roman" w:hAnsi="Times New Roman" w:eastAsia="宋体" w:cs="Times New Roman"/>
                <w:color w:val="auto"/>
                <w:kern w:val="2"/>
                <w:sz w:val="21"/>
                <w:szCs w:val="21"/>
                <w:shd w:val="clear" w:color="auto" w:fill="auto"/>
                <w:lang w:val="en-US" w:eastAsia="zh-CN" w:bidi="ar-SA"/>
              </w:rPr>
              <w:t>年</w:t>
            </w:r>
            <w:r>
              <w:rPr>
                <w:rFonts w:hint="default" w:ascii="Times New Roman" w:hAnsi="Times New Roman" w:cs="Times New Roman"/>
                <w:color w:val="auto"/>
                <w:kern w:val="2"/>
                <w:sz w:val="21"/>
                <w:szCs w:val="21"/>
                <w:shd w:val="clear" w:color="auto" w:fill="auto"/>
                <w:lang w:val="en-US" w:eastAsia="zh-CN" w:bidi="ar-SA"/>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b w:val="0"/>
                <w:bCs w:val="0"/>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bidi="ar-SA"/>
              </w:rPr>
              <w:t>1</w:t>
            </w:r>
            <w:r>
              <w:rPr>
                <w:rFonts w:hint="default" w:ascii="Times New Roman" w:hAnsi="Times New Roman" w:eastAsia="宋体" w:cs="Times New Roman"/>
                <w:color w:val="auto"/>
                <w:kern w:val="2"/>
                <w:sz w:val="21"/>
                <w:szCs w:val="21"/>
                <w:shd w:val="clear" w:color="auto" w:fill="auto"/>
                <w:lang w:val="en-US" w:eastAsia="zh-CN" w:bidi="ar-SA"/>
              </w:rPr>
              <w:t>年以上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69" w:hRule="atLeast"/>
        </w:trPr>
        <w:tc>
          <w:tcPr>
            <w:tcW w:w="128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130"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kern w:val="2"/>
                <w:sz w:val="21"/>
                <w:szCs w:val="21"/>
                <w:shd w:val="clear" w:color="auto" w:fill="auto"/>
                <w:lang w:val="en-US"/>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3</w:t>
            </w:r>
          </w:p>
        </w:tc>
      </w:tr>
      <w:tr>
        <w:trPr>
          <w:trHeight w:val="369"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kern w:val="2"/>
                <w:sz w:val="21"/>
                <w:szCs w:val="21"/>
                <w:shd w:val="clear" w:color="auto" w:fill="auto"/>
                <w:lang w:val="en-US"/>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4</w:t>
            </w:r>
          </w:p>
        </w:tc>
      </w:tr>
      <w:tr>
        <w:trPr>
          <w:trHeight w:val="369"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kern w:val="2"/>
                <w:sz w:val="21"/>
                <w:szCs w:val="21"/>
                <w:shd w:val="clear" w:color="auto" w:fill="auto"/>
                <w:lang w:val="en-US"/>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5</w:t>
            </w:r>
          </w:p>
        </w:tc>
      </w:tr>
      <w:tr>
        <w:trPr>
          <w:trHeight w:val="369"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69"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69"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1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6"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rPr>
          <w:trHeight w:val="340" w:hRule="atLeast"/>
        </w:trPr>
        <w:tc>
          <w:tcPr>
            <w:tcW w:w="9060" w:type="dxa"/>
            <w:gridSpan w:val="3"/>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40"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29</w:t>
            </w:r>
          </w:p>
        </w:tc>
      </w:tr>
      <w:tr>
        <w:trPr>
          <w:trHeight w:val="340"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top"/>
          </w:tcPr>
          <w:p>
            <w:pPr>
              <w:pStyle w:val="18"/>
              <w:shd w:val="clear" w:color="auto" w:fill="auto"/>
              <w:snapToGrid w:val="0"/>
              <w:spacing w:before="0" w:beforeAutospacing="0" w:after="0" w:afterAutospacing="0" w:line="320" w:lineRule="exact"/>
              <w:ind w:left="0" w:right="0" w:firstLine="420"/>
              <w:outlineLvl w:val="9"/>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生产、销售、使用放射性同位素和射线装置的单位生产、销售、使用、贮存放射性同位素和射线装置的场所未按照规定设置安全和防护设施以及放射性标志，责令限期改正逾期不改正的</w:t>
            </w:r>
          </w:p>
        </w:tc>
      </w:tr>
      <w:tr>
        <w:trPr>
          <w:trHeight w:val="340"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《放射性同位素与射线装置安全和防护条例》第三十四条第一款</w:t>
            </w:r>
            <w:r>
              <w:rPr>
                <w:rFonts w:hint="default" w:ascii="Times New Roman" w:hAnsi="Times New Roman" w:cs="Times New Roman"/>
                <w:color w:val="auto"/>
                <w:sz w:val="21"/>
                <w:szCs w:val="21"/>
                <w:shd w:val="clear" w:color="auto" w:fill="auto"/>
              </w:rPr>
              <w:t xml:space="preserve">  生产、销售、使用、贮存放射性同位素和射线装置的场所，应当按照国家有关规定设置明显的放射性标志，其入口处应当按照国家有关安全和防护标准的要求，设置安全和防护设施以及必要的防护安全联锁、报警装置或者工作信号。射线装置的生产调试和使用场所，应当具有防止误操作、防止工作人员和公众受到意外照射的安全措施。</w:t>
            </w:r>
          </w:p>
        </w:tc>
      </w:tr>
      <w:tr>
        <w:trPr>
          <w:trHeight w:val="340"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《放射性同位素与射线装置安全和防护条例》第六十条第（二）项  </w:t>
            </w:r>
            <w:r>
              <w:rPr>
                <w:rFonts w:hint="default" w:ascii="Times New Roman" w:hAnsi="Times New Roman" w:cs="Times New Roman"/>
                <w:color w:val="auto"/>
                <w:sz w:val="21"/>
                <w:szCs w:val="21"/>
                <w:shd w:val="clear" w:color="auto" w:fill="auto"/>
              </w:rPr>
              <w:t>违反本条例规定，生产、销售、使用放射性同位素和射线装置的单位有下列行为之一的，由县级以上人民政府生态环境主管部门责令停止违法行为，限期改正；逾期不改正的，责令停产停业，并处2万元以上20万元以下的罚款；构成犯罪的，依法追究刑事责任：</w:t>
            </w:r>
          </w:p>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（二）生产、销售、使用、贮存放射性同位素和射线装置的场所未按照规定设置安全和防护设施以及放射性标志的。</w:t>
            </w:r>
          </w:p>
        </w:tc>
      </w:tr>
      <w:tr>
        <w:trPr>
          <w:trHeight w:val="340"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40"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未规范设置</w:t>
            </w:r>
            <w:r>
              <w:rPr>
                <w:rFonts w:hint="default" w:ascii="Times New Roman" w:hAnsi="Times New Roman" w:cs="Times New Roman"/>
                <w:color w:val="auto"/>
                <w:kern w:val="2"/>
                <w:sz w:val="21"/>
                <w:szCs w:val="21"/>
                <w:shd w:val="clear" w:color="auto" w:fill="auto"/>
              </w:rPr>
              <w:t>放射性标志</w:t>
            </w:r>
          </w:p>
        </w:tc>
        <w:tc>
          <w:tcPr>
            <w:tcW w:w="2646"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9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未规范设置</w:t>
            </w:r>
            <w:r>
              <w:rPr>
                <w:rFonts w:hint="default" w:ascii="Times New Roman" w:hAnsi="Times New Roman" w:cs="Times New Roman"/>
                <w:color w:val="auto"/>
                <w:kern w:val="2"/>
                <w:sz w:val="21"/>
                <w:szCs w:val="21"/>
                <w:shd w:val="clear" w:color="auto" w:fill="auto"/>
              </w:rPr>
              <w:t>放射性标志</w:t>
            </w:r>
            <w:r>
              <w:rPr>
                <w:rFonts w:hint="default" w:ascii="Times New Roman" w:hAnsi="Times New Roman" w:cs="Times New Roman"/>
                <w:color w:val="auto"/>
                <w:kern w:val="2"/>
                <w:sz w:val="21"/>
                <w:szCs w:val="21"/>
                <w:shd w:val="clear" w:color="auto" w:fill="auto"/>
                <w:lang w:val="en-US" w:eastAsia="zh-CN"/>
              </w:rPr>
              <w:t>或未规范设置</w:t>
            </w:r>
            <w:r>
              <w:rPr>
                <w:rFonts w:hint="default" w:ascii="Times New Roman" w:hAnsi="Times New Roman" w:cs="Times New Roman"/>
                <w:color w:val="auto"/>
                <w:kern w:val="2"/>
                <w:sz w:val="21"/>
                <w:szCs w:val="21"/>
                <w:shd w:val="clear" w:color="auto" w:fill="auto"/>
              </w:rPr>
              <w:t>安全和防护设施</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未设置放射性标志</w:t>
            </w:r>
            <w:r>
              <w:rPr>
                <w:rFonts w:hint="default" w:ascii="Times New Roman" w:hAnsi="Times New Roman" w:cs="Times New Roman"/>
                <w:color w:val="auto"/>
                <w:kern w:val="2"/>
                <w:sz w:val="21"/>
                <w:szCs w:val="21"/>
                <w:shd w:val="clear" w:color="auto" w:fill="auto"/>
                <w:lang w:val="en-US" w:eastAsia="zh-CN"/>
              </w:rPr>
              <w:t>且未设置安全和防护设施</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类型</w:t>
            </w: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Ⅳ类、Ⅴ类放射源或Ⅲ类射线装置的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Ⅲ类放射源或Ⅱ类射线装置的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Ⅰ类、Ⅱ类放射源或Ⅰ类射线装置的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非密封放射性物质工作场所分类</w:t>
            </w: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丙级工作场所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乙级工作场所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甲级工作场所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trPr>
        <w:tc>
          <w:tcPr>
            <w:tcW w:w="1284"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bidi="ar-SA"/>
              </w:rPr>
              <w:t>1个月</w:t>
            </w:r>
            <w:r>
              <w:rPr>
                <w:rFonts w:hint="default" w:ascii="Times New Roman" w:hAnsi="Times New Roman" w:cs="Times New Roman"/>
                <w:color w:val="auto"/>
                <w:kern w:val="2"/>
                <w:sz w:val="21"/>
                <w:szCs w:val="21"/>
                <w:shd w:val="clear" w:color="auto" w:fill="auto"/>
                <w:lang w:val="en-US" w:eastAsia="zh-CN" w:bidi="ar-SA"/>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40"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val="en-US"/>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bidi="ar-SA"/>
              </w:rPr>
              <w:t>1个月以上3个月</w:t>
            </w:r>
            <w:r>
              <w:rPr>
                <w:rFonts w:hint="default" w:ascii="Times New Roman" w:hAnsi="Times New Roman" w:cs="Times New Roman"/>
                <w:color w:val="auto"/>
                <w:kern w:val="2"/>
                <w:sz w:val="21"/>
                <w:szCs w:val="21"/>
                <w:shd w:val="clear" w:color="auto" w:fill="auto"/>
                <w:lang w:val="en-US" w:eastAsia="zh-CN" w:bidi="ar-SA"/>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40"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val="en-US"/>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bidi="ar-SA"/>
              </w:rPr>
              <w:t>3个月以上</w:t>
            </w:r>
            <w:r>
              <w:rPr>
                <w:rFonts w:hint="default" w:ascii="Times New Roman" w:hAnsi="Times New Roman" w:cs="Times New Roman"/>
                <w:color w:val="auto"/>
                <w:kern w:val="2"/>
                <w:sz w:val="21"/>
                <w:szCs w:val="21"/>
                <w:shd w:val="clear" w:color="auto" w:fill="auto"/>
                <w:lang w:eastAsia="zh-CN" w:bidi="ar-SA"/>
              </w:rPr>
              <w:t>6</w:t>
            </w:r>
            <w:r>
              <w:rPr>
                <w:rFonts w:hint="default" w:ascii="Times New Roman" w:hAnsi="Times New Roman" w:eastAsia="宋体" w:cs="Times New Roman"/>
                <w:color w:val="auto"/>
                <w:kern w:val="2"/>
                <w:sz w:val="21"/>
                <w:szCs w:val="21"/>
                <w:shd w:val="clear" w:color="auto" w:fill="auto"/>
                <w:lang w:val="en-US" w:eastAsia="zh-CN" w:bidi="ar-SA"/>
              </w:rPr>
              <w:t>个月</w:t>
            </w:r>
            <w:r>
              <w:rPr>
                <w:rFonts w:hint="default" w:ascii="Times New Roman" w:hAnsi="Times New Roman" w:cs="Times New Roman"/>
                <w:color w:val="auto"/>
                <w:kern w:val="2"/>
                <w:sz w:val="21"/>
                <w:szCs w:val="21"/>
                <w:shd w:val="clear" w:color="auto" w:fill="auto"/>
                <w:lang w:val="en-US" w:eastAsia="zh-CN" w:bidi="ar-SA"/>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40"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val="en-US"/>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kern w:val="2"/>
                <w:sz w:val="21"/>
                <w:szCs w:val="21"/>
                <w:shd w:val="clear" w:color="auto" w:fill="auto"/>
                <w:lang w:val="en-US" w:eastAsia="zh-CN" w:bidi="ar-SA"/>
              </w:rPr>
              <w:t>6</w:t>
            </w:r>
            <w:r>
              <w:rPr>
                <w:rFonts w:hint="default" w:ascii="Times New Roman" w:hAnsi="Times New Roman" w:eastAsia="宋体" w:cs="Times New Roman"/>
                <w:color w:val="auto"/>
                <w:kern w:val="2"/>
                <w:sz w:val="21"/>
                <w:szCs w:val="21"/>
                <w:shd w:val="clear" w:color="auto" w:fill="auto"/>
                <w:lang w:val="en-US" w:eastAsia="zh-CN" w:bidi="ar-SA"/>
              </w:rPr>
              <w:t>个月以上</w:t>
            </w:r>
            <w:r>
              <w:rPr>
                <w:rFonts w:hint="default" w:ascii="Times New Roman" w:hAnsi="Times New Roman" w:cs="Times New Roman"/>
                <w:color w:val="auto"/>
                <w:kern w:val="2"/>
                <w:sz w:val="21"/>
                <w:szCs w:val="21"/>
                <w:shd w:val="clear" w:color="auto" w:fill="auto"/>
                <w:lang w:eastAsia="zh-CN" w:bidi="ar-SA"/>
              </w:rPr>
              <w:t>1</w:t>
            </w:r>
            <w:r>
              <w:rPr>
                <w:rFonts w:hint="default" w:ascii="Times New Roman" w:hAnsi="Times New Roman" w:eastAsia="宋体" w:cs="Times New Roman"/>
                <w:color w:val="auto"/>
                <w:kern w:val="2"/>
                <w:sz w:val="21"/>
                <w:szCs w:val="21"/>
                <w:shd w:val="clear" w:color="auto" w:fill="auto"/>
                <w:lang w:val="en-US" w:eastAsia="zh-CN" w:bidi="ar-SA"/>
              </w:rPr>
              <w:t>年</w:t>
            </w:r>
            <w:r>
              <w:rPr>
                <w:rFonts w:hint="default" w:ascii="Times New Roman" w:hAnsi="Times New Roman" w:cs="Times New Roman"/>
                <w:color w:val="auto"/>
                <w:kern w:val="2"/>
                <w:sz w:val="21"/>
                <w:szCs w:val="21"/>
                <w:shd w:val="clear" w:color="auto" w:fill="auto"/>
                <w:lang w:val="en-US" w:eastAsia="zh-CN" w:bidi="ar-SA"/>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40"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val="en-US"/>
              </w:rPr>
            </w:pPr>
          </w:p>
        </w:tc>
        <w:tc>
          <w:tcPr>
            <w:tcW w:w="5130"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1"/>
                <w:szCs w:val="21"/>
                <w:shd w:val="clear" w:color="auto" w:fill="auto"/>
                <w:lang w:val="en-US" w:eastAsia="zh-CN"/>
              </w:rPr>
            </w:pPr>
            <w:r>
              <w:rPr>
                <w:rFonts w:hint="default" w:ascii="Times New Roman" w:hAnsi="Times New Roman" w:eastAsia="宋体" w:cs="Times New Roman"/>
                <w:color w:val="auto"/>
                <w:kern w:val="2"/>
                <w:sz w:val="21"/>
                <w:szCs w:val="21"/>
                <w:shd w:val="clear" w:color="auto" w:fill="auto"/>
                <w:lang w:eastAsia="zh-CN" w:bidi="ar-SA"/>
              </w:rPr>
              <w:t>1</w:t>
            </w:r>
            <w:r>
              <w:rPr>
                <w:rFonts w:hint="default" w:ascii="Times New Roman" w:hAnsi="Times New Roman" w:eastAsia="宋体" w:cs="Times New Roman"/>
                <w:color w:val="auto"/>
                <w:kern w:val="2"/>
                <w:sz w:val="21"/>
                <w:szCs w:val="21"/>
                <w:shd w:val="clear" w:color="auto" w:fill="auto"/>
                <w:lang w:val="en-US" w:eastAsia="zh-CN" w:bidi="ar-SA"/>
              </w:rPr>
              <w:t>年以上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40" w:hRule="atLeast"/>
        </w:trPr>
        <w:tc>
          <w:tcPr>
            <w:tcW w:w="128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130"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kern w:val="2"/>
                <w:sz w:val="21"/>
                <w:szCs w:val="21"/>
                <w:shd w:val="clear" w:color="auto" w:fill="auto"/>
                <w:lang w:val="en-US"/>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3</w:t>
            </w:r>
          </w:p>
        </w:tc>
      </w:tr>
      <w:tr>
        <w:trPr>
          <w:trHeight w:val="340"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kern w:val="2"/>
                <w:sz w:val="21"/>
                <w:szCs w:val="21"/>
                <w:shd w:val="clear" w:color="auto" w:fill="auto"/>
                <w:lang w:val="en-US"/>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4</w:t>
            </w:r>
          </w:p>
        </w:tc>
      </w:tr>
      <w:tr>
        <w:trPr>
          <w:trHeight w:val="340"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kern w:val="2"/>
                <w:sz w:val="21"/>
                <w:szCs w:val="21"/>
                <w:shd w:val="clear" w:color="auto" w:fill="auto"/>
                <w:lang w:val="en-US"/>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5</w:t>
            </w:r>
          </w:p>
        </w:tc>
      </w:tr>
      <w:tr>
        <w:trPr>
          <w:trHeight w:val="340"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40"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776"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5094"/>
        <w:gridCol w:w="2629"/>
      </w:tblGrid>
      <w:tr>
        <w:trPr>
          <w:trHeight w:val="340" w:hRule="atLeast"/>
        </w:trPr>
        <w:tc>
          <w:tcPr>
            <w:tcW w:w="9060" w:type="dxa"/>
            <w:gridSpan w:val="3"/>
            <w:vAlign w:val="top"/>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40" w:hRule="atLeast"/>
        </w:trPr>
        <w:tc>
          <w:tcPr>
            <w:tcW w:w="13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23"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337" w:name="_Toc17560"/>
            <w:r>
              <w:rPr>
                <w:rFonts w:hint="default" w:ascii="Times New Roman" w:hAnsi="Times New Roman" w:cs="Times New Roman"/>
                <w:color w:val="auto"/>
                <w:sz w:val="20"/>
                <w:szCs w:val="20"/>
                <w:shd w:val="clear" w:color="auto" w:fill="auto"/>
              </w:rPr>
              <w:t>30</w:t>
            </w:r>
            <w:bookmarkEnd w:id="337"/>
          </w:p>
        </w:tc>
      </w:tr>
      <w:tr>
        <w:trPr>
          <w:trHeight w:val="340" w:hRule="atLeast"/>
        </w:trPr>
        <w:tc>
          <w:tcPr>
            <w:tcW w:w="13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23" w:type="dxa"/>
            <w:gridSpan w:val="2"/>
            <w:vAlign w:val="center"/>
          </w:tcPr>
          <w:p>
            <w:pPr>
              <w:pStyle w:val="18"/>
              <w:shd w:val="clear" w:color="auto" w:fill="auto"/>
              <w:snapToGrid w:val="0"/>
              <w:spacing w:before="0" w:beforeAutospacing="0" w:after="0" w:afterAutospacing="0" w:line="320" w:lineRule="exact"/>
              <w:ind w:left="0" w:right="0" w:firstLine="420"/>
              <w:jc w:val="both"/>
              <w:outlineLvl w:val="9"/>
              <w:rPr>
                <w:rFonts w:hint="default" w:ascii="Times New Roman" w:hAnsi="Times New Roman" w:cs="Times New Roman"/>
                <w:color w:val="auto"/>
                <w:sz w:val="21"/>
                <w:szCs w:val="21"/>
                <w:shd w:val="clear" w:color="auto" w:fill="auto"/>
              </w:rPr>
            </w:pPr>
            <w:bookmarkStart w:id="338" w:name="_Toc26648"/>
            <w:r>
              <w:rPr>
                <w:rFonts w:hint="default" w:ascii="Times New Roman" w:hAnsi="Times New Roman" w:cs="Times New Roman"/>
                <w:color w:val="auto"/>
                <w:sz w:val="21"/>
                <w:szCs w:val="21"/>
                <w:shd w:val="clear" w:color="auto" w:fill="auto"/>
              </w:rPr>
              <w:t>核设施营运单位未按照规定，将其产生的废旧放射源送交贮存、处置，或者将其产生的其他放射性固体废物送交处置，责令限期改正逾期不改正的</w:t>
            </w:r>
            <w:bookmarkEnd w:id="338"/>
          </w:p>
        </w:tc>
      </w:tr>
      <w:tr>
        <w:trPr>
          <w:trHeight w:val="340" w:hRule="atLeast"/>
        </w:trPr>
        <w:tc>
          <w:tcPr>
            <w:tcW w:w="13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23" w:type="dxa"/>
            <w:gridSpan w:val="2"/>
            <w:vAlign w:val="center"/>
          </w:tcPr>
          <w:p>
            <w:pPr>
              <w:pStyle w:val="18"/>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《放射性废物安全管理条例》第十条第一款</w:t>
            </w:r>
            <w:r>
              <w:rPr>
                <w:rFonts w:hint="default" w:ascii="Times New Roman" w:hAnsi="Times New Roman" w:cs="Times New Roman"/>
                <w:b/>
                <w:bCs/>
                <w:color w:val="auto"/>
                <w:sz w:val="21"/>
                <w:szCs w:val="21"/>
                <w:shd w:val="clear" w:color="auto" w:fill="auto"/>
                <w:lang w:val="en-US" w:eastAsia="zh-CN"/>
              </w:rPr>
              <w:t xml:space="preserve"> </w:t>
            </w:r>
            <w:r>
              <w:rPr>
                <w:rFonts w:hint="default" w:ascii="Times New Roman" w:hAnsi="Times New Roman" w:cs="Times New Roman"/>
                <w:color w:val="auto"/>
                <w:sz w:val="21"/>
                <w:szCs w:val="21"/>
                <w:shd w:val="clear" w:color="auto" w:fill="auto"/>
              </w:rPr>
              <w:t>核设施营运单位应当将其产生的不能回收利用并不能返回原生产单位或者出口方的废旧放射源（以下简称废旧放射源），送交取得相应许可证的放射性固体废物贮存单位集中贮存，或者直接送交取得相应许可证的放射性固体废物处置单位处置。</w:t>
            </w:r>
          </w:p>
        </w:tc>
      </w:tr>
      <w:tr>
        <w:trPr>
          <w:trHeight w:val="340" w:hRule="atLeast"/>
        </w:trPr>
        <w:tc>
          <w:tcPr>
            <w:tcW w:w="13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23" w:type="dxa"/>
            <w:gridSpan w:val="2"/>
            <w:vAlign w:val="center"/>
          </w:tcPr>
          <w:p>
            <w:pPr>
              <w:pStyle w:val="18"/>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《放射性废物安全管理条例》第三十六条第（一）项</w:t>
            </w:r>
            <w:r>
              <w:rPr>
                <w:rFonts w:hint="default" w:ascii="Times New Roman" w:hAnsi="Times New Roman" w:cs="Times New Roman"/>
                <w:b/>
                <w:bCs/>
                <w:color w:val="auto"/>
                <w:sz w:val="21"/>
                <w:szCs w:val="21"/>
                <w:shd w:val="clear" w:color="auto" w:fill="auto"/>
                <w:lang w:val="en-US" w:eastAsia="zh-CN"/>
              </w:rPr>
              <w:t xml:space="preserve"> </w:t>
            </w:r>
            <w:r>
              <w:rPr>
                <w:rFonts w:hint="default" w:ascii="Times New Roman" w:hAnsi="Times New Roman" w:cs="Times New Roman"/>
                <w:color w:val="auto"/>
                <w:sz w:val="21"/>
                <w:szCs w:val="21"/>
                <w:shd w:val="clear" w:color="auto" w:fill="auto"/>
              </w:rPr>
              <w:t>违反本条例规定，核设施营运单位、核技术利用单位有下列行为之一的，由审批该单位立项环境影响评价文件的环境保护主管部门责令停止违法行为，限期改正；逾期不改正的，指定有相应许可证的单位代为贮存或者处置，所需费用由核设施营运单位、核技术利用单位承担，可以处20万元以下的罚款；构成犯罪的，依法追究刑事责任：</w:t>
            </w:r>
          </w:p>
          <w:p>
            <w:pPr>
              <w:pStyle w:val="18"/>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（一）核设施营运单位未按照规定，将其产生的废旧放射源送交贮存、处置，或者将其产生的其他放射性固体废物送交处置的。</w:t>
            </w:r>
          </w:p>
        </w:tc>
      </w:tr>
      <w:tr>
        <w:trPr>
          <w:trHeight w:val="403" w:hRule="atLeast"/>
        </w:trPr>
        <w:tc>
          <w:tcPr>
            <w:tcW w:w="13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03" w:hRule="atLeast"/>
        </w:trPr>
        <w:tc>
          <w:tcPr>
            <w:tcW w:w="133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★放射性</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废物数量</w:t>
            </w:r>
          </w:p>
        </w:tc>
        <w:tc>
          <w:tcPr>
            <w:tcW w:w="5094"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1"/>
                <w:szCs w:val="21"/>
                <w:shd w:val="clear" w:color="auto" w:fill="auto"/>
                <w:lang w:eastAsia="zh-CN"/>
              </w:rPr>
            </w:pPr>
            <w:r>
              <w:rPr>
                <w:rFonts w:hint="default" w:ascii="Times New Roman" w:hAnsi="Times New Roman" w:cs="Times New Roman"/>
                <w:color w:val="auto"/>
                <w:sz w:val="21"/>
                <w:szCs w:val="21"/>
                <w:shd w:val="clear" w:color="auto" w:fill="auto"/>
              </w:rPr>
              <w:t>10千克</w:t>
            </w:r>
            <w:r>
              <w:rPr>
                <w:rFonts w:hint="default" w:ascii="Times New Roman" w:hAnsi="Times New Roman" w:cs="Times New Roman"/>
                <w:color w:val="auto"/>
                <w:sz w:val="21"/>
                <w:szCs w:val="21"/>
                <w:shd w:val="clear" w:color="auto" w:fill="auto"/>
                <w:lang w:eastAsia="zh-CN"/>
              </w:rPr>
              <w:t>以下</w:t>
            </w:r>
          </w:p>
        </w:tc>
        <w:tc>
          <w:tcPr>
            <w:tcW w:w="262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403"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10千克以上100千克</w:t>
            </w:r>
            <w:r>
              <w:rPr>
                <w:rFonts w:hint="default" w:ascii="Times New Roman" w:hAnsi="Times New Roman" w:cs="Times New Roman"/>
                <w:color w:val="auto"/>
                <w:sz w:val="21"/>
                <w:szCs w:val="21"/>
                <w:shd w:val="clear" w:color="auto" w:fill="auto"/>
                <w:lang w:eastAsia="zh-CN"/>
              </w:rPr>
              <w:t>以下</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03"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100千克以上</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03" w:hRule="atLeast"/>
        </w:trPr>
        <w:tc>
          <w:tcPr>
            <w:tcW w:w="133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类型</w:t>
            </w:r>
          </w:p>
        </w:tc>
        <w:tc>
          <w:tcPr>
            <w:tcW w:w="50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Ⅳ类、Ⅴ类放射源</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03"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Ⅲ类放射源</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03"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Ⅰ类、Ⅱ类放射源</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03" w:hRule="atLeast"/>
        </w:trPr>
        <w:tc>
          <w:tcPr>
            <w:tcW w:w="133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放射性</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废物类型</w:t>
            </w:r>
          </w:p>
        </w:tc>
        <w:tc>
          <w:tcPr>
            <w:tcW w:w="50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极短寿命放射性废物</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03"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极低水平放射性废物</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03"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低水平放射性废物</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03"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中水平放射性废物</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03"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高水平放射性废物</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03" w:hRule="atLeast"/>
        </w:trPr>
        <w:tc>
          <w:tcPr>
            <w:tcW w:w="1337"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094"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kern w:val="2"/>
                <w:sz w:val="21"/>
                <w:szCs w:val="21"/>
                <w:shd w:val="clear" w:color="auto" w:fill="auto"/>
                <w:lang w:val="en-US"/>
              </w:rPr>
              <w:t>3天以下</w:t>
            </w:r>
          </w:p>
        </w:tc>
        <w:tc>
          <w:tcPr>
            <w:tcW w:w="262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3</w:t>
            </w:r>
          </w:p>
        </w:tc>
      </w:tr>
      <w:tr>
        <w:trPr>
          <w:trHeight w:val="403" w:hRule="atLeast"/>
        </w:trPr>
        <w:tc>
          <w:tcPr>
            <w:tcW w:w="133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kern w:val="2"/>
                <w:sz w:val="21"/>
                <w:szCs w:val="21"/>
                <w:shd w:val="clear" w:color="auto" w:fill="auto"/>
                <w:lang w:val="en-US"/>
              </w:rPr>
              <w:t>3天以上7天以下</w:t>
            </w:r>
          </w:p>
        </w:tc>
        <w:tc>
          <w:tcPr>
            <w:tcW w:w="262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4</w:t>
            </w:r>
          </w:p>
        </w:tc>
      </w:tr>
      <w:tr>
        <w:trPr>
          <w:trHeight w:val="403" w:hRule="atLeast"/>
        </w:trPr>
        <w:tc>
          <w:tcPr>
            <w:tcW w:w="133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kern w:val="2"/>
                <w:sz w:val="21"/>
                <w:szCs w:val="21"/>
                <w:shd w:val="clear" w:color="auto" w:fill="auto"/>
                <w:lang w:val="en-US"/>
              </w:rPr>
              <w:t>7天以上</w:t>
            </w:r>
          </w:p>
        </w:tc>
        <w:tc>
          <w:tcPr>
            <w:tcW w:w="262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5</w:t>
            </w:r>
          </w:p>
        </w:tc>
      </w:tr>
      <w:tr>
        <w:trPr>
          <w:trHeight w:val="403" w:hRule="atLeast"/>
        </w:trPr>
        <w:tc>
          <w:tcPr>
            <w:tcW w:w="1337"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9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2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03" w:hRule="atLeast"/>
        </w:trPr>
        <w:tc>
          <w:tcPr>
            <w:tcW w:w="133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2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03" w:hRule="atLeast"/>
        </w:trPr>
        <w:tc>
          <w:tcPr>
            <w:tcW w:w="133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2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03" w:hRule="atLeast"/>
        </w:trPr>
        <w:tc>
          <w:tcPr>
            <w:tcW w:w="133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2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03" w:hRule="atLeast"/>
        </w:trPr>
        <w:tc>
          <w:tcPr>
            <w:tcW w:w="133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2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03" w:hRule="atLeast"/>
        </w:trPr>
        <w:tc>
          <w:tcPr>
            <w:tcW w:w="1337"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094"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1次</w:t>
            </w:r>
          </w:p>
        </w:tc>
        <w:tc>
          <w:tcPr>
            <w:tcW w:w="262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03" w:hRule="atLeast"/>
        </w:trPr>
        <w:tc>
          <w:tcPr>
            <w:tcW w:w="133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2次</w:t>
            </w:r>
          </w:p>
        </w:tc>
        <w:tc>
          <w:tcPr>
            <w:tcW w:w="262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03" w:hRule="atLeast"/>
        </w:trPr>
        <w:tc>
          <w:tcPr>
            <w:tcW w:w="133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3次</w:t>
            </w:r>
          </w:p>
        </w:tc>
        <w:tc>
          <w:tcPr>
            <w:tcW w:w="262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03" w:hRule="atLeast"/>
        </w:trPr>
        <w:tc>
          <w:tcPr>
            <w:tcW w:w="133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4次</w:t>
            </w:r>
          </w:p>
        </w:tc>
        <w:tc>
          <w:tcPr>
            <w:tcW w:w="262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03" w:hRule="atLeast"/>
        </w:trPr>
        <w:tc>
          <w:tcPr>
            <w:tcW w:w="133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r>
              <w:rPr>
                <w:rFonts w:hint="default" w:ascii="Times New Roman" w:hAnsi="Times New Roman" w:eastAsia="宋体" w:cs="Times New Roman"/>
                <w:color w:val="auto"/>
                <w:kern w:val="2"/>
                <w:sz w:val="21"/>
                <w:szCs w:val="21"/>
                <w:shd w:val="clear" w:color="auto" w:fill="auto"/>
                <w:lang w:val="en-US"/>
              </w:rPr>
              <w:t>次以上</w:t>
            </w:r>
          </w:p>
        </w:tc>
        <w:tc>
          <w:tcPr>
            <w:tcW w:w="262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p>
        </w:tc>
      </w:tr>
      <w:tr>
        <w:trPr>
          <w:trHeight w:val="403" w:hRule="atLeast"/>
        </w:trPr>
        <w:tc>
          <w:tcPr>
            <w:tcW w:w="133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094"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03"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03"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03"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403" w:hRule="atLeast"/>
        </w:trPr>
        <w:tc>
          <w:tcPr>
            <w:tcW w:w="133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094"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登记管理</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03"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 xml:space="preserve"> </w:t>
            </w:r>
            <w:r>
              <w:rPr>
                <w:rFonts w:hint="default" w:ascii="Times New Roman" w:hAnsi="Times New Roman" w:cs="Times New Roman"/>
                <w:color w:val="auto"/>
                <w:sz w:val="20"/>
                <w:szCs w:val="20"/>
                <w:shd w:val="clear" w:color="auto" w:fill="auto"/>
                <w:lang w:val="en-US"/>
              </w:rPr>
              <w:t>简化管理</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403"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rPr>
              <w:t>重点管理</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03" w:hRule="atLeast"/>
        </w:trPr>
        <w:tc>
          <w:tcPr>
            <w:tcW w:w="133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094"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03"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03"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03" w:hRule="atLeast"/>
        </w:trPr>
        <w:tc>
          <w:tcPr>
            <w:tcW w:w="133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2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03"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2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03"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2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03"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2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03" w:hRule="atLeast"/>
        </w:trPr>
        <w:tc>
          <w:tcPr>
            <w:tcW w:w="13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23"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c>
          <w:tcPr>
            <w:tcW w:w="9060" w:type="dxa"/>
            <w:gridSpan w:val="3"/>
            <w:vAlign w:val="top"/>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339" w:name="_Toc24946"/>
            <w:r>
              <w:rPr>
                <w:rFonts w:hint="default" w:ascii="Times New Roman" w:hAnsi="Times New Roman" w:cs="Times New Roman"/>
                <w:color w:val="auto"/>
                <w:sz w:val="20"/>
                <w:szCs w:val="20"/>
                <w:shd w:val="clear" w:color="auto" w:fill="auto"/>
              </w:rPr>
              <w:t>31</w:t>
            </w:r>
            <w:bookmarkEnd w:id="339"/>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top"/>
          </w:tcPr>
          <w:p>
            <w:pPr>
              <w:pStyle w:val="18"/>
              <w:shd w:val="clear" w:color="auto" w:fill="auto"/>
              <w:spacing w:before="0" w:beforeAutospacing="0" w:after="0" w:afterAutospacing="0" w:line="320" w:lineRule="exact"/>
              <w:ind w:left="0" w:right="0" w:firstLine="420"/>
              <w:outlineLvl w:val="9"/>
              <w:rPr>
                <w:rFonts w:hint="default" w:ascii="Times New Roman" w:hAnsi="Times New Roman" w:cs="Times New Roman"/>
                <w:color w:val="auto"/>
                <w:sz w:val="21"/>
                <w:szCs w:val="21"/>
                <w:shd w:val="clear" w:color="auto" w:fill="auto"/>
              </w:rPr>
            </w:pPr>
            <w:bookmarkStart w:id="340" w:name="_Toc711"/>
            <w:r>
              <w:rPr>
                <w:rFonts w:hint="default" w:ascii="Times New Roman" w:hAnsi="Times New Roman" w:cs="Times New Roman"/>
                <w:color w:val="auto"/>
                <w:sz w:val="21"/>
                <w:szCs w:val="21"/>
                <w:shd w:val="clear" w:color="auto" w:fill="auto"/>
              </w:rPr>
              <w:t>核技术利用单位未按照规定，将其产生的废旧放射源或者其他放射性固体废物送交贮存、处置，责令限期改正逾期不改正的</w:t>
            </w:r>
            <w:bookmarkEnd w:id="340"/>
          </w:p>
        </w:tc>
      </w:tr>
      <w:t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《放射性废物安全管理条例》第十一条第二款</w:t>
            </w:r>
            <w:r>
              <w:rPr>
                <w:rFonts w:hint="default" w:ascii="Times New Roman" w:hAnsi="Times New Roman" w:cs="Times New Roman"/>
                <w:color w:val="auto"/>
                <w:sz w:val="21"/>
                <w:szCs w:val="21"/>
                <w:shd w:val="clear" w:color="auto" w:fill="auto"/>
              </w:rPr>
              <w:t xml:space="preserve">  核技术利用单位应当及时将其产生的废旧放射源和其他放射性固体废物，送交取得相应许可证的放射性固体废物贮存单位集中贮存，或者直接送交取得相应许可证的放射性固体废物处置单位处置。</w:t>
            </w:r>
          </w:p>
        </w:tc>
      </w:tr>
      <w:t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《放射性废物安全管理条例》第三十六条第（二）项</w:t>
            </w:r>
            <w:r>
              <w:rPr>
                <w:rFonts w:hint="default" w:ascii="Times New Roman" w:hAnsi="Times New Roman" w:cs="Times New Roman"/>
                <w:color w:val="auto"/>
                <w:sz w:val="21"/>
                <w:szCs w:val="21"/>
                <w:shd w:val="clear" w:color="auto" w:fill="auto"/>
              </w:rPr>
              <w:t xml:space="preserve">  违反本条例规定，核设施营运单位、核技术利用单位有下列行为之一的，由审批该单位立项环境影响评价文件的环境保护主管部门责令停止违法行为，限期改正；逾期不改正的，指定有相应许可证的单位代为贮存或者处置，所需费用由核设施营运单位、核技术利用单位承担，可以处20万元以下的罚款；构成犯罪的，依法追究刑事责任：</w:t>
            </w:r>
          </w:p>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（二）核技术利用单位未按照规定，将其产生的废旧放射源或者其他放射性固体废物送交贮存、处置的。</w:t>
            </w:r>
          </w:p>
        </w:tc>
      </w:tr>
      <w:tr>
        <w:trPr>
          <w:trHeight w:val="380"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80"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★放射性</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废物数量</w:t>
            </w:r>
          </w:p>
        </w:tc>
        <w:tc>
          <w:tcPr>
            <w:tcW w:w="513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10千克</w:t>
            </w:r>
            <w:r>
              <w:rPr>
                <w:rFonts w:hint="default" w:ascii="Times New Roman" w:hAnsi="Times New Roman" w:cs="Times New Roman"/>
                <w:color w:val="auto"/>
                <w:sz w:val="21"/>
                <w:szCs w:val="21"/>
                <w:shd w:val="clear" w:color="auto" w:fill="auto"/>
                <w:lang w:eastAsia="zh-CN"/>
              </w:rPr>
              <w:t>以下</w:t>
            </w:r>
          </w:p>
        </w:tc>
        <w:tc>
          <w:tcPr>
            <w:tcW w:w="2646"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38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10千克以上100千克</w:t>
            </w:r>
            <w:r>
              <w:rPr>
                <w:rFonts w:hint="default" w:ascii="Times New Roman" w:hAnsi="Times New Roman" w:cs="Times New Roman"/>
                <w:color w:val="auto"/>
                <w:sz w:val="21"/>
                <w:szCs w:val="21"/>
                <w:shd w:val="clear" w:color="auto" w:fill="auto"/>
                <w:lang w:eastAsia="zh-CN"/>
              </w:rPr>
              <w:t>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100千克以上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0"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类型</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Ⅳ类、Ⅴ类放射源</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Ⅲ类放射源</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Ⅰ类、Ⅱ类放射源</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0"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放射性</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废物类型</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极短寿命放射性废物</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极低水平放射性废物</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8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低水平放射性废物</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中水平放射性废物</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8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高水平放射性废物</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0" w:hRule="atLeast"/>
        </w:trPr>
        <w:tc>
          <w:tcPr>
            <w:tcW w:w="1284"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80"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80"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80"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80"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80" w:hRule="atLeast"/>
        </w:trPr>
        <w:tc>
          <w:tcPr>
            <w:tcW w:w="1284"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80"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80"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80"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80"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r>
              <w:rPr>
                <w:rFonts w:hint="default" w:ascii="Times New Roman" w:hAnsi="Times New Roman" w:eastAsia="宋体" w:cs="Times New Roman"/>
                <w:color w:val="auto"/>
                <w:kern w:val="2"/>
                <w:sz w:val="21"/>
                <w:szCs w:val="21"/>
                <w:shd w:val="clear" w:color="auto" w:fill="auto"/>
                <w:lang w:val="en-US"/>
              </w:rPr>
              <w:t>次以上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p>
        </w:tc>
      </w:tr>
      <w:tr>
        <w:trPr>
          <w:trHeight w:val="90" w:hRule="atLeast"/>
        </w:trPr>
        <w:tc>
          <w:tcPr>
            <w:tcW w:w="128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130" w:type="dxa"/>
            <w:vAlign w:val="center"/>
          </w:tcPr>
          <w:p>
            <w:pPr>
              <w:pStyle w:val="18"/>
              <w:snapToGrid w:val="0"/>
              <w:spacing w:before="0" w:beforeAutospacing="0" w:after="0" w:afterAutospacing="0"/>
              <w:ind w:left="0" w:right="0"/>
              <w:jc w:val="center"/>
              <w:rPr>
                <w:rFonts w:hint="default" w:ascii="Times New Roman" w:hAnsi="Times New Roman" w:eastAsia="宋体" w:cs="Times New Roman"/>
                <w:i w:val="0"/>
                <w:iCs w:val="0"/>
                <w:caps w:val="0"/>
                <w:color w:val="auto"/>
                <w:spacing w:val="0"/>
                <w:kern w:val="2"/>
                <w:sz w:val="21"/>
                <w:szCs w:val="21"/>
                <w:shd w:val="clear" w:color="auto" w:fill="auto"/>
                <w:lang/>
              </w:rPr>
            </w:pPr>
            <w:r>
              <w:rPr>
                <w:rFonts w:hint="default" w:ascii="Times New Roman" w:hAnsi="Times New Roman" w:cs="Times New Roman"/>
                <w:color w:val="auto"/>
                <w:kern w:val="2"/>
                <w:sz w:val="21"/>
                <w:szCs w:val="21"/>
                <w:shd w:val="clear" w:color="auto" w:fill="auto"/>
                <w:lang w:val="en-US"/>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3</w:t>
            </w:r>
          </w:p>
        </w:tc>
      </w:tr>
      <w:tr>
        <w:trPr>
          <w:trHeight w:val="90"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8"/>
              <w:snapToGrid w:val="0"/>
              <w:spacing w:before="0" w:beforeAutospacing="0" w:after="0" w:afterAutospacing="0"/>
              <w:ind w:left="0" w:right="0"/>
              <w:jc w:val="center"/>
              <w:rPr>
                <w:rFonts w:hint="default" w:ascii="Times New Roman" w:hAnsi="Times New Roman" w:eastAsia="宋体" w:cs="Times New Roman"/>
                <w:i w:val="0"/>
                <w:iCs w:val="0"/>
                <w:caps w:val="0"/>
                <w:color w:val="auto"/>
                <w:spacing w:val="0"/>
                <w:kern w:val="2"/>
                <w:sz w:val="21"/>
                <w:szCs w:val="21"/>
                <w:shd w:val="clear" w:color="auto" w:fill="auto"/>
                <w:lang/>
              </w:rPr>
            </w:pPr>
            <w:r>
              <w:rPr>
                <w:rFonts w:hint="default" w:ascii="Times New Roman" w:hAnsi="Times New Roman" w:cs="Times New Roman"/>
                <w:color w:val="auto"/>
                <w:kern w:val="2"/>
                <w:sz w:val="21"/>
                <w:szCs w:val="21"/>
                <w:shd w:val="clear" w:color="auto" w:fill="auto"/>
                <w:lang w:val="en-US"/>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4</w:t>
            </w:r>
          </w:p>
        </w:tc>
      </w:tr>
      <w:tr>
        <w:trPr>
          <w:trHeight w:val="90"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8"/>
              <w:snapToGrid w:val="0"/>
              <w:spacing w:before="0" w:beforeAutospacing="0" w:after="0" w:afterAutospacing="0"/>
              <w:ind w:left="0" w:right="0"/>
              <w:jc w:val="center"/>
              <w:rPr>
                <w:rFonts w:hint="default" w:ascii="Times New Roman" w:hAnsi="Times New Roman" w:eastAsia="宋体" w:cs="Times New Roman"/>
                <w:i w:val="0"/>
                <w:iCs w:val="0"/>
                <w:caps w:val="0"/>
                <w:color w:val="auto"/>
                <w:spacing w:val="0"/>
                <w:kern w:val="2"/>
                <w:sz w:val="21"/>
                <w:szCs w:val="21"/>
                <w:shd w:val="clear" w:color="auto" w:fill="auto"/>
                <w:lang/>
              </w:rPr>
            </w:pPr>
            <w:r>
              <w:rPr>
                <w:rFonts w:hint="default" w:ascii="Times New Roman" w:hAnsi="Times New Roman" w:cs="Times New Roman"/>
                <w:color w:val="auto"/>
                <w:kern w:val="2"/>
                <w:sz w:val="21"/>
                <w:szCs w:val="21"/>
                <w:shd w:val="clear" w:color="auto" w:fill="auto"/>
                <w:lang w:val="en-US"/>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5</w:t>
            </w:r>
          </w:p>
        </w:tc>
      </w:tr>
      <w:tr>
        <w:trPr>
          <w:trHeight w:val="90"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9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9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9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90"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9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9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90"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9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9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90"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69"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69"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776"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5094"/>
        <w:gridCol w:w="2629"/>
      </w:tblGrid>
      <w:tr>
        <w:trPr>
          <w:trHeight w:val="284" w:hRule="atLeast"/>
        </w:trPr>
        <w:tc>
          <w:tcPr>
            <w:tcW w:w="9060" w:type="dxa"/>
            <w:gridSpan w:val="3"/>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284" w:hRule="atLeast"/>
        </w:trPr>
        <w:tc>
          <w:tcPr>
            <w:tcW w:w="13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23"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341" w:name="_Toc3020"/>
            <w:r>
              <w:rPr>
                <w:rFonts w:hint="default" w:ascii="Times New Roman" w:hAnsi="Times New Roman" w:cs="Times New Roman"/>
                <w:color w:val="auto"/>
                <w:sz w:val="20"/>
                <w:szCs w:val="20"/>
                <w:shd w:val="clear" w:color="auto" w:fill="auto"/>
              </w:rPr>
              <w:t>32</w:t>
            </w:r>
            <w:bookmarkEnd w:id="341"/>
          </w:p>
        </w:tc>
      </w:tr>
      <w:tr>
        <w:trPr>
          <w:trHeight w:val="284" w:hRule="atLeast"/>
        </w:trPr>
        <w:tc>
          <w:tcPr>
            <w:tcW w:w="13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23" w:type="dxa"/>
            <w:gridSpan w:val="2"/>
            <w:vAlign w:val="center"/>
          </w:tcPr>
          <w:p>
            <w:pPr>
              <w:pStyle w:val="18"/>
              <w:shd w:val="clear" w:color="auto" w:fill="auto"/>
              <w:snapToGrid w:val="0"/>
              <w:spacing w:before="0" w:beforeAutospacing="0" w:after="0" w:afterAutospacing="0" w:line="320" w:lineRule="exact"/>
              <w:ind w:left="0" w:right="0" w:firstLine="420"/>
              <w:jc w:val="both"/>
              <w:outlineLvl w:val="9"/>
              <w:rPr>
                <w:rFonts w:hint="default" w:ascii="Times New Roman" w:hAnsi="Times New Roman" w:cs="Times New Roman"/>
                <w:color w:val="auto"/>
                <w:sz w:val="21"/>
                <w:szCs w:val="21"/>
                <w:shd w:val="clear" w:color="auto" w:fill="auto"/>
              </w:rPr>
            </w:pPr>
            <w:bookmarkStart w:id="342" w:name="_Toc10781"/>
            <w:r>
              <w:rPr>
                <w:rFonts w:hint="default" w:ascii="Times New Roman" w:hAnsi="Times New Roman" w:cs="Times New Roman"/>
                <w:color w:val="auto"/>
                <w:sz w:val="21"/>
                <w:szCs w:val="21"/>
                <w:shd w:val="clear" w:color="auto" w:fill="auto"/>
              </w:rPr>
              <w:t>放射性固体废物贮存、处置单位未按照国家有关放射性污染防治标准和国务院环境保护主管部门的规定贮存、处置废旧放射源或者其他放射性固体废物的</w:t>
            </w:r>
            <w:bookmarkEnd w:id="342"/>
          </w:p>
        </w:tc>
      </w:tr>
      <w:tr>
        <w:trPr>
          <w:trHeight w:val="284" w:hRule="atLeast"/>
        </w:trPr>
        <w:tc>
          <w:tcPr>
            <w:tcW w:w="13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23" w:type="dxa"/>
            <w:gridSpan w:val="2"/>
            <w:vAlign w:val="center"/>
          </w:tcPr>
          <w:p>
            <w:pPr>
              <w:pStyle w:val="18"/>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《放射性废物安全管理条例》第十七条第一款</w:t>
            </w:r>
            <w:r>
              <w:rPr>
                <w:rFonts w:hint="default" w:ascii="Times New Roman" w:hAnsi="Times New Roman" w:cs="Times New Roman"/>
                <w:color w:val="auto"/>
                <w:sz w:val="21"/>
                <w:szCs w:val="21"/>
                <w:shd w:val="clear" w:color="auto" w:fill="auto"/>
              </w:rPr>
              <w:t xml:space="preserve">  放射性固体废物贮存单位应当按照国家有关放射性污染防治标准和国务院环境保护主管部门的规定，对其接收的废旧放射源和其他放射性固体废物进行分类存放和清理，及时予以清洁解控或者送交取得相应许可证的放射性固体废物处置单位处置。</w:t>
            </w:r>
          </w:p>
          <w:p>
            <w:pPr>
              <w:pStyle w:val="18"/>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第二十五条第一款</w:t>
            </w:r>
            <w:r>
              <w:rPr>
                <w:rFonts w:hint="default" w:ascii="Times New Roman" w:hAnsi="Times New Roman" w:cs="Times New Roman"/>
                <w:color w:val="auto"/>
                <w:sz w:val="21"/>
                <w:szCs w:val="21"/>
                <w:shd w:val="clear" w:color="auto" w:fill="auto"/>
              </w:rPr>
              <w:t xml:space="preserve">  放射性固体废物处置单位应当按照国家有关放射性污染防治标准和国务院环境保护主管部门的规定，对其接收的放射性固体废物进行处置。</w:t>
            </w:r>
          </w:p>
        </w:tc>
      </w:tr>
      <w:tr>
        <w:trPr>
          <w:trHeight w:val="284" w:hRule="atLeast"/>
        </w:trPr>
        <w:tc>
          <w:tcPr>
            <w:tcW w:w="13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23" w:type="dxa"/>
            <w:gridSpan w:val="2"/>
            <w:vAlign w:val="center"/>
          </w:tcPr>
          <w:p>
            <w:pPr>
              <w:pStyle w:val="18"/>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《放射性废物安全管理条例》第三十八条第（三）项</w:t>
            </w:r>
            <w:r>
              <w:rPr>
                <w:rFonts w:hint="default" w:ascii="Times New Roman" w:hAnsi="Times New Roman" w:cs="Times New Roman"/>
                <w:color w:val="auto"/>
                <w:sz w:val="21"/>
                <w:szCs w:val="21"/>
                <w:shd w:val="clear" w:color="auto" w:fill="auto"/>
              </w:rPr>
              <w:t xml:space="preserve">  违反本条例规定，有下列行为之一的，由省级以上人民政府环境保护主管部门责令停产停业或者吊销许可证；有违法所得的，没收违法所得；违法所得10万元以上的，并处违法所得1倍以上5倍以下的罚款；没有违法所得或者违法所得不足10万元的，并处5万元以上10万元以下的罚款；造成环境污染的，责令限期采取治理措施消除污染，逾期不采取治理措施，经催告仍不治理的，可以指定有治理能力的单位代为治理，所需费用由违法者承担；构成犯罪的，依法追究刑事责任：</w:t>
            </w:r>
          </w:p>
          <w:p>
            <w:pPr>
              <w:pStyle w:val="18"/>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（三）放射性固体废物贮存、处置单位未按照国家有关放射性污染防治标准和国务院环境保护主管部门的规定贮存、处置废旧放射源或者其他放射性固体废物的。</w:t>
            </w:r>
          </w:p>
        </w:tc>
      </w:tr>
      <w:tr>
        <w:trPr>
          <w:trHeight w:val="284" w:hRule="atLeast"/>
        </w:trPr>
        <w:tc>
          <w:tcPr>
            <w:tcW w:w="13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284" w:hRule="atLeast"/>
        </w:trPr>
        <w:tc>
          <w:tcPr>
            <w:tcW w:w="133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★放射性</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废物数量</w:t>
            </w:r>
          </w:p>
        </w:tc>
        <w:tc>
          <w:tcPr>
            <w:tcW w:w="5094"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10千克</w:t>
            </w:r>
            <w:r>
              <w:rPr>
                <w:rFonts w:hint="default" w:ascii="Times New Roman" w:hAnsi="Times New Roman" w:cs="Times New Roman"/>
                <w:color w:val="auto"/>
                <w:sz w:val="21"/>
                <w:szCs w:val="21"/>
                <w:shd w:val="clear" w:color="auto" w:fill="auto"/>
                <w:lang w:val="en-US"/>
              </w:rPr>
              <w:t>以下</w:t>
            </w:r>
          </w:p>
        </w:tc>
        <w:tc>
          <w:tcPr>
            <w:tcW w:w="262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284"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10千克以上100千克</w:t>
            </w:r>
            <w:r>
              <w:rPr>
                <w:rFonts w:hint="default" w:ascii="Times New Roman" w:hAnsi="Times New Roman" w:cs="Times New Roman"/>
                <w:color w:val="auto"/>
                <w:sz w:val="20"/>
                <w:szCs w:val="20"/>
                <w:shd w:val="clear" w:color="auto" w:fill="auto"/>
                <w:lang w:val="en-US"/>
              </w:rPr>
              <w:t>以下</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284"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100千克以上</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84" w:hRule="atLeast"/>
        </w:trPr>
        <w:tc>
          <w:tcPr>
            <w:tcW w:w="133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类型</w:t>
            </w:r>
          </w:p>
        </w:tc>
        <w:tc>
          <w:tcPr>
            <w:tcW w:w="50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Ⅳ类、Ⅴ类放射源</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284"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Ⅲ类放射源</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284"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Ⅰ类、Ⅱ类放射源</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84" w:hRule="atLeast"/>
        </w:trPr>
        <w:tc>
          <w:tcPr>
            <w:tcW w:w="133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放射性</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废物类型</w:t>
            </w:r>
          </w:p>
        </w:tc>
        <w:tc>
          <w:tcPr>
            <w:tcW w:w="50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极短寿命放射性废物</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284"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极低水平放射性废物</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284"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低水平放射性废物</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284"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中水平放射性废物</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284"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高水平放射性废物</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84" w:hRule="atLeast"/>
        </w:trPr>
        <w:tc>
          <w:tcPr>
            <w:tcW w:w="133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无违法所得</w:t>
            </w:r>
            <w:r>
              <w:rPr>
                <w:rFonts w:hint="default" w:ascii="Times New Roman" w:hAnsi="Times New Roman" w:cs="Times New Roman"/>
                <w:b/>
                <w:bCs/>
                <w:color w:val="auto"/>
                <w:sz w:val="20"/>
                <w:szCs w:val="20"/>
                <w:shd w:val="clear" w:color="auto" w:fill="auto"/>
                <w:lang w:val="en-US"/>
              </w:rPr>
              <w:t>或</w:t>
            </w:r>
            <w:r>
              <w:rPr>
                <w:rFonts w:hint="default" w:ascii="Times New Roman" w:hAnsi="Times New Roman" w:cs="Times New Roman"/>
                <w:b/>
                <w:bCs/>
                <w:color w:val="auto"/>
                <w:sz w:val="20"/>
                <w:szCs w:val="20"/>
                <w:shd w:val="clear" w:color="auto" w:fill="auto"/>
              </w:rPr>
              <w:t>违法所得不足10万元</w:t>
            </w:r>
          </w:p>
        </w:tc>
        <w:tc>
          <w:tcPr>
            <w:tcW w:w="5094" w:type="dxa"/>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无违法所得</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284"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w:t>
            </w:r>
            <w:r>
              <w:rPr>
                <w:rFonts w:hint="default" w:ascii="Times New Roman" w:hAnsi="Times New Roman" w:cs="Times New Roman"/>
                <w:color w:val="auto"/>
                <w:kern w:val="0"/>
                <w:sz w:val="20"/>
                <w:szCs w:val="20"/>
                <w:shd w:val="clear" w:color="auto" w:fill="auto"/>
              </w:rPr>
              <w:t>5万元</w:t>
            </w:r>
            <w:r>
              <w:rPr>
                <w:rFonts w:hint="default" w:ascii="Times New Roman" w:hAnsi="Times New Roman" w:cs="Times New Roman"/>
                <w:color w:val="auto"/>
                <w:kern w:val="0"/>
                <w:sz w:val="20"/>
                <w:szCs w:val="20"/>
                <w:shd w:val="clear" w:color="auto" w:fill="auto"/>
                <w:lang w:val="en-US"/>
              </w:rPr>
              <w:t>以下</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284"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w:t>
            </w:r>
            <w:r>
              <w:rPr>
                <w:rFonts w:hint="default" w:ascii="Times New Roman" w:hAnsi="Times New Roman" w:cs="Times New Roman"/>
                <w:color w:val="auto"/>
                <w:kern w:val="0"/>
                <w:sz w:val="20"/>
                <w:szCs w:val="20"/>
                <w:shd w:val="clear" w:color="auto" w:fill="auto"/>
              </w:rPr>
              <w:t>5</w:t>
            </w:r>
            <w:r>
              <w:rPr>
                <w:rFonts w:hint="default" w:ascii="Times New Roman" w:hAnsi="Times New Roman" w:cs="Times New Roman"/>
                <w:color w:val="auto"/>
                <w:kern w:val="0"/>
                <w:sz w:val="20"/>
                <w:szCs w:val="20"/>
                <w:shd w:val="clear" w:color="auto" w:fill="auto"/>
                <w:lang w:val="en-US"/>
              </w:rPr>
              <w:t>以上</w:t>
            </w:r>
            <w:r>
              <w:rPr>
                <w:rFonts w:hint="default" w:ascii="Times New Roman" w:hAnsi="Times New Roman" w:cs="Times New Roman"/>
                <w:color w:val="auto"/>
                <w:kern w:val="0"/>
                <w:sz w:val="20"/>
                <w:szCs w:val="20"/>
                <w:shd w:val="clear" w:color="auto" w:fill="auto"/>
              </w:rPr>
              <w:t>10万元</w:t>
            </w:r>
            <w:r>
              <w:rPr>
                <w:rFonts w:hint="default" w:ascii="Times New Roman" w:hAnsi="Times New Roman" w:cs="Times New Roman"/>
                <w:color w:val="auto"/>
                <w:kern w:val="0"/>
                <w:sz w:val="20"/>
                <w:szCs w:val="20"/>
                <w:shd w:val="clear" w:color="auto" w:fill="auto"/>
                <w:lang w:val="en-US"/>
              </w:rPr>
              <w:t>以下</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84" w:hRule="atLeast"/>
        </w:trPr>
        <w:tc>
          <w:tcPr>
            <w:tcW w:w="133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违法所得10万元以上</w:t>
            </w:r>
          </w:p>
        </w:tc>
        <w:tc>
          <w:tcPr>
            <w:tcW w:w="5094" w:type="dxa"/>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w:t>
            </w:r>
            <w:r>
              <w:rPr>
                <w:rFonts w:hint="default" w:ascii="Times New Roman" w:hAnsi="Times New Roman" w:cs="Times New Roman"/>
                <w:color w:val="auto"/>
                <w:kern w:val="0"/>
                <w:sz w:val="20"/>
                <w:szCs w:val="20"/>
                <w:shd w:val="clear" w:color="auto" w:fill="auto"/>
              </w:rPr>
              <w:t>10</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上</w:t>
            </w:r>
            <w:r>
              <w:rPr>
                <w:rFonts w:hint="default" w:ascii="Times New Roman" w:hAnsi="Times New Roman" w:cs="Times New Roman"/>
                <w:color w:val="auto"/>
                <w:kern w:val="0"/>
                <w:sz w:val="20"/>
                <w:szCs w:val="20"/>
                <w:shd w:val="clear" w:color="auto" w:fill="auto"/>
              </w:rPr>
              <w:t>20万元</w:t>
            </w:r>
            <w:r>
              <w:rPr>
                <w:rFonts w:hint="default" w:ascii="Times New Roman" w:hAnsi="Times New Roman" w:cs="Times New Roman"/>
                <w:color w:val="auto"/>
                <w:kern w:val="0"/>
                <w:sz w:val="20"/>
                <w:szCs w:val="20"/>
                <w:shd w:val="clear" w:color="auto" w:fill="auto"/>
                <w:lang w:val="en-US"/>
              </w:rPr>
              <w:t>以下</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284"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违法所得2</w:t>
            </w:r>
            <w:r>
              <w:rPr>
                <w:rFonts w:hint="default" w:ascii="Times New Roman" w:hAnsi="Times New Roman" w:cs="Times New Roman"/>
                <w:color w:val="auto"/>
                <w:kern w:val="0"/>
                <w:sz w:val="20"/>
                <w:szCs w:val="20"/>
                <w:shd w:val="clear" w:color="auto" w:fill="auto"/>
              </w:rPr>
              <w:t>0</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上</w:t>
            </w:r>
            <w:r>
              <w:rPr>
                <w:rFonts w:hint="default" w:ascii="Times New Roman" w:hAnsi="Times New Roman" w:cs="Times New Roman"/>
                <w:color w:val="auto"/>
                <w:kern w:val="0"/>
                <w:sz w:val="20"/>
                <w:szCs w:val="20"/>
                <w:shd w:val="clear" w:color="auto" w:fill="auto"/>
                <w:lang/>
              </w:rPr>
              <w:t>3</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以下</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284"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违法所得3</w:t>
            </w:r>
            <w:r>
              <w:rPr>
                <w:rFonts w:hint="default" w:ascii="Times New Roman" w:hAnsi="Times New Roman" w:cs="Times New Roman"/>
                <w:color w:val="auto"/>
                <w:kern w:val="0"/>
                <w:sz w:val="20"/>
                <w:szCs w:val="20"/>
                <w:shd w:val="clear" w:color="auto" w:fill="auto"/>
              </w:rPr>
              <w:t>0</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上</w:t>
            </w:r>
            <w:r>
              <w:rPr>
                <w:rFonts w:hint="default" w:ascii="Times New Roman" w:hAnsi="Times New Roman" w:cs="Times New Roman"/>
                <w:color w:val="auto"/>
                <w:kern w:val="0"/>
                <w:sz w:val="20"/>
                <w:szCs w:val="20"/>
                <w:shd w:val="clear" w:color="auto" w:fill="auto"/>
              </w:rPr>
              <w:t>40万元</w:t>
            </w:r>
            <w:r>
              <w:rPr>
                <w:rFonts w:hint="default" w:ascii="Times New Roman" w:hAnsi="Times New Roman" w:cs="Times New Roman"/>
                <w:color w:val="auto"/>
                <w:kern w:val="0"/>
                <w:sz w:val="20"/>
                <w:szCs w:val="20"/>
                <w:shd w:val="clear" w:color="auto" w:fill="auto"/>
                <w:lang w:val="en-US"/>
              </w:rPr>
              <w:t>以下</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284"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违法所得4</w:t>
            </w:r>
            <w:r>
              <w:rPr>
                <w:rFonts w:hint="default" w:ascii="Times New Roman" w:hAnsi="Times New Roman" w:cs="Times New Roman"/>
                <w:color w:val="auto"/>
                <w:kern w:val="0"/>
                <w:sz w:val="20"/>
                <w:szCs w:val="20"/>
                <w:shd w:val="clear" w:color="auto" w:fill="auto"/>
              </w:rPr>
              <w:t>0</w:t>
            </w:r>
            <w:r>
              <w:rPr>
                <w:rFonts w:hint="default" w:ascii="Times New Roman" w:hAnsi="Times New Roman" w:cs="Times New Roman"/>
                <w:color w:val="auto"/>
                <w:kern w:val="0"/>
                <w:sz w:val="20"/>
                <w:szCs w:val="20"/>
                <w:shd w:val="clear" w:color="auto" w:fill="auto"/>
                <w:lang w:val="en-US"/>
              </w:rPr>
              <w:t>以</w:t>
            </w:r>
            <w:r>
              <w:rPr>
                <w:rFonts w:hint="default" w:ascii="Times New Roman" w:hAnsi="Times New Roman" w:cs="Times New Roman"/>
                <w:color w:val="auto"/>
                <w:kern w:val="0"/>
                <w:sz w:val="20"/>
                <w:szCs w:val="20"/>
                <w:shd w:val="clear" w:color="auto" w:fill="auto"/>
                <w:lang w:val="en-US" w:eastAsia="zh-CN"/>
              </w:rPr>
              <w:t>上</w:t>
            </w:r>
            <w:r>
              <w:rPr>
                <w:rFonts w:hint="default" w:ascii="Times New Roman" w:hAnsi="Times New Roman" w:cs="Times New Roman"/>
                <w:color w:val="auto"/>
                <w:kern w:val="0"/>
                <w:sz w:val="20"/>
                <w:szCs w:val="20"/>
                <w:shd w:val="clear" w:color="auto" w:fill="auto"/>
                <w:lang/>
              </w:rPr>
              <w:t>5</w:t>
            </w:r>
            <w:r>
              <w:rPr>
                <w:rFonts w:hint="default" w:ascii="Times New Roman" w:hAnsi="Times New Roman" w:cs="Times New Roman"/>
                <w:color w:val="auto"/>
                <w:kern w:val="0"/>
                <w:sz w:val="20"/>
                <w:szCs w:val="20"/>
                <w:shd w:val="clear" w:color="auto" w:fill="auto"/>
              </w:rPr>
              <w:t>0万元</w:t>
            </w:r>
            <w:r>
              <w:rPr>
                <w:rFonts w:hint="default" w:ascii="Times New Roman" w:hAnsi="Times New Roman" w:cs="Times New Roman"/>
                <w:color w:val="auto"/>
                <w:kern w:val="0"/>
                <w:sz w:val="20"/>
                <w:szCs w:val="20"/>
                <w:shd w:val="clear" w:color="auto" w:fill="auto"/>
                <w:lang w:val="en-US"/>
              </w:rPr>
              <w:t>以下</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284"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违法所得50万元以上</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84" w:hRule="atLeast"/>
        </w:trPr>
        <w:tc>
          <w:tcPr>
            <w:tcW w:w="1337"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9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2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284" w:hRule="atLeast"/>
        </w:trPr>
        <w:tc>
          <w:tcPr>
            <w:tcW w:w="133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2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284" w:hRule="atLeast"/>
        </w:trPr>
        <w:tc>
          <w:tcPr>
            <w:tcW w:w="133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2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284" w:hRule="atLeast"/>
        </w:trPr>
        <w:tc>
          <w:tcPr>
            <w:tcW w:w="133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2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284" w:hRule="atLeast"/>
        </w:trPr>
        <w:tc>
          <w:tcPr>
            <w:tcW w:w="1337"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widowControl/>
              <w:snapToGrid w:val="0"/>
              <w:spacing w:before="0" w:beforeAutospacing="0" w:after="0" w:afterAutospacing="0" w:line="240" w:lineRule="auto"/>
              <w:ind w:left="0" w:leftChars="0" w:right="0"/>
              <w:jc w:val="center"/>
              <w:rPr>
                <w:rFonts w:hint="default" w:ascii="Times New Roman" w:hAnsi="Times New Roman" w:eastAsia="宋体" w:cs="Times New Roman"/>
                <w:i w:val="0"/>
                <w:iCs w:val="0"/>
                <w:caps w:val="0"/>
                <w:color w:val="auto"/>
                <w:spacing w:val="0"/>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2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284" w:hRule="atLeast"/>
        </w:trPr>
        <w:tc>
          <w:tcPr>
            <w:tcW w:w="1337"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094"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i w:val="0"/>
                <w:iCs w:val="0"/>
                <w:caps w:val="0"/>
                <w:color w:val="auto"/>
                <w:spacing w:val="0"/>
                <w:kern w:val="2"/>
                <w:sz w:val="21"/>
                <w:szCs w:val="21"/>
                <w:shd w:val="clear" w:color="auto" w:fill="auto"/>
                <w:lang/>
              </w:rPr>
            </w:pPr>
            <w:r>
              <w:rPr>
                <w:rFonts w:hint="eastAsia" w:ascii="Times New Roman" w:hAnsi="Times New Roman" w:cs="Times New Roman"/>
                <w:color w:val="auto"/>
                <w:kern w:val="2"/>
                <w:sz w:val="21"/>
                <w:szCs w:val="21"/>
                <w:shd w:val="clear" w:color="auto" w:fill="auto"/>
                <w:lang w:eastAsia="zh-CN"/>
              </w:rPr>
              <w:t>限期改正</w:t>
            </w:r>
          </w:p>
        </w:tc>
        <w:tc>
          <w:tcPr>
            <w:tcW w:w="262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284" w:hRule="atLeast"/>
        </w:trPr>
        <w:tc>
          <w:tcPr>
            <w:tcW w:w="133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rPr>
            </w:pPr>
            <w:r>
              <w:rPr>
                <w:rFonts w:hint="default" w:ascii="Times New Roman" w:hAnsi="Times New Roman" w:cs="Times New Roman"/>
                <w:color w:val="auto"/>
                <w:sz w:val="20"/>
                <w:szCs w:val="20"/>
                <w:shd w:val="clear" w:color="auto" w:fill="auto"/>
                <w:lang w:val="en-US" w:eastAsia="zh-CN"/>
              </w:rPr>
              <w:t>3天以下</w:t>
            </w:r>
          </w:p>
        </w:tc>
        <w:tc>
          <w:tcPr>
            <w:tcW w:w="262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284" w:hRule="atLeast"/>
        </w:trPr>
        <w:tc>
          <w:tcPr>
            <w:tcW w:w="133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i w:val="0"/>
                <w:iCs w:val="0"/>
                <w:caps w:val="0"/>
                <w:color w:val="auto"/>
                <w:spacing w:val="0"/>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3天以上7天以下</w:t>
            </w:r>
          </w:p>
        </w:tc>
        <w:tc>
          <w:tcPr>
            <w:tcW w:w="262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284" w:hRule="atLeast"/>
        </w:trPr>
        <w:tc>
          <w:tcPr>
            <w:tcW w:w="1337"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i w:val="0"/>
                <w:iCs w:val="0"/>
                <w:caps w:val="0"/>
                <w:color w:val="auto"/>
                <w:spacing w:val="0"/>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7天以上</w:t>
            </w:r>
          </w:p>
        </w:tc>
        <w:tc>
          <w:tcPr>
            <w:tcW w:w="262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284" w:hRule="atLeast"/>
        </w:trPr>
        <w:tc>
          <w:tcPr>
            <w:tcW w:w="133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094"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284"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284"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284"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284" w:hRule="atLeast"/>
        </w:trPr>
        <w:tc>
          <w:tcPr>
            <w:tcW w:w="133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094"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登记管理</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284"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 xml:space="preserve"> </w:t>
            </w:r>
            <w:r>
              <w:rPr>
                <w:rFonts w:hint="default" w:ascii="Times New Roman" w:hAnsi="Times New Roman" w:cs="Times New Roman"/>
                <w:color w:val="auto"/>
                <w:sz w:val="20"/>
                <w:szCs w:val="20"/>
                <w:shd w:val="clear" w:color="auto" w:fill="auto"/>
                <w:lang w:val="en-US"/>
              </w:rPr>
              <w:t>简化管理</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284"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rPr>
              <w:t>重点管理</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284" w:hRule="atLeast"/>
        </w:trPr>
        <w:tc>
          <w:tcPr>
            <w:tcW w:w="133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094"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284"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284"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2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84" w:hRule="atLeast"/>
        </w:trPr>
        <w:tc>
          <w:tcPr>
            <w:tcW w:w="1337"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2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284"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2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284"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2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284" w:hRule="atLeast"/>
        </w:trPr>
        <w:tc>
          <w:tcPr>
            <w:tcW w:w="1337"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2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84" w:hRule="atLeast"/>
        </w:trPr>
        <w:tc>
          <w:tcPr>
            <w:tcW w:w="13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23" w:type="dxa"/>
            <w:gridSpan w:val="2"/>
            <w:vAlign w:val="center"/>
          </w:tcPr>
          <w:p>
            <w:pPr>
              <w:shd w:val="clear" w:color="auto" w:fill="auto"/>
              <w:snapToGrid w:val="0"/>
              <w:spacing w:before="0" w:beforeAutospacing="0" w:after="0" w:afterAutospacing="0" w:line="320" w:lineRule="exact"/>
              <w:ind w:left="0" w:right="0" w:firstLine="42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对于“违法所得10万元以上”的情形，法定处罚金额上限M=违法所得×5，法定处罚金额下限N=违法所得×1。</w:t>
            </w: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rPr>
          <w:trHeight w:val="340" w:hRule="atLeast"/>
        </w:trPr>
        <w:tc>
          <w:tcPr>
            <w:tcW w:w="9060" w:type="dxa"/>
            <w:gridSpan w:val="3"/>
            <w:vAlign w:val="center"/>
          </w:tcPr>
          <w:p>
            <w:pPr>
              <w:widowControl/>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40" w:hRule="atLeast"/>
        </w:trPr>
        <w:tc>
          <w:tcPr>
            <w:tcW w:w="128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wordWrap/>
              <w:adjustRightInd/>
              <w:snapToGrid w:val="0"/>
              <w:spacing w:before="0" w:beforeAutospacing="0" w:after="0" w:afterAutospacing="0" w:line="30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343" w:name="_Toc25019"/>
            <w:r>
              <w:rPr>
                <w:rFonts w:hint="default" w:ascii="Times New Roman" w:hAnsi="Times New Roman" w:cs="Times New Roman"/>
                <w:color w:val="auto"/>
                <w:sz w:val="20"/>
                <w:szCs w:val="20"/>
                <w:shd w:val="clear" w:color="auto" w:fill="auto"/>
              </w:rPr>
              <w:t>33</w:t>
            </w:r>
            <w:bookmarkEnd w:id="343"/>
          </w:p>
        </w:tc>
      </w:tr>
      <w:tr>
        <w:trPr>
          <w:trHeight w:val="340" w:hRule="atLeast"/>
        </w:trPr>
        <w:tc>
          <w:tcPr>
            <w:tcW w:w="128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center"/>
          </w:tcPr>
          <w:p>
            <w:pPr>
              <w:pStyle w:val="18"/>
              <w:shd w:val="clear" w:color="auto" w:fill="auto"/>
              <w:wordWrap/>
              <w:adjustRightInd/>
              <w:spacing w:before="0" w:beforeAutospacing="0" w:after="0" w:afterAutospacing="0" w:line="300" w:lineRule="exact"/>
              <w:ind w:left="0" w:right="0" w:firstLine="420"/>
              <w:jc w:val="both"/>
              <w:textAlignment w:val="auto"/>
              <w:outlineLvl w:val="9"/>
              <w:rPr>
                <w:rFonts w:hint="default" w:ascii="Times New Roman" w:hAnsi="Times New Roman" w:cs="Times New Roman"/>
                <w:color w:val="auto"/>
                <w:sz w:val="21"/>
                <w:szCs w:val="21"/>
                <w:shd w:val="clear" w:color="auto" w:fill="auto"/>
              </w:rPr>
            </w:pPr>
            <w:bookmarkStart w:id="344" w:name="_Toc1823"/>
            <w:r>
              <w:rPr>
                <w:rFonts w:hint="default" w:ascii="Times New Roman" w:hAnsi="Times New Roman" w:cs="Times New Roman"/>
                <w:color w:val="auto"/>
                <w:sz w:val="21"/>
                <w:szCs w:val="21"/>
                <w:shd w:val="clear" w:color="auto" w:fill="auto"/>
              </w:rPr>
              <w:t>放射性固体废物贮存、处置单位未按照规定建立情况记录档案，或者未按照规定进行如实记录的</w:t>
            </w:r>
            <w:bookmarkEnd w:id="344"/>
          </w:p>
        </w:tc>
      </w:tr>
      <w:tr>
        <w:trPr>
          <w:trHeight w:val="340" w:hRule="atLeast"/>
        </w:trPr>
        <w:tc>
          <w:tcPr>
            <w:tcW w:w="128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center"/>
          </w:tcPr>
          <w:p>
            <w:pPr>
              <w:pStyle w:val="18"/>
              <w:shd w:val="clear" w:color="auto" w:fill="auto"/>
              <w:wordWrap/>
              <w:adjustRightInd/>
              <w:spacing w:before="0" w:beforeAutospacing="0" w:after="0" w:afterAutospacing="0" w:line="300" w:lineRule="exact"/>
              <w:ind w:left="0" w:right="0" w:firstLine="420"/>
              <w:jc w:val="both"/>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《放射性废物安全管理条例》第十七条第二款</w:t>
            </w:r>
            <w:r>
              <w:rPr>
                <w:rFonts w:hint="default" w:ascii="Times New Roman" w:hAnsi="Times New Roman" w:cs="Times New Roman"/>
                <w:color w:val="auto"/>
                <w:sz w:val="21"/>
                <w:szCs w:val="21"/>
                <w:shd w:val="clear" w:color="auto" w:fill="auto"/>
              </w:rPr>
              <w:t xml:space="preserve"> 放射性固体废物贮存单位应当建立放射性固体废物贮存情况记录档案，如实完整地记录贮存的放射性固体废物的来源、数量、特征、贮存位置、清洁解控、送交处置等与贮存活动有关的事项。</w:t>
            </w:r>
          </w:p>
          <w:p>
            <w:pPr>
              <w:pStyle w:val="18"/>
              <w:shd w:val="clear" w:color="auto" w:fill="auto"/>
              <w:wordWrap/>
              <w:adjustRightInd/>
              <w:spacing w:before="0" w:beforeAutospacing="0" w:after="0" w:afterAutospacing="0" w:line="300" w:lineRule="exact"/>
              <w:ind w:left="0" w:right="0" w:firstLine="420"/>
              <w:jc w:val="both"/>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第二十五条第二款 </w:t>
            </w:r>
            <w:r>
              <w:rPr>
                <w:rFonts w:hint="default" w:ascii="Times New Roman" w:hAnsi="Times New Roman" w:cs="Times New Roman"/>
                <w:color w:val="auto"/>
                <w:sz w:val="21"/>
                <w:szCs w:val="21"/>
                <w:shd w:val="clear" w:color="auto" w:fill="auto"/>
              </w:rPr>
              <w:t>放射性固体废物处置单位应当建立放射性固体废物处置情况记录档案，如实记录处置的放射性固体废物的来源、数量、特征、存放位置等与处置活动有关的事项。放射性固体废物处置情况记录档案应当永久保存。</w:t>
            </w:r>
          </w:p>
        </w:tc>
      </w:tr>
      <w:tr>
        <w:trPr>
          <w:trHeight w:val="340" w:hRule="atLeast"/>
        </w:trPr>
        <w:tc>
          <w:tcPr>
            <w:tcW w:w="128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center"/>
          </w:tcPr>
          <w:p>
            <w:pPr>
              <w:pStyle w:val="18"/>
              <w:shd w:val="clear" w:color="auto" w:fill="auto"/>
              <w:wordWrap/>
              <w:adjustRightInd/>
              <w:spacing w:before="0" w:beforeAutospacing="0" w:after="0" w:afterAutospacing="0" w:line="300" w:lineRule="exact"/>
              <w:ind w:left="0" w:right="0" w:firstLine="420"/>
              <w:jc w:val="both"/>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《放射性废物安全管理条例》第三十九条</w:t>
            </w:r>
            <w:r>
              <w:rPr>
                <w:rFonts w:hint="default" w:ascii="Times New Roman" w:hAnsi="Times New Roman" w:cs="Times New Roman"/>
                <w:color w:val="auto"/>
                <w:sz w:val="21"/>
                <w:szCs w:val="21"/>
                <w:shd w:val="clear" w:color="auto" w:fill="auto"/>
              </w:rPr>
              <w:t xml:space="preserve"> 放射性固体废物贮存、处置单位未按照规定建立情况记录档案，或者未按照规定进行如实记录的，由省级以上人民政府环境保护主管部门责令限期改正，处1万元以上5万元以下的罚款；逾期不改正的，处5万元以上10万元以下的罚款。</w:t>
            </w:r>
          </w:p>
        </w:tc>
      </w:tr>
      <w:tr>
        <w:trPr>
          <w:trHeight w:val="351" w:hRule="atLeast"/>
        </w:trPr>
        <w:tc>
          <w:tcPr>
            <w:tcW w:w="128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51" w:hRule="atLeast"/>
        </w:trPr>
        <w:tc>
          <w:tcPr>
            <w:tcW w:w="1284"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5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建立情况记录档案，但记录不完整的</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51"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未建立情况记录档案</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51"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sz w:val="20"/>
                <w:szCs w:val="20"/>
                <w:shd w:val="clear" w:color="auto" w:fill="auto"/>
              </w:rPr>
              <w:t>建立情况记录档案，但记录不属实</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51" w:hRule="atLeast"/>
        </w:trPr>
        <w:tc>
          <w:tcPr>
            <w:tcW w:w="1284"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放射性废物类型</w:t>
            </w:r>
          </w:p>
        </w:tc>
        <w:tc>
          <w:tcPr>
            <w:tcW w:w="5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极短寿命放射性废物</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51"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极低水平放射性废物</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51"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低水平放射性废物</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51"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中水平放射性废物</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51"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高水平放射性废物</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51" w:hRule="atLeast"/>
        </w:trPr>
        <w:tc>
          <w:tcPr>
            <w:tcW w:w="1284"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放射性废物数量</w:t>
            </w:r>
          </w:p>
        </w:tc>
        <w:tc>
          <w:tcPr>
            <w:tcW w:w="5130" w:type="dxa"/>
            <w:vAlign w:val="center"/>
          </w:tcPr>
          <w:p>
            <w:pPr>
              <w:pStyle w:val="18"/>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10千克</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pStyle w:val="18"/>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351"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10千克以上100千克</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51"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100千克以上</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51" w:hRule="atLeast"/>
        </w:trPr>
        <w:tc>
          <w:tcPr>
            <w:tcW w:w="1284" w:type="dxa"/>
            <w:vMerge w:val="restart"/>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0"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51" w:hRule="atLeast"/>
        </w:trPr>
        <w:tc>
          <w:tcPr>
            <w:tcW w:w="1284"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51" w:hRule="atLeast"/>
        </w:trPr>
        <w:tc>
          <w:tcPr>
            <w:tcW w:w="1284"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51" w:hRule="atLeast"/>
        </w:trPr>
        <w:tc>
          <w:tcPr>
            <w:tcW w:w="1284"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51" w:hRule="atLeast"/>
        </w:trPr>
        <w:tc>
          <w:tcPr>
            <w:tcW w:w="1284"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51" w:hRule="atLeast"/>
        </w:trPr>
        <w:tc>
          <w:tcPr>
            <w:tcW w:w="1284"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130"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kern w:val="2"/>
                <w:sz w:val="21"/>
                <w:szCs w:val="21"/>
                <w:shd w:val="clear" w:color="auto" w:fill="auto"/>
                <w:lang/>
              </w:rPr>
            </w:pPr>
            <w:r>
              <w:rPr>
                <w:rFonts w:hint="eastAsia" w:ascii="Times New Roman" w:hAnsi="Times New Roman" w:cs="Times New Roman"/>
                <w:color w:val="auto"/>
                <w:kern w:val="2"/>
                <w:sz w:val="21"/>
                <w:szCs w:val="21"/>
                <w:shd w:val="clear" w:color="auto" w:fill="auto"/>
                <w:lang w:eastAsia="zh-CN"/>
              </w:rPr>
              <w:t>限期改正</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51"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kern w:val="2"/>
                <w:sz w:val="21"/>
                <w:szCs w:val="21"/>
                <w:shd w:val="clear" w:color="auto" w:fill="auto"/>
                <w:lang w:val="en-US"/>
              </w:rPr>
            </w:pPr>
            <w:r>
              <w:rPr>
                <w:rFonts w:hint="default"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51"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51"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7天以上</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51" w:hRule="atLeast"/>
        </w:trPr>
        <w:tc>
          <w:tcPr>
            <w:tcW w:w="1284"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130" w:type="dxa"/>
            <w:vAlign w:val="center"/>
          </w:tcPr>
          <w:p>
            <w:pPr>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51"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51"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51"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ordWrap/>
              <w:adjustRightInd/>
              <w:snapToGrid w:val="0"/>
              <w:spacing w:before="0" w:beforeAutospacing="0" w:after="0" w:afterAutospacing="0" w:line="300" w:lineRule="exact"/>
              <w:ind w:left="0" w:right="0" w:firstLine="0" w:firstLineChars="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40"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6" w:type="dxa"/>
            <w:gridSpan w:val="2"/>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1.第一次处罚适用裁量计算公式裁定罚款金额时，法定处罚金额上限M=5万元的罚款，法定处罚金额下限N=1万元的罚款。裁量因素不包含超过限期改正时间。</w:t>
            </w:r>
          </w:p>
          <w:p>
            <w:pPr>
              <w:shd w:val="clear" w:color="auto" w:fill="auto"/>
              <w:snapToGrid w:val="0"/>
              <w:spacing w:before="0" w:beforeAutospacing="0" w:after="0" w:afterAutospacing="0" w:line="320" w:lineRule="exact"/>
              <w:ind w:left="0" w:right="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2.逾期不改正的处罚适用裁量计算公式裁定罚款金额时，法定处罚金额上限M=10万元的罚款，法定处罚金额下限N=5万元的罚款。</w:t>
            </w:r>
          </w:p>
        </w:tc>
      </w:tr>
    </w:tbl>
    <w:p>
      <w:pPr>
        <w:shd w:val="clear" w:color="auto" w:fill="auto"/>
        <w:snapToGrid w:val="0"/>
        <w:spacing w:line="20" w:lineRule="exact"/>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rPr>
          <w:trHeight w:val="425" w:hRule="atLeast"/>
        </w:trPr>
        <w:tc>
          <w:tcPr>
            <w:tcW w:w="9060" w:type="dxa"/>
            <w:gridSpan w:val="3"/>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425"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34</w:t>
            </w:r>
          </w:p>
        </w:tc>
      </w:tr>
      <w:tr>
        <w:trPr>
          <w:trHeight w:val="425"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center"/>
          </w:tcPr>
          <w:p>
            <w:pPr>
              <w:pStyle w:val="18"/>
              <w:shd w:val="clear" w:color="auto" w:fill="auto"/>
              <w:snapToGrid w:val="0"/>
              <w:spacing w:beforeLines="20" w:beforeAutospacing="0" w:after="0" w:afterAutospacing="0" w:line="320" w:lineRule="exact"/>
              <w:ind w:left="0" w:right="0" w:firstLine="420"/>
              <w:jc w:val="both"/>
              <w:outlineLvl w:val="9"/>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核设施营运单位、核技术利用单位或者放射性固体废物贮存、处置单位未按照规定如实报告有关情况的</w:t>
            </w:r>
          </w:p>
        </w:tc>
      </w:tr>
      <w:tr>
        <w:trPr>
          <w:trHeight w:val="425"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center"/>
          </w:tcPr>
          <w:p>
            <w:pPr>
              <w:pStyle w:val="18"/>
              <w:shd w:val="clear" w:color="auto" w:fill="auto"/>
              <w:snapToGrid w:val="0"/>
              <w:spacing w:beforeLines="2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《放射性废物安全管理条例》第三十二条</w:t>
            </w:r>
            <w:r>
              <w:rPr>
                <w:rFonts w:hint="default" w:ascii="Times New Roman" w:hAnsi="Times New Roman" w:cs="Times New Roman"/>
                <w:color w:val="auto"/>
                <w:sz w:val="21"/>
                <w:szCs w:val="21"/>
                <w:shd w:val="clear" w:color="auto" w:fill="auto"/>
              </w:rPr>
              <w:t xml:space="preserve">  核设施营运单位、核技术利用单位和放射性固体废物贮存单位应当按照国务院环境保护主管部门的规定定期如实报告放射性废物产生、排放、处理、贮存、清洁解控和送交处置等情况。</w:t>
            </w:r>
          </w:p>
          <w:p>
            <w:pPr>
              <w:pStyle w:val="18"/>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放射性固体废物处置单位应当于每年3月31日前，向国务院环境保护主管部门和核工业行业主管部门如实报告上一年度放射性固体废物接收、处置和设施运行等情况。</w:t>
            </w:r>
          </w:p>
        </w:tc>
      </w:tr>
      <w:tr>
        <w:trPr>
          <w:trHeight w:val="425"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center"/>
          </w:tcPr>
          <w:p>
            <w:pPr>
              <w:pStyle w:val="18"/>
              <w:shd w:val="clear" w:color="auto" w:fill="auto"/>
              <w:snapToGrid w:val="0"/>
              <w:spacing w:beforeLines="2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《放射性废物安全管理条例》第四十条</w:t>
            </w:r>
            <w:r>
              <w:rPr>
                <w:rFonts w:hint="default" w:ascii="Times New Roman" w:hAnsi="Times New Roman" w:cs="Times New Roman"/>
                <w:color w:val="auto"/>
                <w:sz w:val="21"/>
                <w:szCs w:val="21"/>
                <w:shd w:val="clear" w:color="auto" w:fill="auto"/>
              </w:rPr>
              <w:t xml:space="preserve">  核设施营运单位、核技术利用单位或者放射性固体废物贮存、处置单位未按照本条例第三十二条的规定如实报告有关情况的，由县级以上人民政府环境保护主管部门责令限期改正，处1万元以上5万元以下的罚款；逾期不改正的，处5万元以上10万元以下的罚款。</w:t>
            </w:r>
          </w:p>
        </w:tc>
      </w:tr>
      <w:tr>
        <w:trPr>
          <w:trHeight w:val="425"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已报告有关情况，但不完整或不规范的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未报告有关情况的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未如实报告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核设施分类</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放射性废物处理和处置设施</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核燃料生产、加工、贮存和后处理设施</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研究堆、实验堆、临界装置等反应堆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核电厂、核热电厂、核供汽供热厂等核动力厂</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类型</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Ⅳ类、Ⅴ类放射源或Ⅲ类射线装置的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Ⅲ类放射源或Ⅱ类射线装置的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Ⅰ类、Ⅱ类放射源或Ⅰ类射线装置的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非密封放射性物质工作场所分类</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丙级工作场所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乙级工作场所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甲级工作场所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放射性废物类型</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极短寿命放射性废物</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极低水平放射性废物</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低水平放射性废物</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中水平放射性废物</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高水平放射性废物</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13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97"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90" w:hRule="atLeast"/>
        </w:trPr>
        <w:tc>
          <w:tcPr>
            <w:tcW w:w="1284"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放射性废物数量</w:t>
            </w:r>
          </w:p>
        </w:tc>
        <w:tc>
          <w:tcPr>
            <w:tcW w:w="5130" w:type="dxa"/>
            <w:vAlign w:val="center"/>
          </w:tcPr>
          <w:p>
            <w:pPr>
              <w:spacing w:before="0" w:beforeAutospacing="0" w:after="0" w:afterAutospacing="0"/>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10千克</w:t>
            </w:r>
            <w:r>
              <w:rPr>
                <w:rFonts w:hint="default" w:ascii="Times New Roman" w:hAnsi="Times New Roman" w:cs="Times New Roman"/>
                <w:color w:val="auto"/>
                <w:kern w:val="2"/>
                <w:sz w:val="20"/>
                <w:szCs w:val="20"/>
                <w:shd w:val="clear" w:color="auto" w:fill="auto"/>
                <w:lang w:val="en-US"/>
              </w:rPr>
              <w:t>以下</w:t>
            </w:r>
          </w:p>
        </w:tc>
        <w:tc>
          <w:tcPr>
            <w:tcW w:w="2646" w:type="dxa"/>
            <w:vAlign w:val="center"/>
          </w:tcPr>
          <w:p>
            <w:pPr>
              <w:pStyle w:val="18"/>
              <w:shd w:val="clear" w:color="auto" w:fill="auto"/>
              <w:snapToGrid w:val="0"/>
              <w:spacing w:before="0" w:beforeAutospacing="0" w:after="0" w:afterAutospacing="0"/>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10千克以上100千克</w:t>
            </w:r>
            <w:r>
              <w:rPr>
                <w:rFonts w:hint="default" w:ascii="Times New Roman" w:hAnsi="Times New Roman" w:cs="Times New Roman"/>
                <w:color w:val="auto"/>
                <w:kern w:val="2"/>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100千克以上</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240" w:lineRule="auto"/>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lang w:eastAsia="zh-CN"/>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284" w:type="dxa"/>
            <w:vMerge w:val="continue"/>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lang w:eastAsia="zh-CN"/>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cs="Times New Roman"/>
                <w:color w:val="auto"/>
                <w:sz w:val="20"/>
                <w:szCs w:val="20"/>
                <w:shd w:val="clear" w:color="auto" w:fill="auto"/>
                <w:lang w:eastAsia="zh-CN"/>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trPr>
        <w:tc>
          <w:tcPr>
            <w:tcW w:w="1284"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trPr>
        <w:tc>
          <w:tcPr>
            <w:tcW w:w="128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hd w:val="clear" w:color="auto" w:fill="auto"/>
              <w:snapToGrid w:val="0"/>
              <w:spacing w:before="0" w:beforeAutospacing="0" w:after="0" w:afterAutospacing="0"/>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90" w:hRule="atLeast"/>
        </w:trPr>
        <w:tc>
          <w:tcPr>
            <w:tcW w:w="128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284"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6" w:type="dxa"/>
            <w:gridSpan w:val="2"/>
            <w:vAlign w:val="center"/>
          </w:tcPr>
          <w:p>
            <w:pPr>
              <w:shd w:val="clear" w:color="auto" w:fill="auto"/>
              <w:snapToGrid w:val="0"/>
              <w:spacing w:before="0" w:beforeAutospacing="0" w:after="0" w:afterAutospacing="0"/>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1.第一次处罚适用裁量计算公式裁定罚款金额时，法定处罚金额上限M=5万元的罚款，法定处罚金额下限N=1万元的罚款。裁量因素不包含超过限期改正时间。</w:t>
            </w:r>
          </w:p>
          <w:p>
            <w:pPr>
              <w:shd w:val="clear" w:color="auto" w:fill="auto"/>
              <w:snapToGrid w:val="0"/>
              <w:spacing w:before="0" w:beforeAutospacing="0" w:after="0" w:afterAutospacing="0"/>
              <w:ind w:left="0" w:right="0"/>
              <w:jc w:val="left"/>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2.逾期不改正的处罚适用裁量计算公式裁定罚款金额时，法定处罚金额上限M=10万元的罚款，法定处罚金额下限N=5万元的罚款。</w:t>
            </w:r>
          </w:p>
        </w:tc>
      </w:tr>
    </w:tbl>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rPr>
          <w:trHeight w:val="345"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45"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35</w:t>
            </w:r>
          </w:p>
        </w:tc>
      </w:tr>
      <w:tr>
        <w:trPr>
          <w:trHeight w:val="340"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top"/>
          </w:tcPr>
          <w:p>
            <w:pPr>
              <w:pStyle w:val="18"/>
              <w:shd w:val="clear" w:color="auto" w:fill="auto"/>
              <w:snapToGrid w:val="0"/>
              <w:spacing w:before="0" w:beforeAutospacing="0" w:after="0" w:afterAutospacing="0" w:line="320" w:lineRule="exact"/>
              <w:ind w:left="0" w:right="0" w:firstLine="420"/>
              <w:outlineLvl w:val="9"/>
              <w:rPr>
                <w:rFonts w:hint="default" w:ascii="Times New Roman" w:hAnsi="Times New Roman" w:cs="Times New Roman"/>
                <w:color w:val="auto"/>
                <w:sz w:val="21"/>
                <w:szCs w:val="21"/>
                <w:shd w:val="clear" w:color="auto" w:fill="auto"/>
              </w:rPr>
            </w:pPr>
            <w:bookmarkStart w:id="345" w:name="_Toc14403"/>
            <w:r>
              <w:rPr>
                <w:rFonts w:hint="default" w:ascii="Times New Roman" w:hAnsi="Times New Roman" w:cs="Times New Roman"/>
                <w:color w:val="auto"/>
                <w:sz w:val="21"/>
                <w:szCs w:val="21"/>
                <w:shd w:val="clear" w:color="auto" w:fill="auto"/>
              </w:rPr>
              <w:t>核设施营运单位、核技术利用单位或者放射性固体废物贮存、处置单位未按照规定对有关工作人员进行技术培训和考核的</w:t>
            </w:r>
            <w:bookmarkEnd w:id="345"/>
          </w:p>
        </w:tc>
      </w:tr>
      <w:tr>
        <w:trPr>
          <w:trHeight w:val="340"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《放射性废物安全管理条例》第三十一条</w:t>
            </w:r>
            <w:r>
              <w:rPr>
                <w:rFonts w:hint="default" w:ascii="Times New Roman" w:hAnsi="Times New Roman" w:cs="Times New Roman"/>
                <w:color w:val="auto"/>
                <w:sz w:val="21"/>
                <w:szCs w:val="21"/>
                <w:shd w:val="clear" w:color="auto" w:fill="auto"/>
              </w:rPr>
              <w:t xml:space="preserve">  核设施营运单位、核技术利用单位和放射性固体废物贮存、处置单位，应当对其直接从事放射性废物处理、贮存和处置活动的工作人员进行核与辐射安全知识以及专业操作技术的培训，并进行考核；考核合格的，方可从事该项工作。</w:t>
            </w:r>
          </w:p>
        </w:tc>
      </w:tr>
      <w:tr>
        <w:trPr>
          <w:trHeight w:val="340"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《放射性废物安全管理条例》第四十二条</w:t>
            </w:r>
            <w:r>
              <w:rPr>
                <w:rFonts w:hint="default" w:ascii="Times New Roman" w:hAnsi="Times New Roman" w:cs="Times New Roman"/>
                <w:color w:val="auto"/>
                <w:sz w:val="21"/>
                <w:szCs w:val="21"/>
                <w:shd w:val="clear" w:color="auto" w:fill="auto"/>
              </w:rPr>
              <w:t xml:space="preserve">  核设施营运单位、核技术利用单位或者放射性固体废物贮存、处置单位未按照规定对有关工作人员进行技术培训和考核的，由县级以上人民政府环境保护主管部门责令限期改正，处1万元以上5万元以下的罚款；逾期不改正的，处5万元以上10万元以下的罚款。</w:t>
            </w:r>
          </w:p>
        </w:tc>
      </w:tr>
      <w:tr>
        <w:trPr>
          <w:trHeight w:val="35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★核设施</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分类</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放射性废物处理和处置设施</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核燃料生产、加工、贮存和后处理设施</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研究堆、实验堆、临界装置等反应堆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核电厂、核热电厂、核供汽供热厂等核动力厂</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类型</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Ⅳ类、Ⅴ类放射源或Ⅲ类射线装置的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Ⅲ类放射源或Ⅱ类射线装置的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Ⅰ类、Ⅱ类放射源或Ⅰ类射线装置的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小型企业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中型企业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非密封放射性物质工作场所分类</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丙级工作场所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乙级工作场所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甲级工作场所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放射性废物类型</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极短寿命放射性废物</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极低水平放射性废物</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低水平放射性废物</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中水平放射性废物</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高水平放射性废物</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涉及从业人员数量</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5人（次）以</w:t>
            </w:r>
            <w:r>
              <w:rPr>
                <w:rFonts w:hint="default" w:ascii="Times New Roman" w:hAnsi="Times New Roman" w:cs="Times New Roman"/>
                <w:color w:val="auto"/>
                <w:sz w:val="20"/>
                <w:szCs w:val="20"/>
                <w:shd w:val="clear" w:color="auto" w:fill="auto"/>
                <w:lang w:eastAsia="zh-CN"/>
              </w:rPr>
              <w:t>下</w:t>
            </w:r>
            <w:r>
              <w:rPr>
                <w:rFonts w:hint="default" w:ascii="Times New Roman" w:hAnsi="Times New Roman" w:cs="Times New Roman"/>
                <w:color w:val="auto"/>
                <w:sz w:val="20"/>
                <w:szCs w:val="20"/>
                <w:shd w:val="clear" w:color="auto" w:fill="auto"/>
              </w:rPr>
              <w:t>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5人（次）以上10人（次）以</w:t>
            </w:r>
            <w:r>
              <w:rPr>
                <w:rFonts w:hint="default" w:ascii="Times New Roman" w:hAnsi="Times New Roman" w:cs="Times New Roman"/>
                <w:color w:val="auto"/>
                <w:sz w:val="20"/>
                <w:szCs w:val="20"/>
                <w:shd w:val="clear" w:color="auto" w:fill="auto"/>
                <w:lang w:eastAsia="zh-CN"/>
              </w:rPr>
              <w:t>下</w:t>
            </w:r>
            <w:r>
              <w:rPr>
                <w:rFonts w:hint="default" w:ascii="Times New Roman" w:hAnsi="Times New Roman" w:cs="Times New Roman"/>
                <w:color w:val="auto"/>
                <w:sz w:val="20"/>
                <w:szCs w:val="20"/>
                <w:shd w:val="clear" w:color="auto" w:fill="auto"/>
              </w:rPr>
              <w:t>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10人（次）以上的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284"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r>
              <w:rPr>
                <w:rFonts w:hint="default" w:ascii="Times New Roman" w:hAnsi="Times New Roman" w:eastAsia="宋体" w:cs="Times New Roman"/>
                <w:color w:val="auto"/>
                <w:kern w:val="2"/>
                <w:sz w:val="21"/>
                <w:szCs w:val="21"/>
                <w:shd w:val="clear" w:color="auto" w:fill="auto"/>
                <w:lang w:val="en-US"/>
              </w:rPr>
              <w:t>次以上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13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97"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6" w:type="dxa"/>
            <w:gridSpan w:val="2"/>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1.第一次处罚适用裁量计算公式裁定罚款金额时，法定处罚金额上限M=5万元的罚款，法定处罚金额下限N=1万元的罚款。裁量因素不包含超过限期改正时间。</w:t>
            </w:r>
          </w:p>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2.逾期不改正的处罚适用裁量计算公式裁定罚款金额时，法定处罚金额上限M=10万元的罚款，法定处罚金额下限N=5万元的罚款。</w:t>
            </w: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c>
          <w:tcPr>
            <w:tcW w:w="9060" w:type="dxa"/>
            <w:gridSpan w:val="3"/>
            <w:vAlign w:val="center"/>
          </w:tcPr>
          <w:p>
            <w:pPr>
              <w:widowControl/>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346" w:name="_Toc2586"/>
            <w:r>
              <w:rPr>
                <w:rFonts w:hint="default" w:ascii="Times New Roman" w:hAnsi="Times New Roman" w:cs="Times New Roman"/>
                <w:color w:val="auto"/>
                <w:sz w:val="20"/>
                <w:szCs w:val="20"/>
                <w:shd w:val="clear" w:color="auto" w:fill="auto"/>
              </w:rPr>
              <w:t>36</w:t>
            </w:r>
            <w:bookmarkEnd w:id="346"/>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top"/>
          </w:tcPr>
          <w:p>
            <w:pPr>
              <w:pStyle w:val="18"/>
              <w:shd w:val="clear" w:color="auto" w:fill="auto"/>
              <w:snapToGrid w:val="0"/>
              <w:spacing w:before="0" w:beforeAutospacing="0" w:after="0" w:afterAutospacing="0" w:line="320" w:lineRule="exact"/>
              <w:ind w:left="0" w:right="0" w:firstLine="420"/>
              <w:outlineLvl w:val="9"/>
              <w:rPr>
                <w:rFonts w:hint="default" w:ascii="Times New Roman" w:hAnsi="Times New Roman" w:cs="Times New Roman"/>
                <w:color w:val="auto"/>
                <w:sz w:val="21"/>
                <w:szCs w:val="21"/>
                <w:shd w:val="clear" w:color="auto" w:fill="auto"/>
              </w:rPr>
            </w:pPr>
            <w:bookmarkStart w:id="347" w:name="_Toc15219"/>
            <w:r>
              <w:rPr>
                <w:rFonts w:hint="default" w:ascii="Times New Roman" w:hAnsi="Times New Roman" w:cs="Times New Roman"/>
                <w:color w:val="auto"/>
                <w:sz w:val="21"/>
                <w:szCs w:val="21"/>
                <w:shd w:val="clear" w:color="auto" w:fill="auto"/>
              </w:rPr>
              <w:t>托运人未按照规定将放射性物品运输的核与辐射安全分析报告批准书、辐射监测报告备案，责令限期改正逾期不改正的</w:t>
            </w:r>
            <w:bookmarkEnd w:id="347"/>
          </w:p>
        </w:tc>
      </w:tr>
      <w:t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《放射性物品运输安全管理条例》第三十七条第一款</w:t>
            </w:r>
            <w:r>
              <w:rPr>
                <w:rFonts w:hint="default" w:ascii="Times New Roman" w:hAnsi="Times New Roman" w:cs="Times New Roman"/>
                <w:color w:val="auto"/>
                <w:sz w:val="21"/>
                <w:szCs w:val="21"/>
                <w:shd w:val="clear" w:color="auto" w:fill="auto"/>
              </w:rPr>
              <w:t xml:space="preserve"> 一类放射性物品启运前，托运人应当将放射性物品运输的核与辐射安全分析报告批准书、辐射监测报告，报启运地的省、自治区、直辖市人民政府环境保护主管部门备案。</w:t>
            </w:r>
          </w:p>
        </w:tc>
      </w:tr>
      <w:t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《放射性物品运输安全管理条例》第五十九条第二款</w:t>
            </w:r>
            <w:r>
              <w:rPr>
                <w:rFonts w:hint="default" w:ascii="Times New Roman" w:hAnsi="Times New Roman" w:cs="Times New Roman"/>
                <w:color w:val="auto"/>
                <w:sz w:val="21"/>
                <w:szCs w:val="21"/>
                <w:shd w:val="clear" w:color="auto" w:fill="auto"/>
              </w:rPr>
              <w:t xml:space="preserve"> 托运人未按照规定将放射性物品运输的核与辐射安全分析报告批准书、辐射监测报告备案的，由启运地的省、自治区、直辖市人民政府环境保护主管部门责令限期改正；逾期不改正的，处1万元以上5万元以下的罚款。</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3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未按照规定的时限备案的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已备案，但是备案信息不全的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未备案的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284"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r>
              <w:rPr>
                <w:rFonts w:hint="default" w:ascii="Times New Roman" w:hAnsi="Times New Roman" w:eastAsia="宋体" w:cs="Times New Roman"/>
                <w:color w:val="auto"/>
                <w:kern w:val="2"/>
                <w:sz w:val="21"/>
                <w:szCs w:val="21"/>
                <w:shd w:val="clear" w:color="auto" w:fill="auto"/>
                <w:lang w:val="en-US"/>
              </w:rPr>
              <w:t>次以上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130"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4</w:t>
            </w:r>
          </w:p>
        </w:tc>
      </w:tr>
      <w:tr>
        <w:trPr>
          <w:trHeight w:val="397"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8"/>
              <w:snapToGrid w:val="0"/>
              <w:spacing w:before="0" w:beforeAutospacing="0" w:after="0" w:afterAutospacing="0"/>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rPr>
            </w:pPr>
            <w:r>
              <w:rPr>
                <w:rFonts w:hint="default" w:ascii="Times New Roman" w:hAnsi="Times New Roman" w:cs="Times New Roman"/>
                <w:color w:val="auto"/>
                <w:sz w:val="20"/>
                <w:szCs w:val="20"/>
                <w:shd w:val="clear" w:color="auto" w:fill="auto"/>
                <w:lang w:eastAsia="zh-CN"/>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6"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rPr>
          <w:trHeight w:val="397" w:hRule="atLeast"/>
        </w:trPr>
        <w:tc>
          <w:tcPr>
            <w:tcW w:w="9060" w:type="dxa"/>
            <w:gridSpan w:val="3"/>
            <w:vAlign w:val="center"/>
          </w:tcPr>
          <w:p>
            <w:pPr>
              <w:widowControl/>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trPr>
        <w:tc>
          <w:tcPr>
            <w:tcW w:w="128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wordWrap/>
              <w:adjustRightInd/>
              <w:snapToGrid w:val="0"/>
              <w:spacing w:before="0" w:beforeAutospacing="0" w:after="0" w:afterAutospacing="0" w:line="29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348" w:name="_Toc20346"/>
            <w:r>
              <w:rPr>
                <w:rFonts w:hint="default" w:ascii="Times New Roman" w:hAnsi="Times New Roman" w:cs="Times New Roman"/>
                <w:color w:val="auto"/>
                <w:sz w:val="20"/>
                <w:szCs w:val="20"/>
                <w:shd w:val="clear" w:color="auto" w:fill="auto"/>
              </w:rPr>
              <w:t>37</w:t>
            </w:r>
            <w:bookmarkEnd w:id="348"/>
          </w:p>
        </w:tc>
      </w:tr>
      <w:tr>
        <w:trPr>
          <w:trHeight w:val="397" w:hRule="atLeast"/>
        </w:trPr>
        <w:tc>
          <w:tcPr>
            <w:tcW w:w="128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center"/>
          </w:tcPr>
          <w:p>
            <w:pPr>
              <w:pStyle w:val="18"/>
              <w:shd w:val="clear" w:color="auto" w:fill="auto"/>
              <w:wordWrap/>
              <w:adjustRightInd/>
              <w:snapToGrid w:val="0"/>
              <w:spacing w:before="0" w:beforeAutospacing="0" w:after="0" w:afterAutospacing="0" w:line="290" w:lineRule="exact"/>
              <w:ind w:left="0" w:right="0" w:firstLine="420"/>
              <w:jc w:val="left"/>
              <w:textAlignment w:val="auto"/>
              <w:outlineLvl w:val="9"/>
              <w:rPr>
                <w:rFonts w:hint="default" w:ascii="Times New Roman" w:hAnsi="Times New Roman" w:cs="Times New Roman"/>
                <w:color w:val="auto"/>
                <w:sz w:val="21"/>
                <w:szCs w:val="21"/>
                <w:shd w:val="clear" w:color="auto" w:fill="auto"/>
              </w:rPr>
            </w:pPr>
            <w:bookmarkStart w:id="349" w:name="_Toc1312"/>
            <w:r>
              <w:rPr>
                <w:rFonts w:hint="default" w:ascii="Times New Roman" w:hAnsi="Times New Roman" w:cs="Times New Roman"/>
                <w:color w:val="auto"/>
                <w:sz w:val="21"/>
                <w:szCs w:val="21"/>
                <w:shd w:val="clear" w:color="auto" w:fill="auto"/>
              </w:rPr>
              <w:t>未按照规定对托运的放射性物品表面污染和辐射水平实施监测的</w:t>
            </w:r>
            <w:bookmarkEnd w:id="349"/>
          </w:p>
        </w:tc>
      </w:tr>
      <w:tr>
        <w:trPr>
          <w:trHeight w:val="397" w:hRule="atLeast"/>
        </w:trPr>
        <w:tc>
          <w:tcPr>
            <w:tcW w:w="128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wordWrap/>
              <w:adjustRightInd/>
              <w:snapToGrid w:val="0"/>
              <w:spacing w:before="0" w:beforeAutospacing="0" w:after="0" w:afterAutospacing="0" w:line="29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《放射性物品运输安全管理条例》第三十条</w:t>
            </w:r>
            <w:r>
              <w:rPr>
                <w:rFonts w:hint="default" w:ascii="Times New Roman" w:hAnsi="Times New Roman" w:cs="Times New Roman"/>
                <w:color w:val="auto"/>
                <w:sz w:val="21"/>
                <w:szCs w:val="21"/>
                <w:shd w:val="clear" w:color="auto" w:fill="auto"/>
              </w:rPr>
              <w:t xml:space="preserve">  </w:t>
            </w:r>
            <w:r>
              <w:rPr>
                <w:rFonts w:hint="default" w:ascii="Times New Roman" w:hAnsi="Times New Roman" w:cs="Times New Roman"/>
                <w:color w:val="auto"/>
                <w:sz w:val="21"/>
                <w:szCs w:val="21"/>
                <w:shd w:val="clear" w:color="auto" w:fill="auto"/>
                <w:lang w:eastAsia="zh-CN"/>
              </w:rPr>
              <w:t>第一款、第二款</w:t>
            </w:r>
            <w:r>
              <w:rPr>
                <w:rFonts w:hint="default" w:ascii="Times New Roman" w:hAnsi="Times New Roman" w:cs="Times New Roman"/>
                <w:color w:val="auto"/>
                <w:sz w:val="21"/>
                <w:szCs w:val="21"/>
                <w:shd w:val="clear" w:color="auto" w:fill="auto"/>
              </w:rPr>
              <w:t>托运一类放射性物品的，托运人应当委托有资质的辐射监测机构对其表面污染和辐射水平实施监测，辐射监测机构应当出具辐射监测报告。</w:t>
            </w:r>
          </w:p>
          <w:p>
            <w:pPr>
              <w:pStyle w:val="18"/>
              <w:shd w:val="clear" w:color="auto" w:fill="auto"/>
              <w:wordWrap/>
              <w:adjustRightInd/>
              <w:snapToGrid w:val="0"/>
              <w:spacing w:before="0" w:beforeAutospacing="0" w:after="0" w:afterAutospacing="0" w:line="29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托运二类、三类放射性物品的，托运人应当对其表面污染和辐射水平实施监测，并编制辐射监测报告。</w:t>
            </w:r>
          </w:p>
        </w:tc>
      </w:tr>
      <w:tr>
        <w:trPr>
          <w:trHeight w:val="397" w:hRule="atLeast"/>
        </w:trPr>
        <w:tc>
          <w:tcPr>
            <w:tcW w:w="128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wordWrap/>
              <w:adjustRightInd/>
              <w:snapToGrid w:val="0"/>
              <w:spacing w:before="0" w:beforeAutospacing="0" w:after="0" w:afterAutospacing="0" w:line="29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《放射性物品运输安全管理条例》第六十三条第（一）项</w:t>
            </w:r>
            <w:r>
              <w:rPr>
                <w:rFonts w:hint="default" w:ascii="Times New Roman" w:hAnsi="Times New Roman" w:cs="Times New Roman"/>
                <w:color w:val="auto"/>
                <w:sz w:val="21"/>
                <w:szCs w:val="21"/>
                <w:shd w:val="clear" w:color="auto" w:fill="auto"/>
              </w:rPr>
              <w:t xml:space="preserve"> 托运人有下列行为之一的，由启运地的省、自治区、直辖市人民政府环境保护主管部门责令停止违法行为，处5万元以上20万元以下的罚款：</w:t>
            </w:r>
          </w:p>
          <w:p>
            <w:pPr>
              <w:pStyle w:val="18"/>
              <w:shd w:val="clear" w:color="auto" w:fill="auto"/>
              <w:wordWrap/>
              <w:adjustRightInd/>
              <w:snapToGrid w:val="0"/>
              <w:spacing w:before="0" w:beforeAutospacing="0" w:after="0" w:afterAutospacing="0" w:line="29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（一）未按照规定对托运的放射性物品表面污染和辐射水平实施监测的。</w:t>
            </w:r>
          </w:p>
        </w:tc>
      </w:tr>
      <w:tr>
        <w:trPr>
          <w:trHeight w:val="386" w:hRule="atLeast"/>
        </w:trPr>
        <w:tc>
          <w:tcPr>
            <w:tcW w:w="1284"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86" w:hRule="atLeast"/>
        </w:trPr>
        <w:tc>
          <w:tcPr>
            <w:tcW w:w="1284"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30" w:type="dxa"/>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未规范进行监测的</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28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已监测，但是监测项目不全的</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28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未进行监测的</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284"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涉及放射性物品种类</w:t>
            </w:r>
          </w:p>
        </w:tc>
        <w:tc>
          <w:tcPr>
            <w:tcW w:w="5130" w:type="dxa"/>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三类放射性物品</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28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二类放射性物品</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28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一类放射性物品</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284"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放射性</w:t>
            </w:r>
          </w:p>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物品数量</w:t>
            </w:r>
          </w:p>
        </w:tc>
        <w:tc>
          <w:tcPr>
            <w:tcW w:w="5130" w:type="dxa"/>
            <w:vAlign w:val="center"/>
          </w:tcPr>
          <w:p>
            <w:pPr>
              <w:pStyle w:val="18"/>
              <w:shd w:val="clear" w:color="auto" w:fill="auto"/>
              <w:wordWrap/>
              <w:adjustRightInd/>
              <w:snapToGrid w:val="0"/>
              <w:spacing w:before="0" w:beforeAutospacing="0" w:after="0" w:afterAutospacing="0" w:line="290" w:lineRule="exact"/>
              <w:ind w:left="0" w:right="0" w:firstLine="1890" w:firstLineChars="900"/>
              <w:jc w:val="both"/>
              <w:textAlignment w:val="auto"/>
              <w:rPr>
                <w:rFonts w:hint="default" w:ascii="Times New Roman" w:hAnsi="Times New Roman" w:eastAsia="宋体" w:cs="Times New Roman"/>
                <w:color w:val="auto"/>
                <w:sz w:val="21"/>
                <w:szCs w:val="21"/>
                <w:shd w:val="clear" w:color="auto" w:fill="auto"/>
                <w:lang w:eastAsia="zh-CN"/>
              </w:rPr>
            </w:pPr>
            <w:r>
              <w:rPr>
                <w:rFonts w:hint="default" w:ascii="Times New Roman" w:hAnsi="Times New Roman" w:cs="Times New Roman"/>
                <w:color w:val="auto"/>
                <w:sz w:val="21"/>
                <w:szCs w:val="21"/>
                <w:shd w:val="clear" w:color="auto" w:fill="auto"/>
              </w:rPr>
              <w:t>10千克</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pStyle w:val="18"/>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386" w:hRule="atLeast"/>
        </w:trPr>
        <w:tc>
          <w:tcPr>
            <w:tcW w:w="128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10千克以上100千克</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28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100千克以上</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284" w:type="dxa"/>
            <w:vMerge w:val="restart"/>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0"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86" w:hRule="atLeast"/>
        </w:trPr>
        <w:tc>
          <w:tcPr>
            <w:tcW w:w="1284" w:type="dxa"/>
            <w:vMerge w:val="continue"/>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86" w:hRule="atLeast"/>
        </w:trPr>
        <w:tc>
          <w:tcPr>
            <w:tcW w:w="1284" w:type="dxa"/>
            <w:vMerge w:val="continue"/>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86" w:hRule="atLeast"/>
        </w:trPr>
        <w:tc>
          <w:tcPr>
            <w:tcW w:w="1284" w:type="dxa"/>
            <w:vMerge w:val="continue"/>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86" w:hRule="atLeast"/>
        </w:trPr>
        <w:tc>
          <w:tcPr>
            <w:tcW w:w="1284" w:type="dxa"/>
            <w:vMerge w:val="continue"/>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86" w:hRule="atLeast"/>
        </w:trPr>
        <w:tc>
          <w:tcPr>
            <w:tcW w:w="1284" w:type="dxa"/>
            <w:vMerge w:val="restart"/>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130"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1次</w:t>
            </w:r>
          </w:p>
        </w:tc>
        <w:tc>
          <w:tcPr>
            <w:tcW w:w="2646"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86" w:hRule="atLeast"/>
        </w:trPr>
        <w:tc>
          <w:tcPr>
            <w:tcW w:w="1284" w:type="dxa"/>
            <w:vMerge w:val="continue"/>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2次</w:t>
            </w:r>
          </w:p>
        </w:tc>
        <w:tc>
          <w:tcPr>
            <w:tcW w:w="2646"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86" w:hRule="atLeast"/>
        </w:trPr>
        <w:tc>
          <w:tcPr>
            <w:tcW w:w="1284" w:type="dxa"/>
            <w:vMerge w:val="continue"/>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3次</w:t>
            </w:r>
          </w:p>
        </w:tc>
        <w:tc>
          <w:tcPr>
            <w:tcW w:w="2646"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86" w:hRule="atLeast"/>
        </w:trPr>
        <w:tc>
          <w:tcPr>
            <w:tcW w:w="1284" w:type="dxa"/>
            <w:vMerge w:val="continue"/>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4次</w:t>
            </w:r>
          </w:p>
        </w:tc>
        <w:tc>
          <w:tcPr>
            <w:tcW w:w="2646"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86" w:hRule="atLeast"/>
        </w:trPr>
        <w:tc>
          <w:tcPr>
            <w:tcW w:w="1284" w:type="dxa"/>
            <w:vMerge w:val="continue"/>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r>
              <w:rPr>
                <w:rFonts w:hint="default" w:ascii="Times New Roman" w:hAnsi="Times New Roman" w:eastAsia="宋体" w:cs="Times New Roman"/>
                <w:color w:val="auto"/>
                <w:kern w:val="2"/>
                <w:sz w:val="21"/>
                <w:szCs w:val="21"/>
                <w:shd w:val="clear" w:color="auto" w:fill="auto"/>
                <w:lang w:val="en-US"/>
              </w:rPr>
              <w:t>次以上</w:t>
            </w:r>
          </w:p>
        </w:tc>
        <w:tc>
          <w:tcPr>
            <w:tcW w:w="2646"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p>
        </w:tc>
      </w:tr>
      <w:tr>
        <w:trPr>
          <w:trHeight w:val="386" w:hRule="atLeast"/>
        </w:trPr>
        <w:tc>
          <w:tcPr>
            <w:tcW w:w="1284" w:type="dxa"/>
            <w:vMerge w:val="restart"/>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130"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eastAsia="宋体" w:cs="Times New Roman"/>
                <w:i w:val="0"/>
                <w:iCs w:val="0"/>
                <w:caps w:val="0"/>
                <w:color w:val="auto"/>
                <w:spacing w:val="0"/>
                <w:kern w:val="2"/>
                <w:sz w:val="21"/>
                <w:szCs w:val="21"/>
                <w:shd w:val="clear" w:color="auto" w:fill="auto"/>
                <w:lang/>
              </w:rPr>
            </w:pPr>
            <w:r>
              <w:rPr>
                <w:rFonts w:hint="eastAsia" w:ascii="Times New Roman" w:hAnsi="Times New Roman" w:cs="Times New Roman"/>
                <w:color w:val="auto"/>
                <w:kern w:val="2"/>
                <w:sz w:val="21"/>
                <w:szCs w:val="21"/>
                <w:shd w:val="clear" w:color="auto" w:fill="auto"/>
                <w:lang w:eastAsia="zh-CN"/>
              </w:rPr>
              <w:t>限期改正</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86" w:hRule="atLeast"/>
        </w:trPr>
        <w:tc>
          <w:tcPr>
            <w:tcW w:w="128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i w:val="0"/>
                <w:iCs w:val="0"/>
                <w:caps w:val="0"/>
                <w:color w:val="auto"/>
                <w:spacing w:val="0"/>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86" w:hRule="atLeast"/>
        </w:trPr>
        <w:tc>
          <w:tcPr>
            <w:tcW w:w="128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eastAsia"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4</w:t>
            </w:r>
          </w:p>
        </w:tc>
      </w:tr>
      <w:tr>
        <w:trPr>
          <w:trHeight w:val="386" w:hRule="atLeast"/>
        </w:trPr>
        <w:tc>
          <w:tcPr>
            <w:tcW w:w="1284" w:type="dxa"/>
            <w:vMerge w:val="continue"/>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i w:val="0"/>
                <w:iCs w:val="0"/>
                <w:caps w:val="0"/>
                <w:color w:val="auto"/>
                <w:spacing w:val="0"/>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7天以上</w:t>
            </w:r>
          </w:p>
        </w:tc>
        <w:tc>
          <w:tcPr>
            <w:tcW w:w="2646" w:type="dxa"/>
            <w:vAlign w:val="center"/>
          </w:tcPr>
          <w:p>
            <w:pPr>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6"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rPr>
          <w:trHeight w:val="397" w:hRule="atLeast"/>
        </w:trPr>
        <w:tc>
          <w:tcPr>
            <w:tcW w:w="9060" w:type="dxa"/>
            <w:gridSpan w:val="3"/>
            <w:vAlign w:val="top"/>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350" w:name="_Toc4396"/>
            <w:r>
              <w:rPr>
                <w:rFonts w:hint="default" w:ascii="Times New Roman" w:hAnsi="Times New Roman" w:cs="Times New Roman"/>
                <w:color w:val="auto"/>
                <w:sz w:val="20"/>
                <w:szCs w:val="20"/>
                <w:shd w:val="clear" w:color="auto" w:fill="auto"/>
              </w:rPr>
              <w:t>38</w:t>
            </w:r>
            <w:bookmarkEnd w:id="350"/>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center"/>
          </w:tcPr>
          <w:p>
            <w:pPr>
              <w:pStyle w:val="18"/>
              <w:shd w:val="clear" w:color="auto" w:fill="auto"/>
              <w:snapToGrid w:val="0"/>
              <w:spacing w:before="0" w:beforeAutospacing="0" w:after="0" w:afterAutospacing="0" w:line="320" w:lineRule="exact"/>
              <w:ind w:left="0" w:right="0" w:firstLine="420"/>
              <w:jc w:val="left"/>
              <w:outlineLvl w:val="9"/>
              <w:rPr>
                <w:rFonts w:hint="default" w:ascii="Times New Roman" w:hAnsi="Times New Roman" w:cs="Times New Roman"/>
                <w:color w:val="auto"/>
                <w:sz w:val="21"/>
                <w:szCs w:val="21"/>
                <w:shd w:val="clear" w:color="auto" w:fill="auto"/>
              </w:rPr>
            </w:pPr>
            <w:bookmarkStart w:id="351" w:name="_Toc8058"/>
            <w:r>
              <w:rPr>
                <w:rFonts w:hint="default" w:ascii="Times New Roman" w:hAnsi="Times New Roman" w:cs="Times New Roman"/>
                <w:color w:val="auto"/>
                <w:sz w:val="21"/>
                <w:szCs w:val="21"/>
                <w:shd w:val="clear" w:color="auto" w:fill="auto"/>
              </w:rPr>
              <w:t>将经监测不符合国家放射性物品运输安全标准的放射性物品交付托运的</w:t>
            </w:r>
            <w:bookmarkEnd w:id="351"/>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《放射性物品运输安全管理条例》第三十条第三款</w:t>
            </w:r>
            <w:r>
              <w:rPr>
                <w:rFonts w:hint="default" w:ascii="Times New Roman" w:hAnsi="Times New Roman" w:cs="Times New Roman"/>
                <w:color w:val="auto"/>
                <w:sz w:val="21"/>
                <w:szCs w:val="21"/>
                <w:shd w:val="clear" w:color="auto" w:fill="auto"/>
              </w:rPr>
              <w:t xml:space="preserve">  监测结果不符合国家放射性物品运输安全标准的，不得托运。</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《放射性物品运输安全管理条例》第六十三条第（二）项</w:t>
            </w:r>
            <w:r>
              <w:rPr>
                <w:rFonts w:hint="default" w:ascii="Times New Roman" w:hAnsi="Times New Roman" w:cs="Times New Roman"/>
                <w:color w:val="auto"/>
                <w:sz w:val="21"/>
                <w:szCs w:val="21"/>
                <w:shd w:val="clear" w:color="auto" w:fill="auto"/>
              </w:rPr>
              <w:t xml:space="preserve">  托运人有下列行为之一的，由启运地的省、自治区、直辖市人民政府环境保护主管部门责令停止违法行为，处5万元以上20万元以下的罚款：</w:t>
            </w:r>
          </w:p>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（二）将经监测不符合国家放射性物品运输安全标准的放射性物品交付托运的。</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★涉及放射性物品种类</w:t>
            </w:r>
          </w:p>
        </w:tc>
        <w:tc>
          <w:tcPr>
            <w:tcW w:w="513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三类放射性物品</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二类放射性物品</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一类放射性物品</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★放射性</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物品数量</w:t>
            </w:r>
          </w:p>
        </w:tc>
        <w:tc>
          <w:tcPr>
            <w:tcW w:w="513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10千克</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10千克以上100千克</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100千克以上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r>
              <w:rPr>
                <w:rFonts w:hint="default" w:ascii="Times New Roman" w:hAnsi="Times New Roman" w:cs="Times New Roman"/>
                <w:b/>
                <w:bCs/>
                <w:color w:val="auto"/>
                <w:sz w:val="20"/>
                <w:szCs w:val="20"/>
                <w:shd w:val="clear" w:color="auto" w:fill="auto"/>
              </w:rPr>
              <w:t>区域影响</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县级行政区域内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跨县级行政区域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跨市级行政区域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4</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跨省级行政区域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284"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eastAsia="宋体" w:cs="Times New Roman"/>
                <w:color w:val="auto"/>
                <w:kern w:val="2"/>
                <w:sz w:val="21"/>
                <w:szCs w:val="21"/>
                <w:shd w:val="clear" w:color="auto" w:fill="auto"/>
                <w:lang w:eastAsia="zh-CN"/>
              </w:rPr>
              <w:t>5</w:t>
            </w:r>
            <w:r>
              <w:rPr>
                <w:rFonts w:hint="default" w:ascii="Times New Roman" w:hAnsi="Times New Roman" w:eastAsia="宋体" w:cs="Times New Roman"/>
                <w:color w:val="auto"/>
                <w:kern w:val="2"/>
                <w:sz w:val="21"/>
                <w:szCs w:val="21"/>
                <w:shd w:val="clear" w:color="auto" w:fill="auto"/>
                <w:lang w:val="en-US"/>
              </w:rPr>
              <w:t>次以上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6"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rPr>
          <w:trHeight w:val="397" w:hRule="atLeast"/>
        </w:trPr>
        <w:tc>
          <w:tcPr>
            <w:tcW w:w="9060" w:type="dxa"/>
            <w:gridSpan w:val="3"/>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352" w:name="_Toc28908"/>
            <w:r>
              <w:rPr>
                <w:rFonts w:hint="default" w:ascii="Times New Roman" w:hAnsi="Times New Roman" w:cs="Times New Roman"/>
                <w:color w:val="auto"/>
                <w:sz w:val="20"/>
                <w:szCs w:val="20"/>
                <w:shd w:val="clear" w:color="auto" w:fill="auto"/>
              </w:rPr>
              <w:t>39</w:t>
            </w:r>
            <w:bookmarkEnd w:id="352"/>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center"/>
          </w:tcPr>
          <w:p>
            <w:pPr>
              <w:pStyle w:val="18"/>
              <w:shd w:val="clear" w:color="auto" w:fill="auto"/>
              <w:snapToGrid w:val="0"/>
              <w:spacing w:before="0" w:beforeAutospacing="0" w:after="0" w:afterAutospacing="0" w:line="320" w:lineRule="exact"/>
              <w:ind w:left="0" w:right="0" w:firstLine="420"/>
              <w:jc w:val="center"/>
              <w:outlineLvl w:val="9"/>
              <w:rPr>
                <w:rFonts w:hint="default" w:ascii="Times New Roman" w:hAnsi="Times New Roman" w:cs="Times New Roman"/>
                <w:color w:val="auto"/>
                <w:sz w:val="21"/>
                <w:szCs w:val="21"/>
                <w:shd w:val="clear" w:color="auto" w:fill="auto"/>
              </w:rPr>
            </w:pPr>
            <w:bookmarkStart w:id="353" w:name="_Toc3184"/>
            <w:r>
              <w:rPr>
                <w:rFonts w:hint="default" w:ascii="Times New Roman" w:hAnsi="Times New Roman" w:cs="Times New Roman"/>
                <w:color w:val="auto"/>
                <w:sz w:val="21"/>
                <w:szCs w:val="21"/>
                <w:shd w:val="clear" w:color="auto" w:fill="auto"/>
              </w:rPr>
              <w:t>出具虚假辐射监测报告的</w:t>
            </w:r>
            <w:bookmarkEnd w:id="353"/>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《放射性物品运输安全管理条例》第三十条</w:t>
            </w:r>
            <w:r>
              <w:rPr>
                <w:rFonts w:hint="default" w:ascii="Times New Roman" w:hAnsi="Times New Roman" w:cs="Times New Roman"/>
                <w:color w:val="auto"/>
                <w:sz w:val="21"/>
                <w:szCs w:val="21"/>
                <w:shd w:val="clear" w:color="auto" w:fill="auto"/>
              </w:rPr>
              <w:t xml:space="preserve"> </w:t>
            </w:r>
            <w:r>
              <w:rPr>
                <w:rFonts w:hint="default" w:ascii="Times New Roman" w:hAnsi="Times New Roman" w:cs="Times New Roman"/>
                <w:color w:val="auto"/>
                <w:sz w:val="21"/>
                <w:szCs w:val="21"/>
                <w:shd w:val="clear" w:color="auto" w:fill="auto"/>
                <w:lang w:eastAsia="zh-CN"/>
              </w:rPr>
              <w:t>第一款、第二款</w:t>
            </w:r>
            <w:r>
              <w:rPr>
                <w:rFonts w:hint="default" w:ascii="Times New Roman" w:hAnsi="Times New Roman" w:cs="Times New Roman"/>
                <w:color w:val="auto"/>
                <w:sz w:val="21"/>
                <w:szCs w:val="21"/>
                <w:shd w:val="clear" w:color="auto" w:fill="auto"/>
              </w:rPr>
              <w:t>托运一类放射性物品的，托运人应当委托有资质的辐射监测机构对其表面污染和辐射水平实施监测，辐射监测机构应当出具辐射监测报告。</w:t>
            </w:r>
          </w:p>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托运二类、三类放射性物品的，托运人应当对其表面污染和辐射水平实施监测，并编制辐射监测报告。</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《放射性物品运输安全管理条例》第六十三条第（三）项</w:t>
            </w:r>
            <w:r>
              <w:rPr>
                <w:rFonts w:hint="default" w:ascii="Times New Roman" w:hAnsi="Times New Roman" w:cs="Times New Roman"/>
                <w:color w:val="auto"/>
                <w:sz w:val="21"/>
                <w:szCs w:val="21"/>
                <w:shd w:val="clear" w:color="auto" w:fill="auto"/>
              </w:rPr>
              <w:t xml:space="preserve">  托运人有下列行为之一的，由启运地的省、自治区、直辖市人民政府环境保护主管部门责令停止违法行为，处5万元以上20万元以下的罚款：</w:t>
            </w:r>
          </w:p>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（三）出具虚假辐射监测报告的。</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★涉及放射性物品种类</w:t>
            </w:r>
          </w:p>
        </w:tc>
        <w:tc>
          <w:tcPr>
            <w:tcW w:w="513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三类放射性物品</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二类放射性物品</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一类放射性物品</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放射性物品数量</w:t>
            </w:r>
          </w:p>
        </w:tc>
        <w:tc>
          <w:tcPr>
            <w:tcW w:w="513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10千克</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369"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10千克以上100千克</w:t>
            </w:r>
            <w:r>
              <w:rPr>
                <w:rFonts w:hint="default" w:ascii="Times New Roman" w:hAnsi="Times New Roman" w:cs="Times New Roman"/>
                <w:color w:val="auto"/>
                <w:kern w:val="0"/>
                <w:sz w:val="20"/>
                <w:szCs w:val="20"/>
                <w:shd w:val="clear" w:color="auto" w:fill="auto"/>
                <w:lang w:val="en-US"/>
              </w:rPr>
              <w:t>以下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100千克以上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284"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4次</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r>
              <w:rPr>
                <w:rFonts w:hint="default" w:ascii="Times New Roman" w:hAnsi="Times New Roman" w:eastAsia="宋体" w:cs="Times New Roman"/>
                <w:color w:val="auto"/>
                <w:kern w:val="2"/>
                <w:sz w:val="21"/>
                <w:szCs w:val="21"/>
                <w:shd w:val="clear" w:color="auto" w:fill="auto"/>
                <w:lang w:val="en-US"/>
              </w:rPr>
              <w:t>次以上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p>
        </w:tc>
      </w:tr>
      <w:tr>
        <w:trPr>
          <w:trHeight w:val="369"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69"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69"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69"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69"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1</w:t>
            </w:r>
          </w:p>
        </w:tc>
      </w:tr>
      <w:tr>
        <w:trPr>
          <w:trHeight w:val="369"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69"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3</w:t>
            </w:r>
          </w:p>
        </w:tc>
      </w:tr>
      <w:tr>
        <w:trPr>
          <w:trHeight w:val="369" w:hRule="atLeast"/>
        </w:trPr>
        <w:tc>
          <w:tcPr>
            <w:tcW w:w="1284"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6"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c>
          <w:tcPr>
            <w:tcW w:w="9060" w:type="dxa"/>
            <w:gridSpan w:val="3"/>
            <w:vAlign w:val="top"/>
          </w:tcPr>
          <w:p>
            <w:pPr>
              <w:widowControl/>
              <w:shd w:val="clear" w:color="auto" w:fill="auto"/>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354" w:name="_Toc15237"/>
            <w:r>
              <w:rPr>
                <w:rFonts w:hint="default" w:ascii="Times New Roman" w:hAnsi="Times New Roman" w:cs="Times New Roman"/>
                <w:color w:val="auto"/>
                <w:sz w:val="20"/>
                <w:szCs w:val="20"/>
                <w:shd w:val="clear" w:color="auto" w:fill="auto"/>
              </w:rPr>
              <w:t>40</w:t>
            </w:r>
            <w:bookmarkEnd w:id="354"/>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top"/>
          </w:tcPr>
          <w:p>
            <w:pPr>
              <w:pStyle w:val="18"/>
              <w:shd w:val="clear" w:color="auto" w:fill="auto"/>
              <w:spacing w:before="0" w:beforeAutospacing="0" w:after="0" w:afterAutospacing="0" w:line="320" w:lineRule="exact"/>
              <w:ind w:left="0" w:right="0" w:firstLine="420"/>
              <w:outlineLvl w:val="9"/>
              <w:rPr>
                <w:rFonts w:hint="default" w:ascii="Times New Roman" w:hAnsi="Times New Roman" w:cs="Times New Roman"/>
                <w:color w:val="auto"/>
                <w:sz w:val="21"/>
                <w:szCs w:val="21"/>
                <w:shd w:val="clear" w:color="auto" w:fill="auto"/>
              </w:rPr>
            </w:pPr>
            <w:bookmarkStart w:id="355" w:name="_Toc21973"/>
            <w:r>
              <w:rPr>
                <w:rFonts w:hint="default" w:ascii="Times New Roman" w:hAnsi="Times New Roman" w:cs="Times New Roman"/>
                <w:color w:val="auto"/>
                <w:sz w:val="21"/>
                <w:szCs w:val="21"/>
                <w:shd w:val="clear" w:color="auto" w:fill="auto"/>
              </w:rPr>
              <w:t>托运人、承运人未按照核与辐射事故应急响应指南的要求，做好事故应急工作并报告事故的</w:t>
            </w:r>
            <w:bookmarkEnd w:id="355"/>
          </w:p>
        </w:tc>
      </w:tr>
      <w:t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《放射性物品运输安全管理条例》第四十三条第一款</w:t>
            </w:r>
            <w:r>
              <w:rPr>
                <w:rFonts w:hint="default" w:ascii="Times New Roman" w:hAnsi="Times New Roman" w:cs="Times New Roman"/>
                <w:color w:val="auto"/>
                <w:sz w:val="21"/>
                <w:szCs w:val="21"/>
                <w:shd w:val="clear" w:color="auto" w:fill="auto"/>
              </w:rPr>
              <w:t xml:space="preserve"> 放射性物品运输中发生核与辐射事故的，承运人、托运人应当按照核与辐射事故应急响应指南的要求，做好事故应急工作，并立即报告事故发生地的县级以上人民政府环境保护主管部门。接到报告的环境保护主管部门应当立即派人赶赴现场，进行现场调查，采取有效措施控制事故影响，并及时向本级人民政府报告，通报同级公安、卫生、交通运输等有关主管部门。</w:t>
            </w:r>
          </w:p>
        </w:tc>
      </w:tr>
      <w:t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《放射性物品运输安全管理条例》第六十五条第二款</w:t>
            </w:r>
            <w:r>
              <w:rPr>
                <w:rFonts w:hint="default" w:ascii="Times New Roman" w:hAnsi="Times New Roman" w:cs="Times New Roman"/>
                <w:color w:val="auto"/>
                <w:sz w:val="21"/>
                <w:szCs w:val="21"/>
                <w:shd w:val="clear" w:color="auto" w:fill="auto"/>
              </w:rPr>
              <w:t xml:space="preserve"> 托运人、承运人未按照核与辐射事故应急响应指南的要求，做好事故应急工作并报告事故的，由县级以上地方人民政府环境保护主管部门处5万元以上20万元以下的罚款。</w:t>
            </w:r>
          </w:p>
        </w:tc>
      </w:tr>
      <w:tr>
        <w:trPr>
          <w:trHeight w:val="465"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65"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3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已规范做好事故应急工作，但未及时报告事故的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6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未规范做好事故应急工作的，及时报告事故的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6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未做事故应急工作，未报告事故的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65"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辐射事故</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等级</w:t>
            </w: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一般辐射事故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6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较大辐射事故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6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重大辐射事故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6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特别重大辐射事故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65"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涉及放射性物品种类</w:t>
            </w:r>
          </w:p>
        </w:tc>
        <w:tc>
          <w:tcPr>
            <w:tcW w:w="513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三类放射性物品</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6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二类放射性物品</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6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一类放射性物品</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65"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对环境的</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影响程度</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尚未造成环境污染</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6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已造成环境污染，尚未扩散</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6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已造成环境污染，并部分扩散</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6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已造成环境污染，并大面积扩散</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65"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区域影响</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县级行政区域内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6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跨县级行政区域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6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跨市级行政区域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6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跨省级行政区域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65"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6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46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46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465"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6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46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65"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46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46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465"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6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6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65"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65"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6"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c>
          <w:tcPr>
            <w:tcW w:w="9060" w:type="dxa"/>
            <w:gridSpan w:val="3"/>
            <w:vAlign w:val="top"/>
          </w:tcPr>
          <w:p>
            <w:pPr>
              <w:widowControl/>
              <w:shd w:val="clear" w:color="auto" w:fill="auto"/>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356" w:name="_Toc19176"/>
            <w:r>
              <w:rPr>
                <w:rFonts w:hint="default" w:ascii="Times New Roman" w:hAnsi="Times New Roman" w:cs="Times New Roman"/>
                <w:color w:val="auto"/>
                <w:sz w:val="20"/>
                <w:szCs w:val="20"/>
                <w:shd w:val="clear" w:color="auto" w:fill="auto"/>
              </w:rPr>
              <w:t>41</w:t>
            </w:r>
            <w:bookmarkEnd w:id="356"/>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center"/>
          </w:tcPr>
          <w:p>
            <w:pPr>
              <w:pStyle w:val="18"/>
              <w:shd w:val="clear" w:color="auto" w:fill="auto"/>
              <w:snapToGrid w:val="0"/>
              <w:spacing w:before="0" w:beforeAutospacing="0" w:after="0" w:afterAutospacing="0" w:line="320" w:lineRule="exact"/>
              <w:ind w:left="0" w:right="0" w:firstLine="420"/>
              <w:jc w:val="center"/>
              <w:outlineLvl w:val="9"/>
              <w:rPr>
                <w:rFonts w:hint="default" w:ascii="Times New Roman" w:hAnsi="Times New Roman" w:cs="Times New Roman"/>
                <w:color w:val="auto"/>
                <w:sz w:val="21"/>
                <w:szCs w:val="21"/>
                <w:shd w:val="clear" w:color="auto" w:fill="auto"/>
              </w:rPr>
            </w:pPr>
            <w:bookmarkStart w:id="357" w:name="_Toc12183"/>
            <w:r>
              <w:rPr>
                <w:rFonts w:hint="default" w:ascii="Times New Roman" w:hAnsi="Times New Roman" w:cs="Times New Roman"/>
                <w:color w:val="auto"/>
                <w:sz w:val="21"/>
                <w:szCs w:val="21"/>
                <w:shd w:val="clear" w:color="auto" w:fill="auto"/>
              </w:rPr>
              <w:t>违反规定造成辐射事故的</w:t>
            </w:r>
            <w:bookmarkEnd w:id="357"/>
          </w:p>
        </w:tc>
      </w:tr>
      <w:t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《放射性同位素与射线装置安全和防护条例》第二十七条 </w:t>
            </w:r>
            <w:r>
              <w:rPr>
                <w:rFonts w:hint="default" w:ascii="Times New Roman" w:hAnsi="Times New Roman" w:cs="Times New Roman"/>
                <w:color w:val="auto"/>
                <w:sz w:val="21"/>
                <w:szCs w:val="21"/>
                <w:shd w:val="clear" w:color="auto" w:fill="auto"/>
              </w:rPr>
              <w:t>生产、销售、使用放射性同位素和射线装置的单位，应当对本单位的放射性同位素、射线装置的安全和防护工作负责，并依法对其造成的放射性危害承担责任。</w:t>
            </w:r>
          </w:p>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生产放射性同位素的单位的行业主管部门，应当加强对生产单位安全和防护工作的管理，并定期对其执行法律、法规和国家标准的情况进行监督检查。</w:t>
            </w:r>
          </w:p>
        </w:tc>
      </w:tr>
      <w:t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《放射性同位素与射线装置安全和防护条例》第六十一条第一款 </w:t>
            </w:r>
            <w:r>
              <w:rPr>
                <w:rFonts w:hint="default" w:ascii="Times New Roman" w:hAnsi="Times New Roman" w:cs="Times New Roman"/>
                <w:color w:val="auto"/>
                <w:sz w:val="21"/>
                <w:szCs w:val="21"/>
                <w:shd w:val="clear" w:color="auto" w:fill="auto"/>
              </w:rPr>
              <w:t>违反本条例规定，造成辐射事故的，由原发证机关责令限期改正，并处5万元以上20万元以下的罚款；情节严重的，由原发证机关吊销许可证；构成违反治安管理行为的，由公安机关依法予以治安处罚；构成犯罪的，依法追究刑事责任。</w:t>
            </w:r>
          </w:p>
        </w:tc>
      </w:tr>
      <w:tr>
        <w:trPr>
          <w:trHeight w:val="414"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86"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★辐射事故</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等级</w:t>
            </w: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一般辐射事故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较大辐射事故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重大辐射事故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特别重大辐射事故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应急及报告情况</w:t>
            </w:r>
          </w:p>
        </w:tc>
        <w:tc>
          <w:tcPr>
            <w:tcW w:w="513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已规范做好事故应急工作，但未及时报告事故的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未规范做好事故应急工作的，及时报告事故的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未做事故应急工作，未报告事故的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对环境的</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影响程度</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尚未造成环境污染</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已造成环境污染，尚未扩散</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已造成环境污染，并部分扩散</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已造成环境污染，并大面积扩散</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区域影响</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县级行政区域内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跨县级行政区域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跨市级行政区域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跨省级行政区域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86"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snapToGrid w:val="0"/>
              <w:spacing w:before="0" w:beforeAutospacing="0" w:after="0" w:afterAutospacing="0" w:line="320" w:lineRule="exact"/>
              <w:ind w:left="0" w:right="0" w:firstLine="0" w:firstLineChars="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val="en-US"/>
              </w:rPr>
              <w:t>改正时间</w:t>
            </w:r>
          </w:p>
        </w:tc>
        <w:tc>
          <w:tcPr>
            <w:tcW w:w="513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kern w:val="2"/>
                <w:sz w:val="21"/>
                <w:szCs w:val="21"/>
                <w:shd w:val="clear" w:color="auto" w:fill="auto"/>
                <w:lang w:eastAsia="zh-CN"/>
              </w:rPr>
              <w:t>限期改正</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97"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6"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c>
          <w:tcPr>
            <w:tcW w:w="9060" w:type="dxa"/>
            <w:gridSpan w:val="3"/>
            <w:vAlign w:val="center"/>
          </w:tcPr>
          <w:p>
            <w:pPr>
              <w:widowControl/>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trPr>
        <w:tc>
          <w:tcPr>
            <w:tcW w:w="128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wordWrap/>
              <w:adjustRightInd/>
              <w:snapToGrid w:val="0"/>
              <w:spacing w:before="0" w:beforeAutospacing="0" w:after="0" w:afterAutospacing="0" w:line="28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358" w:name="_Toc17926"/>
            <w:r>
              <w:rPr>
                <w:rFonts w:hint="default" w:ascii="Times New Roman" w:hAnsi="Times New Roman" w:cs="Times New Roman"/>
                <w:color w:val="auto"/>
                <w:sz w:val="20"/>
                <w:szCs w:val="20"/>
                <w:shd w:val="clear" w:color="auto" w:fill="auto"/>
              </w:rPr>
              <w:t>42</w:t>
            </w:r>
            <w:bookmarkEnd w:id="358"/>
          </w:p>
        </w:tc>
      </w:tr>
      <w:tr>
        <w:trPr>
          <w:trHeight w:val="397" w:hRule="atLeast"/>
        </w:trPr>
        <w:tc>
          <w:tcPr>
            <w:tcW w:w="128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top"/>
          </w:tcPr>
          <w:p>
            <w:pPr>
              <w:pStyle w:val="18"/>
              <w:shd w:val="clear" w:color="auto" w:fill="auto"/>
              <w:wordWrap/>
              <w:adjustRightInd/>
              <w:snapToGrid w:val="0"/>
              <w:spacing w:before="0" w:beforeAutospacing="0" w:after="0" w:afterAutospacing="0" w:line="280" w:lineRule="exact"/>
              <w:ind w:left="0" w:right="0" w:firstLine="420"/>
              <w:textAlignment w:val="auto"/>
              <w:outlineLvl w:val="9"/>
              <w:rPr>
                <w:rFonts w:hint="default" w:ascii="Times New Roman" w:hAnsi="Times New Roman" w:cs="Times New Roman"/>
                <w:color w:val="auto"/>
                <w:sz w:val="21"/>
                <w:szCs w:val="21"/>
                <w:shd w:val="clear" w:color="auto" w:fill="auto"/>
              </w:rPr>
            </w:pPr>
            <w:bookmarkStart w:id="359" w:name="_Toc17586"/>
            <w:r>
              <w:rPr>
                <w:rFonts w:hint="default" w:ascii="Times New Roman" w:hAnsi="Times New Roman" w:cs="Times New Roman"/>
                <w:color w:val="auto"/>
                <w:sz w:val="21"/>
                <w:szCs w:val="21"/>
                <w:shd w:val="clear" w:color="auto" w:fill="auto"/>
              </w:rPr>
              <w:t>省辖市转移使用放射性同位素和射线装置的，未在转移活动实施前五日内向使用地省辖市环境保护行政主管部门备案，使用活动结束后十日内办理备案注销手续的</w:t>
            </w:r>
            <w:bookmarkEnd w:id="359"/>
          </w:p>
        </w:tc>
      </w:tr>
      <w:tr>
        <w:tc>
          <w:tcPr>
            <w:tcW w:w="128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wordWrap/>
              <w:adjustRightInd/>
              <w:snapToGrid w:val="0"/>
              <w:spacing w:before="0" w:beforeAutospacing="0" w:after="0" w:afterAutospacing="0" w:line="28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《河南省辐射污染防治条例》第十三条第三款</w:t>
            </w:r>
            <w:r>
              <w:rPr>
                <w:rFonts w:hint="default" w:ascii="Times New Roman" w:hAnsi="Times New Roman" w:cs="Times New Roman"/>
                <w:color w:val="auto"/>
                <w:sz w:val="21"/>
                <w:szCs w:val="21"/>
                <w:shd w:val="clear" w:color="auto" w:fill="auto"/>
              </w:rPr>
              <w:t xml:space="preserve"> 跨省辖市转移使用放射性同位素和射线装置的，应当在转移活动实施前五日内向使用地省辖市环境保护行政主管部门备案，使用活动结束后十日内办理备案注销手续。</w:t>
            </w:r>
          </w:p>
        </w:tc>
      </w:tr>
      <w:tr>
        <w:tc>
          <w:tcPr>
            <w:tcW w:w="128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wordWrap/>
              <w:adjustRightInd/>
              <w:snapToGrid w:val="0"/>
              <w:spacing w:before="0" w:beforeAutospacing="0" w:after="0" w:afterAutospacing="0" w:line="28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《河南省辐射污染防治条例》第四十二条第（一）项 </w:t>
            </w:r>
            <w:r>
              <w:rPr>
                <w:rFonts w:hint="default" w:ascii="Times New Roman" w:hAnsi="Times New Roman" w:cs="Times New Roman"/>
                <w:color w:val="auto"/>
                <w:sz w:val="21"/>
                <w:szCs w:val="21"/>
                <w:shd w:val="clear" w:color="auto" w:fill="auto"/>
              </w:rPr>
              <w:t>放射性辐射单位有下列行为之一的，由县级以上人民政府环境保护行政主管部门责令限期改正，并按照下列规定给予处罚:</w:t>
            </w:r>
          </w:p>
          <w:p>
            <w:pPr>
              <w:pStyle w:val="18"/>
              <w:shd w:val="clear" w:color="auto" w:fill="auto"/>
              <w:wordWrap/>
              <w:adjustRightInd/>
              <w:snapToGrid w:val="0"/>
              <w:spacing w:before="0" w:beforeAutospacing="0" w:after="0" w:afterAutospacing="0" w:line="28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(一)违反本条例第十三条第三款规定，未办理备案手续的，处一万元以上五万元以下的罚款。</w:t>
            </w:r>
          </w:p>
        </w:tc>
      </w:tr>
      <w:tr>
        <w:trPr>
          <w:trHeight w:val="386" w:hRule="atLeast"/>
        </w:trPr>
        <w:tc>
          <w:tcPr>
            <w:tcW w:w="128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86" w:hRule="atLeast"/>
        </w:trPr>
        <w:tc>
          <w:tcPr>
            <w:tcW w:w="1284"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30"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未按规定备案</w:t>
            </w:r>
          </w:p>
        </w:tc>
        <w:tc>
          <w:tcPr>
            <w:tcW w:w="2646"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284"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未备案</w:t>
            </w:r>
          </w:p>
        </w:tc>
        <w:tc>
          <w:tcPr>
            <w:tcW w:w="2646"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284"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虚假备案</w:t>
            </w:r>
          </w:p>
        </w:tc>
        <w:tc>
          <w:tcPr>
            <w:tcW w:w="2646"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284"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w:t>
            </w:r>
          </w:p>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类型</w:t>
            </w:r>
          </w:p>
        </w:tc>
        <w:tc>
          <w:tcPr>
            <w:tcW w:w="5130"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Ⅳ类、Ⅴ类放射源或Ⅲ类射线装置的</w:t>
            </w:r>
          </w:p>
        </w:tc>
        <w:tc>
          <w:tcPr>
            <w:tcW w:w="2646"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284"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Ⅲ类放射源或Ⅱ类射线装置的</w:t>
            </w:r>
          </w:p>
        </w:tc>
        <w:tc>
          <w:tcPr>
            <w:tcW w:w="2646"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284"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Ⅰ类、Ⅱ类放射源或Ⅰ类射线装置的</w:t>
            </w:r>
          </w:p>
        </w:tc>
        <w:tc>
          <w:tcPr>
            <w:tcW w:w="2646"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284"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区域影响</w:t>
            </w:r>
          </w:p>
        </w:tc>
        <w:tc>
          <w:tcPr>
            <w:tcW w:w="5130"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县级行政区域内</w:t>
            </w:r>
          </w:p>
        </w:tc>
        <w:tc>
          <w:tcPr>
            <w:tcW w:w="2646"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284"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跨县级行政区域</w:t>
            </w:r>
          </w:p>
        </w:tc>
        <w:tc>
          <w:tcPr>
            <w:tcW w:w="2646"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284"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跨市级行政区域</w:t>
            </w:r>
          </w:p>
        </w:tc>
        <w:tc>
          <w:tcPr>
            <w:tcW w:w="2646"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86" w:hRule="atLeast"/>
        </w:trPr>
        <w:tc>
          <w:tcPr>
            <w:tcW w:w="1284"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跨省级行政区域</w:t>
            </w:r>
          </w:p>
        </w:tc>
        <w:tc>
          <w:tcPr>
            <w:tcW w:w="2646"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284" w:type="dxa"/>
            <w:vMerge w:val="restart"/>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0"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86" w:hRule="atLeast"/>
        </w:trPr>
        <w:tc>
          <w:tcPr>
            <w:tcW w:w="1284" w:type="dxa"/>
            <w:vMerge w:val="continue"/>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86" w:hRule="atLeast"/>
        </w:trPr>
        <w:tc>
          <w:tcPr>
            <w:tcW w:w="1284" w:type="dxa"/>
            <w:vMerge w:val="continue"/>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86" w:hRule="atLeast"/>
        </w:trPr>
        <w:tc>
          <w:tcPr>
            <w:tcW w:w="1284" w:type="dxa"/>
            <w:vMerge w:val="continue"/>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86" w:hRule="atLeast"/>
        </w:trPr>
        <w:tc>
          <w:tcPr>
            <w:tcW w:w="1284" w:type="dxa"/>
            <w:vMerge w:val="continue"/>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86" w:hRule="atLeast"/>
        </w:trPr>
        <w:tc>
          <w:tcPr>
            <w:tcW w:w="1284"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130"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Style w:val="14"/>
                <w:rFonts w:ascii="Times New Roman" w:hAnsi="Times New Roman" w:eastAsia="宋体" w:cs="Times New Roman"/>
                <w:color w:val="auto"/>
                <w:kern w:val="2"/>
                <w:szCs w:val="21"/>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646"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86" w:hRule="atLeast"/>
        </w:trPr>
        <w:tc>
          <w:tcPr>
            <w:tcW w:w="1284"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130" w:type="dxa"/>
            <w:vAlign w:val="center"/>
          </w:tcPr>
          <w:p>
            <w:pPr>
              <w:shd w:val="clear" w:color="auto" w:fill="auto"/>
              <w:wordWrap/>
              <w:adjustRightInd/>
              <w:snapToGrid w:val="0"/>
              <w:spacing w:before="0" w:beforeAutospacing="0" w:after="0" w:afterAutospacing="0" w:line="280" w:lineRule="exact"/>
              <w:ind w:left="0" w:right="0"/>
              <w:jc w:val="center"/>
              <w:textAlignment w:val="auto"/>
              <w:rPr>
                <w:rStyle w:val="14"/>
                <w:rFonts w:eastAsia="宋体"/>
                <w:kern w:val="2"/>
                <w:szCs w:val="21"/>
              </w:rPr>
            </w:pPr>
            <w:r>
              <w:rPr>
                <w:rFonts w:hint="default"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86" w:hRule="atLeast"/>
        </w:trPr>
        <w:tc>
          <w:tcPr>
            <w:tcW w:w="1284"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280" w:lineRule="exact"/>
              <w:ind w:left="0" w:right="0"/>
              <w:jc w:val="center"/>
              <w:textAlignment w:val="auto"/>
              <w:rPr>
                <w:rStyle w:val="14"/>
                <w:rFonts w:ascii="Times New Roman" w:hAnsi="Times New Roman" w:eastAsia="宋体" w:cs="Times New Roman"/>
                <w:color w:val="auto"/>
                <w:kern w:val="2"/>
                <w:szCs w:val="21"/>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86" w:hRule="atLeast"/>
        </w:trPr>
        <w:tc>
          <w:tcPr>
            <w:tcW w:w="1284"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280" w:lineRule="exact"/>
              <w:ind w:left="0" w:right="0"/>
              <w:jc w:val="center"/>
              <w:textAlignment w:val="auto"/>
              <w:rPr>
                <w:rStyle w:val="14"/>
                <w:rFonts w:ascii="Times New Roman" w:hAnsi="Times New Roman" w:eastAsia="宋体" w:cs="Times New Roman"/>
                <w:color w:val="auto"/>
                <w:kern w:val="2"/>
                <w:szCs w:val="21"/>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646"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86" w:hRule="atLeast"/>
        </w:trPr>
        <w:tc>
          <w:tcPr>
            <w:tcW w:w="1284"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130" w:type="dxa"/>
            <w:vAlign w:val="center"/>
          </w:tcPr>
          <w:p>
            <w:pPr>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86" w:hRule="atLeast"/>
        </w:trPr>
        <w:tc>
          <w:tcPr>
            <w:tcW w:w="1284"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86" w:hRule="atLeast"/>
        </w:trPr>
        <w:tc>
          <w:tcPr>
            <w:tcW w:w="1284"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86" w:hRule="atLeast"/>
        </w:trPr>
        <w:tc>
          <w:tcPr>
            <w:tcW w:w="1284"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ordWrap/>
              <w:adjustRightInd/>
              <w:snapToGrid w:val="0"/>
              <w:spacing w:before="0" w:beforeAutospacing="0" w:after="0" w:afterAutospacing="0" w:line="280" w:lineRule="exact"/>
              <w:ind w:left="0" w:right="0" w:firstLine="0" w:firstLineChars="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6"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c>
          <w:tcPr>
            <w:tcW w:w="9060" w:type="dxa"/>
            <w:gridSpan w:val="3"/>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360" w:name="_Toc5236"/>
            <w:r>
              <w:rPr>
                <w:rFonts w:hint="default" w:ascii="Times New Roman" w:hAnsi="Times New Roman" w:cs="Times New Roman"/>
                <w:color w:val="auto"/>
                <w:sz w:val="20"/>
                <w:szCs w:val="20"/>
                <w:shd w:val="clear" w:color="auto" w:fill="auto"/>
              </w:rPr>
              <w:t>43</w:t>
            </w:r>
            <w:bookmarkEnd w:id="360"/>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top"/>
          </w:tcPr>
          <w:p>
            <w:pPr>
              <w:pStyle w:val="18"/>
              <w:shd w:val="clear" w:color="auto" w:fill="auto"/>
              <w:spacing w:before="0" w:beforeAutospacing="0" w:after="0" w:afterAutospacing="0" w:line="320" w:lineRule="exact"/>
              <w:ind w:left="0" w:right="0" w:firstLine="420"/>
              <w:outlineLvl w:val="9"/>
              <w:rPr>
                <w:rFonts w:hint="default" w:ascii="Times New Roman" w:hAnsi="Times New Roman" w:cs="Times New Roman"/>
                <w:color w:val="auto"/>
                <w:sz w:val="21"/>
                <w:szCs w:val="21"/>
                <w:shd w:val="clear" w:color="auto" w:fill="auto"/>
              </w:rPr>
            </w:pPr>
            <w:bookmarkStart w:id="361" w:name="_Toc19659"/>
            <w:r>
              <w:rPr>
                <w:rFonts w:hint="default" w:ascii="Times New Roman" w:hAnsi="Times New Roman" w:cs="Times New Roman"/>
                <w:color w:val="auto"/>
                <w:sz w:val="21"/>
                <w:szCs w:val="21"/>
                <w:shd w:val="clear" w:color="auto" w:fill="auto"/>
              </w:rPr>
              <w:t>在室外、野外使用放射性同位素和射线装置未按照国家有关规定进行作业、未报告使用情况的，或者可移动放射性同位素贮存场所未按照国家规定采取防丢失、防射线泄漏等安全防护措施的</w:t>
            </w:r>
            <w:bookmarkEnd w:id="361"/>
          </w:p>
        </w:tc>
      </w:tr>
      <w:t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《河南省辐射污染防治条例》第十四条</w:t>
            </w:r>
            <w:r>
              <w:rPr>
                <w:rFonts w:hint="default" w:ascii="Times New Roman" w:hAnsi="Times New Roman" w:cs="Times New Roman"/>
                <w:color w:val="auto"/>
                <w:sz w:val="21"/>
                <w:szCs w:val="21"/>
                <w:shd w:val="clear" w:color="auto" w:fill="auto"/>
              </w:rPr>
              <w:t xml:space="preserve"> 在室外、野外使用放射性同位素和射线装置的单位应当按照国家有关规定进行作业，并每月向使用地省辖市环境保护行政主管部门报告使用情况。</w:t>
            </w:r>
          </w:p>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可移动放射性同位素需要在野外贮存的，应当贮存在相对封闭的场所内。贮存场所应当设置明显的放射性标识和中文警示说明，由专人看管，并按照国家规定采取防丢失、防射线泄漏等相应安全防护措施。</w:t>
            </w:r>
          </w:p>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在室外、野外使用放射性同位素的单位应当按照有关规定，对放射性同位素实行实时定位影像监控并做好记录。</w:t>
            </w:r>
          </w:p>
        </w:tc>
      </w:tr>
      <w:t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《河南省辐射污染防治条例》第四十二条第（二）项</w:t>
            </w:r>
            <w:r>
              <w:rPr>
                <w:rFonts w:hint="default" w:ascii="Times New Roman" w:hAnsi="Times New Roman" w:cs="Times New Roman"/>
                <w:color w:val="auto"/>
                <w:sz w:val="21"/>
                <w:szCs w:val="21"/>
                <w:shd w:val="clear" w:color="auto" w:fill="auto"/>
              </w:rPr>
              <w:t xml:space="preserve"> 放射性辐射单位有下列行为之一的，由县级以上人民政府环境保护行政主管部门责令限期改正，并按照下列规定给予处罚:</w:t>
            </w:r>
          </w:p>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二)违反本条例第十四条规定，在室外、野外使用放射性同位素和射线装置未按照国家有关规定进行作业、未报告使用情况的，或者可移动放射性同位素贮存场所未按照国家规定采取防丢失、防射线泄漏等安全防护措施的，处一万元以上五万元以下的罚款。</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30" w:type="dxa"/>
            <w:vAlign w:val="center"/>
          </w:tcPr>
          <w:p>
            <w:pPr>
              <w:pStyle w:val="19"/>
              <w:shd w:val="clear" w:color="auto" w:fill="auto"/>
              <w:snapToGrid w:val="0"/>
              <w:spacing w:before="0" w:beforeAutospacing="0" w:after="0" w:afterAutospacing="0" w:line="320" w:lineRule="exact"/>
              <w:ind w:left="0" w:right="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在室外、野外使用放射性同位素和射线装置未按照国家有关规定进行作业、未报告使用情况的，或者可移动放射性同位素贮存场所未按照国家规定采取防丢失、防射线泄漏等安全防护措施的</w:t>
            </w:r>
          </w:p>
        </w:tc>
        <w:tc>
          <w:tcPr>
            <w:tcW w:w="2646"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造成较大社会影响或有其他严重情节的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辐射事故</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等级</w:t>
            </w: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未造成辐射事故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造成一般辐射事故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造成较大辐射事故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造成重大辐射事故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造成特别重大辐射事故</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类型</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Ⅳ类、Ⅴ类放射源或Ⅲ类射线装置的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Ⅲ类放射源或Ⅱ类射线装置的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Ⅰ类、Ⅱ类放射源或Ⅰ类射线装置的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rPr>
              <w:t>非密封放射性物质工作场所分类</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丙级工作场所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乙级工作场所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甲级工作场所</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40"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trPr>
        <w:tc>
          <w:tcPr>
            <w:tcW w:w="128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val="en-US"/>
              </w:rPr>
              <w:t>改正时间</w:t>
            </w:r>
          </w:p>
        </w:tc>
        <w:tc>
          <w:tcPr>
            <w:tcW w:w="513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kern w:val="2"/>
                <w:sz w:val="21"/>
                <w:szCs w:val="21"/>
                <w:shd w:val="clear" w:color="auto" w:fill="auto"/>
                <w:lang w:eastAsia="zh-CN"/>
              </w:rPr>
              <w:t>限期改正</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40"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40"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40"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40"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40"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776"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50"/>
        <w:gridCol w:w="5092"/>
        <w:gridCol w:w="2616"/>
      </w:tblGrid>
      <w:tr>
        <w:trPr>
          <w:trHeight w:val="397" w:hRule="atLeast"/>
          <w:jc w:val="center"/>
        </w:trPr>
        <w:tc>
          <w:tcPr>
            <w:tcW w:w="8958"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jc w:val="center"/>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08"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362" w:name="_Toc19484"/>
            <w:r>
              <w:rPr>
                <w:rFonts w:hint="default" w:ascii="Times New Roman" w:hAnsi="Times New Roman" w:cs="Times New Roman"/>
                <w:color w:val="auto"/>
                <w:sz w:val="20"/>
                <w:szCs w:val="20"/>
                <w:shd w:val="clear" w:color="auto" w:fill="auto"/>
              </w:rPr>
              <w:t>44</w:t>
            </w:r>
            <w:bookmarkEnd w:id="362"/>
          </w:p>
        </w:tc>
      </w:tr>
      <w:tr>
        <w:trPr>
          <w:trHeight w:val="397" w:hRule="atLeast"/>
          <w:jc w:val="center"/>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708"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0" w:firstLineChars="200"/>
              <w:outlineLvl w:val="9"/>
              <w:rPr>
                <w:rFonts w:hint="default" w:ascii="Times New Roman" w:hAnsi="Times New Roman" w:cs="Times New Roman"/>
                <w:color w:val="auto"/>
                <w:kern w:val="0"/>
                <w:sz w:val="20"/>
                <w:szCs w:val="20"/>
                <w:shd w:val="clear" w:color="auto" w:fill="auto"/>
              </w:rPr>
            </w:pPr>
            <w:bookmarkStart w:id="363" w:name="_Toc14232"/>
            <w:r>
              <w:rPr>
                <w:rFonts w:hint="default" w:ascii="Times New Roman" w:hAnsi="Times New Roman" w:cs="Times New Roman"/>
                <w:color w:val="auto"/>
                <w:kern w:val="0"/>
                <w:sz w:val="20"/>
                <w:szCs w:val="20"/>
                <w:shd w:val="clear" w:color="auto" w:fill="auto"/>
              </w:rPr>
              <w:t>委托无许可证或者超出许可证规定的种类和范围的单位，进行放射性同位素、射线装置作业的</w:t>
            </w:r>
            <w:bookmarkEnd w:id="363"/>
          </w:p>
        </w:tc>
      </w:tr>
      <w:tr>
        <w:trPr>
          <w:trHeight w:val="397" w:hRule="atLeast"/>
          <w:jc w:val="center"/>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08"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2" w:firstLineChars="200"/>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《河南省辐射污染防治条例》第十五条</w:t>
            </w:r>
            <w:r>
              <w:rPr>
                <w:rFonts w:hint="default" w:ascii="Times New Roman" w:hAnsi="Times New Roman" w:cs="Times New Roman"/>
                <w:color w:val="auto"/>
                <w:kern w:val="0"/>
                <w:sz w:val="20"/>
                <w:szCs w:val="20"/>
                <w:shd w:val="clear" w:color="auto" w:fill="auto"/>
              </w:rPr>
              <w:t xml:space="preserve"> 需要委托他人进行放射性同位素和射线装置作业的，应当委托持有相应许可证的单位实施。</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0" w:firstLineChars="200"/>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禁止委托无许可证或者超出许可证规定种类和范围的单位进行放射性同位素和射线装置作业。</w:t>
            </w:r>
          </w:p>
        </w:tc>
      </w:tr>
      <w:tr>
        <w:trPr>
          <w:trHeight w:val="397" w:hRule="atLeast"/>
          <w:jc w:val="center"/>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08" w:type="dxa"/>
            <w:gridSpan w:val="2"/>
            <w:vAlign w:val="center"/>
          </w:tcPr>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《河南省辐射污染防治条例》第四十二条第（三）项</w:t>
            </w:r>
            <w:r>
              <w:rPr>
                <w:rFonts w:hint="default" w:ascii="Times New Roman" w:hAnsi="Times New Roman" w:cs="Times New Roman"/>
                <w:color w:val="auto"/>
                <w:sz w:val="21"/>
                <w:szCs w:val="21"/>
                <w:shd w:val="clear" w:color="auto" w:fill="auto"/>
              </w:rPr>
              <w:t xml:space="preserve"> 放射性辐射单位有下列行为之一的，由县级以上人民政府环境保护行政主管部门责令限期改正，并按照下列规定给予处罚:</w:t>
            </w:r>
          </w:p>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(三)违反本条例第十五条规定，委托无许可证或者超出许可证规定种类和范围的单位进行放射性同位素和射线装置作业的，处一万元以上五万元以下的罚款。</w:t>
            </w:r>
          </w:p>
        </w:tc>
      </w:tr>
      <w:tr>
        <w:trPr>
          <w:trHeight w:val="397" w:hRule="atLeast"/>
          <w:jc w:val="center"/>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jc w:val="center"/>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超出许可证规定的种类和范围的</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无许可证的</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类型</w:t>
            </w:r>
          </w:p>
        </w:tc>
        <w:tc>
          <w:tcPr>
            <w:tcW w:w="50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Ⅳ类、Ⅴ类放射源或Ⅲ类射线装置的</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Ⅲ类放射源或Ⅱ类射线装置的</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Ⅰ类、Ⅱ类放射源或Ⅰ类射线装置的</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非密封放射性物质工作场所分类</w:t>
            </w:r>
          </w:p>
        </w:tc>
        <w:tc>
          <w:tcPr>
            <w:tcW w:w="50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丙级工作场所</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乙级工作场所</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甲级工作场所</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对环境的</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r>
              <w:rPr>
                <w:rFonts w:hint="default" w:ascii="Times New Roman" w:hAnsi="Times New Roman" w:cs="Times New Roman"/>
                <w:b/>
                <w:bCs/>
                <w:color w:val="auto"/>
                <w:sz w:val="20"/>
                <w:szCs w:val="20"/>
                <w:shd w:val="clear" w:color="auto" w:fill="auto"/>
              </w:rPr>
              <w:t>影响程度</w:t>
            </w:r>
          </w:p>
        </w:tc>
        <w:tc>
          <w:tcPr>
            <w:tcW w:w="50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尚未造成环境污染</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0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已造成环境污染，尚未扩散</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0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已造成环境污染，并部分扩散</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0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已造成环境污染，并大面积扩散</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50"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1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jc w:val="center"/>
        </w:trPr>
        <w:tc>
          <w:tcPr>
            <w:tcW w:w="125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1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jc w:val="center"/>
        </w:trPr>
        <w:tc>
          <w:tcPr>
            <w:tcW w:w="125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1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jc w:val="center"/>
        </w:trPr>
        <w:tc>
          <w:tcPr>
            <w:tcW w:w="125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1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jc w:val="center"/>
        </w:trPr>
        <w:tc>
          <w:tcPr>
            <w:tcW w:w="1250"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1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092"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jc w:val="center"/>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092"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登记管理</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重点管理</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50"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val="en-US"/>
              </w:rPr>
              <w:t>改正时间</w:t>
            </w:r>
          </w:p>
        </w:tc>
        <w:tc>
          <w:tcPr>
            <w:tcW w:w="5092"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kern w:val="2"/>
                <w:sz w:val="21"/>
                <w:szCs w:val="21"/>
                <w:shd w:val="clear" w:color="auto" w:fill="auto"/>
                <w:lang w:eastAsia="zh-CN"/>
              </w:rPr>
              <w:t>限期改正</w:t>
            </w:r>
          </w:p>
        </w:tc>
        <w:tc>
          <w:tcPr>
            <w:tcW w:w="26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250"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3天以下</w:t>
            </w:r>
          </w:p>
        </w:tc>
        <w:tc>
          <w:tcPr>
            <w:tcW w:w="26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250"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616" w:type="dxa"/>
            <w:vAlign w:val="center"/>
          </w:tcPr>
          <w:p>
            <w:pPr>
              <w:shd w:val="clear" w:color="auto" w:fill="auto"/>
              <w:snapToGrid w:val="0"/>
              <w:spacing w:before="0" w:beforeAutospacing="0" w:after="0" w:afterAutospacing="0" w:line="300" w:lineRule="exact"/>
              <w:ind w:left="0" w:right="0"/>
              <w:jc w:val="center"/>
              <w:rPr>
                <w:rFonts w:hint="eastAsia"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250"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26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受处罚次数</w:t>
            </w:r>
          </w:p>
        </w:tc>
        <w:tc>
          <w:tcPr>
            <w:tcW w:w="5092"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两年内未受到过同类处罚</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两年内受到同类处罚1次</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两年内受到同类处罚2次以上</w:t>
            </w:r>
          </w:p>
        </w:tc>
        <w:tc>
          <w:tcPr>
            <w:tcW w:w="26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5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9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25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9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08" w:type="dxa"/>
            <w:gridSpan w:val="2"/>
            <w:vAlign w:val="center"/>
          </w:tcPr>
          <w:p>
            <w:pPr>
              <w:shd w:val="clear" w:color="auto" w:fill="auto"/>
              <w:snapToGrid w:val="0"/>
              <w:spacing w:before="0" w:beforeAutospacing="0" w:after="0" w:afterAutospacing="0" w:line="320" w:lineRule="exact"/>
              <w:ind w:left="0" w:right="0" w:firstLine="420"/>
              <w:jc w:val="left"/>
              <w:rPr>
                <w:rFonts w:hint="default" w:ascii="Times New Roman" w:hAnsi="Times New Roman" w:cs="Times New Roman"/>
                <w:color w:val="auto"/>
                <w:sz w:val="20"/>
                <w:szCs w:val="20"/>
                <w:shd w:val="clear" w:color="auto" w:fill="auto"/>
              </w:rPr>
            </w:pPr>
          </w:p>
        </w:tc>
      </w:tr>
    </w:tbl>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465"/>
        <w:gridCol w:w="2227"/>
      </w:tblGrid>
      <w:tr>
        <w:trPr>
          <w:trHeight w:val="397" w:hRule="atLeast"/>
          <w:jc w:val="center"/>
        </w:trPr>
        <w:tc>
          <w:tcPr>
            <w:tcW w:w="9060" w:type="dxa"/>
            <w:gridSpan w:val="3"/>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jc w:val="center"/>
        </w:trPr>
        <w:tc>
          <w:tcPr>
            <w:tcW w:w="1368"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wordWrap/>
              <w:adjustRightInd/>
              <w:snapToGrid w:val="0"/>
              <w:spacing w:before="0" w:beforeAutospacing="0" w:after="0" w:afterAutospacing="0" w:line="30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364" w:name="_Toc20873"/>
            <w:r>
              <w:rPr>
                <w:rFonts w:hint="default" w:ascii="Times New Roman" w:hAnsi="Times New Roman" w:cs="Times New Roman"/>
                <w:color w:val="auto"/>
                <w:sz w:val="20"/>
                <w:szCs w:val="20"/>
                <w:shd w:val="clear" w:color="auto" w:fill="auto"/>
              </w:rPr>
              <w:t>45</w:t>
            </w:r>
            <w:bookmarkEnd w:id="364"/>
          </w:p>
        </w:tc>
      </w:tr>
      <w:tr>
        <w:trPr>
          <w:trHeight w:val="397" w:hRule="atLeast"/>
          <w:jc w:val="center"/>
        </w:trPr>
        <w:tc>
          <w:tcPr>
            <w:tcW w:w="1368"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69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00" w:lineRule="exact"/>
              <w:ind w:left="0" w:right="0" w:firstLine="420" w:firstLineChars="200"/>
              <w:textAlignment w:val="auto"/>
              <w:outlineLvl w:val="9"/>
              <w:rPr>
                <w:rFonts w:hint="default" w:ascii="Times New Roman" w:hAnsi="Times New Roman" w:cs="Times New Roman"/>
                <w:color w:val="auto"/>
                <w:kern w:val="0"/>
                <w:sz w:val="20"/>
                <w:szCs w:val="20"/>
                <w:shd w:val="clear" w:color="auto" w:fill="auto"/>
              </w:rPr>
            </w:pPr>
            <w:bookmarkStart w:id="365" w:name="_Toc25720"/>
            <w:r>
              <w:rPr>
                <w:rFonts w:hint="default" w:ascii="Times New Roman" w:hAnsi="Times New Roman" w:cs="Times New Roman"/>
                <w:color w:val="auto"/>
                <w:kern w:val="0"/>
                <w:sz w:val="20"/>
                <w:szCs w:val="20"/>
                <w:shd w:val="clear" w:color="auto" w:fill="auto"/>
              </w:rPr>
              <w:t>废旧金属熔炼单位未对废旧金属进行放射性</w:t>
            </w:r>
            <w:r>
              <w:rPr>
                <w:rFonts w:hint="default" w:ascii="Times New Roman" w:hAnsi="Times New Roman" w:cs="Times New Roman"/>
                <w:color w:val="auto"/>
                <w:kern w:val="0"/>
                <w:sz w:val="20"/>
                <w:szCs w:val="20"/>
                <w:shd w:val="clear" w:color="auto" w:fill="auto"/>
                <w:lang w:val="en-US"/>
              </w:rPr>
              <w:t>监</w:t>
            </w:r>
            <w:r>
              <w:rPr>
                <w:rFonts w:hint="default" w:ascii="Times New Roman" w:hAnsi="Times New Roman" w:cs="Times New Roman"/>
                <w:color w:val="auto"/>
                <w:kern w:val="0"/>
                <w:sz w:val="20"/>
                <w:szCs w:val="20"/>
                <w:shd w:val="clear" w:color="auto" w:fill="auto"/>
              </w:rPr>
              <w:t>测，或者发现检测结果异常未如实报告的</w:t>
            </w:r>
            <w:bookmarkEnd w:id="365"/>
          </w:p>
        </w:tc>
      </w:tr>
      <w:tr>
        <w:trPr>
          <w:trHeight w:val="397" w:hRule="atLeast"/>
          <w:jc w:val="center"/>
        </w:trPr>
        <w:tc>
          <w:tcPr>
            <w:tcW w:w="1368"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00" w:lineRule="exact"/>
              <w:ind w:left="0" w:right="0" w:firstLine="422" w:firstLineChars="200"/>
              <w:jc w:val="left"/>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《河南省辐射污染防治条例》第二十条</w:t>
            </w:r>
            <w:r>
              <w:rPr>
                <w:rFonts w:hint="default" w:ascii="Times New Roman" w:hAnsi="Times New Roman" w:cs="Times New Roman"/>
                <w:color w:val="auto"/>
                <w:kern w:val="0"/>
                <w:sz w:val="20"/>
                <w:szCs w:val="20"/>
                <w:shd w:val="clear" w:color="auto" w:fill="auto"/>
              </w:rPr>
              <w:t xml:space="preserve"> 废旧金属熔炼单位，应当建立辐射监测系统，配备辐射监测人员，健全监测档案。在废旧金属原料入炉前、产品出厂前进行辐射监测;发现监测结果异常的，应当立即采取相应控制措施，并在四小时内向所在地县级以上人民政府环境保护行政主管部门报告。</w:t>
            </w:r>
          </w:p>
        </w:tc>
      </w:tr>
      <w:tr>
        <w:trPr>
          <w:trHeight w:val="397" w:hRule="atLeast"/>
          <w:jc w:val="center"/>
        </w:trPr>
        <w:tc>
          <w:tcPr>
            <w:tcW w:w="1368"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00" w:lineRule="exact"/>
              <w:ind w:left="0" w:right="0" w:firstLine="422" w:firstLineChars="200"/>
              <w:jc w:val="left"/>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《河南省辐射污染防治条例》第四十二条第（四）项 </w:t>
            </w:r>
            <w:r>
              <w:rPr>
                <w:rFonts w:hint="default" w:ascii="Times New Roman" w:hAnsi="Times New Roman" w:cs="Times New Roman"/>
                <w:color w:val="auto"/>
                <w:kern w:val="0"/>
                <w:sz w:val="20"/>
                <w:szCs w:val="20"/>
                <w:shd w:val="clear" w:color="auto" w:fill="auto"/>
              </w:rPr>
              <w:t>放射性辐射单位有下列行为之一的，由县级以上人民政府环境保护行政主管部门责令限期改正，并按照下列规定给予处罚:</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300" w:lineRule="exact"/>
              <w:ind w:left="0" w:right="0" w:firstLine="420" w:firstLineChars="200"/>
              <w:jc w:val="left"/>
              <w:textAlignment w:val="auto"/>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(四)违反本条例第二十条规定，未对废旧金属进行放射性监测，或者发现监测结果异常未及时报告的，处一万元以上三万元以下的罚款。</w:t>
            </w:r>
          </w:p>
        </w:tc>
      </w:tr>
      <w:tr>
        <w:trPr>
          <w:trHeight w:val="369" w:hRule="atLeast"/>
          <w:jc w:val="center"/>
        </w:trPr>
        <w:tc>
          <w:tcPr>
            <w:tcW w:w="1368"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4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22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57" w:hRule="atLeast"/>
          <w:jc w:val="center"/>
        </w:trPr>
        <w:tc>
          <w:tcPr>
            <w:tcW w:w="1368"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4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已规范检测，但未报告异常监测结果的</w:t>
            </w:r>
          </w:p>
        </w:tc>
        <w:tc>
          <w:tcPr>
            <w:tcW w:w="222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57" w:hRule="atLeast"/>
          <w:jc w:val="center"/>
        </w:trPr>
        <w:tc>
          <w:tcPr>
            <w:tcW w:w="1368"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w:t>
            </w:r>
            <w:r>
              <w:rPr>
                <w:rFonts w:hint="default" w:ascii="Times New Roman" w:hAnsi="Times New Roman" w:cs="Times New Roman"/>
                <w:color w:val="auto"/>
                <w:sz w:val="20"/>
                <w:szCs w:val="20"/>
                <w:shd w:val="clear" w:color="auto" w:fill="auto"/>
                <w:lang w:val="en-US"/>
              </w:rPr>
              <w:t>监</w:t>
            </w:r>
            <w:r>
              <w:rPr>
                <w:rFonts w:hint="default" w:ascii="Times New Roman" w:hAnsi="Times New Roman" w:cs="Times New Roman"/>
                <w:color w:val="auto"/>
                <w:sz w:val="20"/>
                <w:szCs w:val="20"/>
                <w:shd w:val="clear" w:color="auto" w:fill="auto"/>
              </w:rPr>
              <w:t>测的</w:t>
            </w:r>
          </w:p>
        </w:tc>
        <w:tc>
          <w:tcPr>
            <w:tcW w:w="222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57" w:hRule="atLeast"/>
          <w:jc w:val="center"/>
        </w:trPr>
        <w:tc>
          <w:tcPr>
            <w:tcW w:w="1368"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地点</w:t>
            </w:r>
          </w:p>
        </w:tc>
        <w:tc>
          <w:tcPr>
            <w:tcW w:w="54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符合环境功能区划</w:t>
            </w:r>
          </w:p>
        </w:tc>
        <w:tc>
          <w:tcPr>
            <w:tcW w:w="222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57" w:hRule="atLeast"/>
          <w:jc w:val="center"/>
        </w:trPr>
        <w:tc>
          <w:tcPr>
            <w:tcW w:w="1368"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不符合环境功能区划，但不在保护区内符合环境功能区划</w:t>
            </w:r>
          </w:p>
        </w:tc>
        <w:tc>
          <w:tcPr>
            <w:tcW w:w="222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57" w:hRule="atLeast"/>
          <w:jc w:val="center"/>
        </w:trPr>
        <w:tc>
          <w:tcPr>
            <w:tcW w:w="1368"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饮用水水源准保护区</w:t>
            </w:r>
          </w:p>
        </w:tc>
        <w:tc>
          <w:tcPr>
            <w:tcW w:w="222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57" w:hRule="atLeast"/>
          <w:jc w:val="center"/>
        </w:trPr>
        <w:tc>
          <w:tcPr>
            <w:tcW w:w="1368"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位于自然保护区实验区/饮用水水源二级保护区</w:t>
            </w:r>
          </w:p>
        </w:tc>
        <w:tc>
          <w:tcPr>
            <w:tcW w:w="222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57" w:hRule="atLeast"/>
          <w:jc w:val="center"/>
        </w:trPr>
        <w:tc>
          <w:tcPr>
            <w:tcW w:w="1368"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位于自然保护区缓冲区/位于自然保护区核心区/饮用水水源一级保护区</w:t>
            </w:r>
          </w:p>
        </w:tc>
        <w:tc>
          <w:tcPr>
            <w:tcW w:w="222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57" w:hRule="atLeast"/>
          <w:jc w:val="center"/>
        </w:trPr>
        <w:tc>
          <w:tcPr>
            <w:tcW w:w="1368"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对环境的</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影响程度</w:t>
            </w:r>
          </w:p>
        </w:tc>
        <w:tc>
          <w:tcPr>
            <w:tcW w:w="54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尚未造成环境污染</w:t>
            </w:r>
          </w:p>
        </w:tc>
        <w:tc>
          <w:tcPr>
            <w:tcW w:w="222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57" w:hRule="atLeast"/>
          <w:jc w:val="center"/>
        </w:trPr>
        <w:tc>
          <w:tcPr>
            <w:tcW w:w="1368"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已造成环境污染，尚未扩散</w:t>
            </w:r>
          </w:p>
        </w:tc>
        <w:tc>
          <w:tcPr>
            <w:tcW w:w="222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57" w:hRule="atLeast"/>
          <w:jc w:val="center"/>
        </w:trPr>
        <w:tc>
          <w:tcPr>
            <w:tcW w:w="1368"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已造成环境污染，并部分扩散</w:t>
            </w:r>
          </w:p>
        </w:tc>
        <w:tc>
          <w:tcPr>
            <w:tcW w:w="222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57" w:hRule="atLeast"/>
          <w:jc w:val="center"/>
        </w:trPr>
        <w:tc>
          <w:tcPr>
            <w:tcW w:w="1368"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i w:val="0"/>
                <w:iCs w:val="0"/>
                <w:caps w:val="0"/>
                <w:color w:val="auto"/>
                <w:spacing w:val="0"/>
                <w:sz w:val="19"/>
                <w:szCs w:val="19"/>
                <w:shd w:val="clear" w:color="auto" w:fill="auto"/>
              </w:rPr>
            </w:pPr>
            <w:r>
              <w:rPr>
                <w:rFonts w:hint="default" w:ascii="Times New Roman" w:hAnsi="Times New Roman" w:cs="Times New Roman"/>
                <w:color w:val="auto"/>
                <w:sz w:val="20"/>
                <w:szCs w:val="20"/>
                <w:shd w:val="clear" w:color="auto" w:fill="auto"/>
              </w:rPr>
              <w:t>已造成环境污染，并大面积扩散</w:t>
            </w:r>
          </w:p>
        </w:tc>
        <w:tc>
          <w:tcPr>
            <w:tcW w:w="222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57" w:hRule="atLeast"/>
          <w:jc w:val="center"/>
        </w:trPr>
        <w:tc>
          <w:tcPr>
            <w:tcW w:w="1368"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465" w:type="dxa"/>
            <w:vAlign w:val="center"/>
          </w:tcPr>
          <w:p>
            <w:pPr>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22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57" w:hRule="atLeast"/>
          <w:jc w:val="center"/>
        </w:trPr>
        <w:tc>
          <w:tcPr>
            <w:tcW w:w="1368"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65" w:type="dxa"/>
            <w:vAlign w:val="center"/>
          </w:tcPr>
          <w:p>
            <w:pPr>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22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57" w:hRule="atLeast"/>
          <w:jc w:val="center"/>
        </w:trPr>
        <w:tc>
          <w:tcPr>
            <w:tcW w:w="1368"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65" w:type="dxa"/>
            <w:vAlign w:val="center"/>
          </w:tcPr>
          <w:p>
            <w:pPr>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22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57" w:hRule="atLeast"/>
          <w:jc w:val="center"/>
        </w:trPr>
        <w:tc>
          <w:tcPr>
            <w:tcW w:w="1368"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65" w:type="dxa"/>
            <w:vAlign w:val="center"/>
          </w:tcPr>
          <w:p>
            <w:pPr>
              <w:wordWrap/>
              <w:adjustRightInd/>
              <w:snapToGrid w:val="0"/>
              <w:spacing w:before="0" w:beforeAutospacing="0" w:after="0" w:afterAutospacing="0" w:line="300" w:lineRule="exact"/>
              <w:ind w:left="0" w:right="0" w:firstLine="0" w:firstLineChars="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22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57" w:hRule="atLeast"/>
          <w:jc w:val="center"/>
        </w:trPr>
        <w:tc>
          <w:tcPr>
            <w:tcW w:w="1368"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465" w:type="dxa"/>
            <w:vAlign w:val="center"/>
          </w:tcPr>
          <w:p>
            <w:pPr>
              <w:shd w:val="clear" w:color="auto" w:fill="auto"/>
              <w:wordWrap/>
              <w:adjustRightInd/>
              <w:snapToGrid w:val="0"/>
              <w:spacing w:before="0" w:beforeAutospacing="0" w:after="0" w:afterAutospacing="0" w:line="300" w:lineRule="exact"/>
              <w:ind w:left="0" w:right="0" w:firstLine="2100" w:firstLineChars="1000"/>
              <w:jc w:val="both"/>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登记管理</w:t>
            </w:r>
          </w:p>
        </w:tc>
        <w:tc>
          <w:tcPr>
            <w:tcW w:w="222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57" w:hRule="atLeast"/>
          <w:jc w:val="center"/>
        </w:trPr>
        <w:tc>
          <w:tcPr>
            <w:tcW w:w="1368"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22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57" w:hRule="atLeast"/>
          <w:jc w:val="center"/>
        </w:trPr>
        <w:tc>
          <w:tcPr>
            <w:tcW w:w="1368"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65" w:type="dxa"/>
            <w:vAlign w:val="center"/>
          </w:tcPr>
          <w:p>
            <w:pPr>
              <w:shd w:val="clear" w:color="auto" w:fill="auto"/>
              <w:wordWrap/>
              <w:adjustRightInd/>
              <w:snapToGrid w:val="0"/>
              <w:spacing w:before="0" w:beforeAutospacing="0" w:after="0" w:afterAutospacing="0" w:line="300" w:lineRule="exact"/>
              <w:ind w:left="0" w:right="0" w:firstLine="2100" w:firstLineChars="1000"/>
              <w:jc w:val="both"/>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重点管理</w:t>
            </w:r>
          </w:p>
        </w:tc>
        <w:tc>
          <w:tcPr>
            <w:tcW w:w="2227"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57" w:hRule="atLeast"/>
          <w:jc w:val="center"/>
        </w:trPr>
        <w:tc>
          <w:tcPr>
            <w:tcW w:w="1368" w:type="dxa"/>
            <w:vMerge w:val="restart"/>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465"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227"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57" w:hRule="atLeast"/>
          <w:jc w:val="center"/>
        </w:trPr>
        <w:tc>
          <w:tcPr>
            <w:tcW w:w="1368"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465"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227"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57" w:hRule="atLeast"/>
          <w:jc w:val="center"/>
        </w:trPr>
        <w:tc>
          <w:tcPr>
            <w:tcW w:w="1368"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465"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227"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57" w:hRule="atLeast"/>
          <w:jc w:val="center"/>
        </w:trPr>
        <w:tc>
          <w:tcPr>
            <w:tcW w:w="1368"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465"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227"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57" w:hRule="atLeast"/>
          <w:jc w:val="center"/>
        </w:trPr>
        <w:tc>
          <w:tcPr>
            <w:tcW w:w="1368"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465"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227"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val="en-US"/>
              </w:rPr>
              <w:t>改正时间</w:t>
            </w:r>
          </w:p>
        </w:tc>
        <w:tc>
          <w:tcPr>
            <w:tcW w:w="5465"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kern w:val="2"/>
                <w:sz w:val="21"/>
                <w:szCs w:val="21"/>
                <w:shd w:val="clear" w:color="auto" w:fill="auto"/>
                <w:lang w:eastAsia="zh-CN"/>
              </w:rPr>
              <w:t>限期改正</w:t>
            </w:r>
          </w:p>
        </w:tc>
        <w:tc>
          <w:tcPr>
            <w:tcW w:w="222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4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22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222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4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222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4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22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22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22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4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22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22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22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22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5382"/>
        <w:gridCol w:w="2414"/>
      </w:tblGrid>
      <w:tr>
        <w:trPr>
          <w:trHeight w:val="340" w:hRule="atLeast"/>
          <w:jc w:val="center"/>
        </w:trPr>
        <w:tc>
          <w:tcPr>
            <w:tcW w:w="9060" w:type="dxa"/>
            <w:gridSpan w:val="3"/>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40" w:hRule="atLeast"/>
          <w:jc w:val="center"/>
        </w:trPr>
        <w:tc>
          <w:tcPr>
            <w:tcW w:w="126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96" w:type="dxa"/>
            <w:gridSpan w:val="2"/>
            <w:vAlign w:val="center"/>
          </w:tcPr>
          <w:p>
            <w:pPr>
              <w:shd w:val="clear" w:color="auto" w:fill="auto"/>
              <w:wordWrap/>
              <w:adjustRightInd/>
              <w:snapToGrid w:val="0"/>
              <w:spacing w:before="0" w:beforeAutospacing="0" w:after="0" w:afterAutospacing="0" w:line="28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366" w:name="_Toc26517"/>
            <w:r>
              <w:rPr>
                <w:rFonts w:hint="default" w:ascii="Times New Roman" w:hAnsi="Times New Roman" w:cs="Times New Roman"/>
                <w:color w:val="auto"/>
                <w:sz w:val="20"/>
                <w:szCs w:val="20"/>
                <w:shd w:val="clear" w:color="auto" w:fill="auto"/>
              </w:rPr>
              <w:t>46</w:t>
            </w:r>
            <w:bookmarkEnd w:id="366"/>
          </w:p>
        </w:tc>
      </w:tr>
      <w:tr>
        <w:trPr>
          <w:trHeight w:val="340" w:hRule="atLeast"/>
          <w:jc w:val="center"/>
        </w:trPr>
        <w:tc>
          <w:tcPr>
            <w:tcW w:w="126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796"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280" w:lineRule="exact"/>
              <w:ind w:left="0" w:right="0" w:firstLine="420" w:firstLineChars="200"/>
              <w:textAlignment w:val="auto"/>
              <w:outlineLvl w:val="9"/>
              <w:rPr>
                <w:rFonts w:hint="default" w:ascii="Times New Roman" w:hAnsi="Times New Roman" w:cs="Times New Roman"/>
                <w:color w:val="auto"/>
                <w:kern w:val="0"/>
                <w:sz w:val="20"/>
                <w:szCs w:val="20"/>
                <w:shd w:val="clear" w:color="auto" w:fill="auto"/>
              </w:rPr>
            </w:pPr>
            <w:bookmarkStart w:id="367" w:name="_Toc20464"/>
            <w:r>
              <w:rPr>
                <w:rFonts w:hint="default" w:ascii="Times New Roman" w:hAnsi="Times New Roman" w:cs="Times New Roman"/>
                <w:color w:val="auto"/>
                <w:kern w:val="0"/>
                <w:sz w:val="20"/>
                <w:szCs w:val="20"/>
                <w:shd w:val="clear" w:color="auto" w:fill="auto"/>
              </w:rPr>
              <w:t>拥有电磁辐射设施、设备的单位未按照规定进行申报登记，或者使用电磁辐射设施、设备的单位未按照规定采取有效的漏能控制措施和屏蔽措施的</w:t>
            </w:r>
            <w:bookmarkEnd w:id="367"/>
          </w:p>
        </w:tc>
      </w:tr>
      <w:tr>
        <w:trPr>
          <w:trHeight w:val="340" w:hRule="atLeast"/>
          <w:jc w:val="center"/>
        </w:trPr>
        <w:tc>
          <w:tcPr>
            <w:tcW w:w="126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96"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280" w:lineRule="exact"/>
              <w:ind w:left="0" w:right="0" w:firstLine="422" w:firstLineChars="200"/>
              <w:jc w:val="left"/>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《河南省辐射污染防治条例》第二十五条</w:t>
            </w:r>
            <w:r>
              <w:rPr>
                <w:rFonts w:hint="default" w:ascii="Times New Roman" w:hAnsi="Times New Roman" w:cs="Times New Roman"/>
                <w:color w:val="auto"/>
                <w:kern w:val="0"/>
                <w:sz w:val="20"/>
                <w:szCs w:val="20"/>
                <w:shd w:val="clear" w:color="auto" w:fill="auto"/>
              </w:rPr>
              <w:t xml:space="preserve"> 拥有国家规定需要申报的电磁辐射设施、设备的单位，应当向环境保护行政主管部门申报登记，并提供有关技术参数和技术资料。</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280" w:lineRule="exact"/>
              <w:ind w:left="0" w:right="0" w:firstLine="422" w:firstLineChars="200"/>
              <w:jc w:val="left"/>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《河南省辐射污染防治条例》第二十六条 </w:t>
            </w:r>
            <w:r>
              <w:rPr>
                <w:rFonts w:hint="default" w:ascii="Times New Roman" w:hAnsi="Times New Roman" w:cs="Times New Roman"/>
                <w:color w:val="auto"/>
                <w:kern w:val="0"/>
                <w:sz w:val="20"/>
                <w:szCs w:val="20"/>
                <w:shd w:val="clear" w:color="auto" w:fill="auto"/>
              </w:rPr>
              <w:t>在工业、科研、医疗、交通运输等活动中使用电磁辐射设施、设备的单位，应当采取有效的漏能控制措施和屏蔽措施，并定期评估电磁辐射设施、设备的防护性能。发现防护性能存在隐患的，应当立即停止使用并整改，整改合格后方可继续使用。</w:t>
            </w:r>
          </w:p>
        </w:tc>
      </w:tr>
      <w:tr>
        <w:trPr>
          <w:trHeight w:val="340" w:hRule="atLeast"/>
          <w:jc w:val="center"/>
        </w:trPr>
        <w:tc>
          <w:tcPr>
            <w:tcW w:w="126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96" w:type="dxa"/>
            <w:gridSpan w:val="2"/>
            <w:vAlign w:val="center"/>
          </w:tcPr>
          <w:p>
            <w:pPr>
              <w:widowControl/>
              <w:shd w:val="clear" w:color="auto" w:fill="auto"/>
              <w:wordWrap/>
              <w:adjustRightInd/>
              <w:snapToGrid w:val="0"/>
              <w:spacing w:before="0" w:beforeAutospacing="0" w:after="0" w:afterAutospacing="0" w:line="280" w:lineRule="exact"/>
              <w:ind w:left="0" w:right="0" w:firstLine="422" w:firstLineChars="200"/>
              <w:jc w:val="left"/>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《河南省辐射污染防治条例》第四十三条 </w:t>
            </w:r>
            <w:r>
              <w:rPr>
                <w:rFonts w:hint="default" w:ascii="Times New Roman" w:hAnsi="Times New Roman" w:cs="Times New Roman"/>
                <w:color w:val="auto"/>
                <w:kern w:val="0"/>
                <w:sz w:val="20"/>
                <w:szCs w:val="20"/>
                <w:shd w:val="clear" w:color="auto" w:fill="auto"/>
              </w:rPr>
              <w:t>拥有电磁辐射设施、设备的单位未按照本条例第二十五条规定进行申报登记，或者使用电磁辐射设施、设备的单位未按照本条例第二十六条规定采取有效的漏能控制措施和屏蔽措施的，由县级以上人民政府环境保护行政主管部门责令限期改正，并处一万元以上五万元以下的罚款。</w:t>
            </w:r>
          </w:p>
        </w:tc>
      </w:tr>
      <w:tr>
        <w:trPr>
          <w:trHeight w:val="386" w:hRule="atLeast"/>
          <w:jc w:val="center"/>
        </w:trPr>
        <w:tc>
          <w:tcPr>
            <w:tcW w:w="126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38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41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86" w:hRule="atLeast"/>
          <w:jc w:val="center"/>
        </w:trPr>
        <w:tc>
          <w:tcPr>
            <w:tcW w:w="1264"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w:t>
            </w:r>
          </w:p>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建设地点</w:t>
            </w:r>
          </w:p>
        </w:tc>
        <w:tc>
          <w:tcPr>
            <w:tcW w:w="538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符合环境功能区划</w:t>
            </w:r>
          </w:p>
        </w:tc>
        <w:tc>
          <w:tcPr>
            <w:tcW w:w="241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jc w:val="center"/>
        </w:trPr>
        <w:tc>
          <w:tcPr>
            <w:tcW w:w="1264"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38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不符合环境功能区划，但不在保护区内符合环境功能区划</w:t>
            </w:r>
          </w:p>
        </w:tc>
        <w:tc>
          <w:tcPr>
            <w:tcW w:w="241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86" w:hRule="atLeast"/>
          <w:jc w:val="center"/>
        </w:trPr>
        <w:tc>
          <w:tcPr>
            <w:tcW w:w="1264"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38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饮用水水源准保护区</w:t>
            </w:r>
          </w:p>
        </w:tc>
        <w:tc>
          <w:tcPr>
            <w:tcW w:w="241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jc w:val="center"/>
        </w:trPr>
        <w:tc>
          <w:tcPr>
            <w:tcW w:w="1264"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38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位于自然保护区实验区/饮用水水源二级保护区</w:t>
            </w:r>
          </w:p>
        </w:tc>
        <w:tc>
          <w:tcPr>
            <w:tcW w:w="241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86" w:hRule="atLeast"/>
          <w:jc w:val="center"/>
        </w:trPr>
        <w:tc>
          <w:tcPr>
            <w:tcW w:w="1264"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38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位于自然保护区缓冲区/位于自然保护区核心区/饮用水水源一级保护区</w:t>
            </w:r>
          </w:p>
        </w:tc>
        <w:tc>
          <w:tcPr>
            <w:tcW w:w="241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jc w:val="center"/>
        </w:trPr>
        <w:tc>
          <w:tcPr>
            <w:tcW w:w="1264"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38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41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jc w:val="center"/>
        </w:trPr>
        <w:tc>
          <w:tcPr>
            <w:tcW w:w="1264"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38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41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86" w:hRule="atLeast"/>
          <w:jc w:val="center"/>
        </w:trPr>
        <w:tc>
          <w:tcPr>
            <w:tcW w:w="1264"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38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41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jc w:val="center"/>
        </w:trPr>
        <w:tc>
          <w:tcPr>
            <w:tcW w:w="1264"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38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41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386" w:hRule="atLeast"/>
          <w:jc w:val="center"/>
        </w:trPr>
        <w:tc>
          <w:tcPr>
            <w:tcW w:w="1264" w:type="dxa"/>
            <w:vMerge w:val="restart"/>
            <w:tcMar>
              <w:left w:w="57" w:type="dxa"/>
              <w:right w:w="57" w:type="dxa"/>
            </w:tcMar>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对社会影响或环境污染、生态环境破坏程度</w:t>
            </w:r>
          </w:p>
        </w:tc>
        <w:tc>
          <w:tcPr>
            <w:tcW w:w="5382"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未造成社会影响与环境污染、生态环境破坏的</w:t>
            </w:r>
          </w:p>
        </w:tc>
        <w:tc>
          <w:tcPr>
            <w:tcW w:w="241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jc w:val="center"/>
        </w:trPr>
        <w:tc>
          <w:tcPr>
            <w:tcW w:w="1264"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382"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kern w:val="0"/>
                <w:sz w:val="20"/>
                <w:szCs w:val="20"/>
                <w:shd w:val="clear" w:color="auto" w:fill="auto"/>
              </w:rPr>
              <w:t>造成社会影响或环境污染、生态环境破坏轻微的</w:t>
            </w:r>
          </w:p>
        </w:tc>
        <w:tc>
          <w:tcPr>
            <w:tcW w:w="241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jc w:val="center"/>
        </w:trPr>
        <w:tc>
          <w:tcPr>
            <w:tcW w:w="1264"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382"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kern w:val="0"/>
                <w:sz w:val="20"/>
                <w:szCs w:val="20"/>
                <w:shd w:val="clear" w:color="auto" w:fill="auto"/>
              </w:rPr>
              <w:t>造成社会影响或环境污染、生态环境破坏严重的</w:t>
            </w:r>
          </w:p>
        </w:tc>
        <w:tc>
          <w:tcPr>
            <w:tcW w:w="241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jc w:val="center"/>
        </w:trPr>
        <w:tc>
          <w:tcPr>
            <w:tcW w:w="1264"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382"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color w:val="auto"/>
                <w:kern w:val="2"/>
                <w:sz w:val="21"/>
                <w:szCs w:val="21"/>
                <w:shd w:val="clear" w:color="auto" w:fill="auto"/>
                <w:lang/>
              </w:rPr>
            </w:pPr>
            <w:r>
              <w:rPr>
                <w:rFonts w:hint="eastAsia" w:ascii="Times New Roman" w:hAnsi="Times New Roman" w:cs="Times New Roman"/>
                <w:color w:val="auto"/>
                <w:kern w:val="2"/>
                <w:sz w:val="21"/>
                <w:szCs w:val="21"/>
                <w:shd w:val="clear" w:color="auto" w:fill="auto"/>
                <w:lang w:eastAsia="zh-CN"/>
              </w:rPr>
              <w:t>限期改正</w:t>
            </w:r>
          </w:p>
        </w:tc>
        <w:tc>
          <w:tcPr>
            <w:tcW w:w="241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86" w:hRule="atLeast"/>
          <w:jc w:val="center"/>
        </w:trPr>
        <w:tc>
          <w:tcPr>
            <w:tcW w:w="1264"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38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41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86" w:hRule="atLeast"/>
          <w:jc w:val="center"/>
        </w:trPr>
        <w:tc>
          <w:tcPr>
            <w:tcW w:w="1264"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38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3天以上7天以下</w:t>
            </w:r>
          </w:p>
        </w:tc>
        <w:tc>
          <w:tcPr>
            <w:tcW w:w="241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86" w:hRule="atLeast"/>
          <w:jc w:val="center"/>
        </w:trPr>
        <w:tc>
          <w:tcPr>
            <w:tcW w:w="1264"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38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7天以上</w:t>
            </w:r>
          </w:p>
        </w:tc>
        <w:tc>
          <w:tcPr>
            <w:tcW w:w="2414"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86" w:hRule="atLeast"/>
          <w:jc w:val="center"/>
        </w:trPr>
        <w:tc>
          <w:tcPr>
            <w:tcW w:w="1264" w:type="dxa"/>
            <w:vMerge w:val="restart"/>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382"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414"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86" w:hRule="atLeast"/>
          <w:jc w:val="center"/>
        </w:trPr>
        <w:tc>
          <w:tcPr>
            <w:tcW w:w="1264" w:type="dxa"/>
            <w:vMerge w:val="continue"/>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382"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414"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86" w:hRule="atLeast"/>
          <w:jc w:val="center"/>
        </w:trPr>
        <w:tc>
          <w:tcPr>
            <w:tcW w:w="1264" w:type="dxa"/>
            <w:vMerge w:val="continue"/>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382"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414"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86" w:hRule="atLeast"/>
          <w:jc w:val="center"/>
        </w:trPr>
        <w:tc>
          <w:tcPr>
            <w:tcW w:w="1264" w:type="dxa"/>
            <w:vMerge w:val="continue"/>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382"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414"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86" w:hRule="atLeast"/>
          <w:jc w:val="center"/>
        </w:trPr>
        <w:tc>
          <w:tcPr>
            <w:tcW w:w="1264" w:type="dxa"/>
            <w:vMerge w:val="continue"/>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382"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414"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40"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次数</w:t>
            </w:r>
          </w:p>
        </w:tc>
        <w:tc>
          <w:tcPr>
            <w:tcW w:w="5382"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4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82"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4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82"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41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26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3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41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41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40"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41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40" w:hRule="atLeast"/>
          <w:jc w:val="center"/>
        </w:trPr>
        <w:tc>
          <w:tcPr>
            <w:tcW w:w="126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41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2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96"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p>
        </w:tc>
      </w:tr>
    </w:tbl>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p>
      <w:pPr>
        <w:shd w:val="clear" w:color="auto" w:fill="auto"/>
        <w:snapToGrid w:val="0"/>
        <w:spacing w:line="20" w:lineRule="exact"/>
        <w:rPr>
          <w:rFonts w:hint="default" w:ascii="Times New Roman" w:hAnsi="Times New Roman" w:cs="Times New Roman"/>
          <w:color w:val="auto"/>
          <w:shd w:val="clear" w:color="auto" w:fill="auto"/>
        </w:rPr>
      </w:pP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3"/>
        <w:gridCol w:w="2649"/>
      </w:tblGrid>
      <w:tr>
        <w:trPr>
          <w:trHeight w:val="397"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（六）辐射污染防治类</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368" w:name="_Toc4479"/>
            <w:r>
              <w:rPr>
                <w:rFonts w:hint="default" w:ascii="Times New Roman" w:hAnsi="Times New Roman" w:cs="Times New Roman"/>
                <w:color w:val="auto"/>
                <w:sz w:val="20"/>
                <w:szCs w:val="20"/>
                <w:shd w:val="clear" w:color="auto" w:fill="auto"/>
              </w:rPr>
              <w:t>47</w:t>
            </w:r>
            <w:bookmarkEnd w:id="368"/>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369" w:name="_Toc11747"/>
            <w:r>
              <w:rPr>
                <w:rFonts w:hint="default" w:ascii="Times New Roman" w:hAnsi="Times New Roman" w:cs="Times New Roman"/>
                <w:color w:val="auto"/>
                <w:sz w:val="20"/>
                <w:szCs w:val="20"/>
                <w:shd w:val="clear" w:color="auto" w:fill="auto"/>
              </w:rPr>
              <w:t>擅自拆除或者闲置辐射污染防治设施的</w:t>
            </w:r>
            <w:bookmarkEnd w:id="369"/>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top"/>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kern w:val="2"/>
                <w:sz w:val="21"/>
                <w:szCs w:val="21"/>
                <w:shd w:val="clear" w:color="auto" w:fill="auto"/>
              </w:rPr>
              <w:t>《河南省辐射污染防治条例》第三十三条</w:t>
            </w:r>
            <w:r>
              <w:rPr>
                <w:rFonts w:hint="default" w:ascii="Times New Roman" w:hAnsi="Times New Roman" w:cs="Times New Roman"/>
                <w:color w:val="auto"/>
                <w:sz w:val="21"/>
                <w:szCs w:val="21"/>
                <w:shd w:val="clear" w:color="auto" w:fill="auto"/>
              </w:rPr>
              <w:t xml:space="preserve"> 辐射单位应当按照国家规定标准建设和使用辐射污染防治设施，不得擅自拆除或者闲置;确需拆除或者闲置的，辐射单位应当按有关规定报经县级以上人民政府环境保护行政主管部门同意。</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top"/>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sz w:val="20"/>
                <w:szCs w:val="20"/>
                <w:shd w:val="clear" w:color="auto" w:fill="auto"/>
              </w:rPr>
              <w:t xml:space="preserve">《河南省辐射污染防治条例》第四十四条第（一）项 </w:t>
            </w:r>
            <w:r>
              <w:rPr>
                <w:rFonts w:hint="default" w:ascii="Times New Roman" w:hAnsi="Times New Roman" w:cs="Times New Roman"/>
                <w:color w:val="auto"/>
                <w:kern w:val="0"/>
                <w:sz w:val="20"/>
                <w:szCs w:val="20"/>
                <w:shd w:val="clear" w:color="auto" w:fill="auto"/>
              </w:rPr>
              <w:t>辐射单位有下列情形之一的，由县级以上人民政府环境保护行政主管部门责令限期改正，并按照下列规定给予处罚:</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(一)违反本条例第三十三条规定，擅自拆除或者闲置辐射污染防治设施的，处二万元以上十万元以下的罚款。</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确有必要拆除或者闲置，未经同意擅自拆除或者闲置辐射污染防治设施，并采取措施的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确有必要拆除或者闲置，未经同意擅自拆除或者闲置辐射污染防治设施，且未采取措施的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擅自拆除或者闲置辐射污染防治设施的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种类</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Ⅳ类、Ⅴ类放射源或Ⅲ类射线装置的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Ⅲ类放射源或Ⅱ类射线装置的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Ⅰ类、Ⅱ类放射源或Ⅰ类射线装置的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非密封放射性物质工作场所分类</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丙级工作场所</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乙级工作场所</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甲级工作场所</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对社会影响或环境污染、生态环境破坏程度</w:t>
            </w:r>
          </w:p>
        </w:tc>
        <w:tc>
          <w:tcPr>
            <w:tcW w:w="5043"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未造成社会影响与环境污染、生态环境破坏的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造成社会影响或环境污染、生态环境破坏轻微的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造成社会影响或环境污染、生态环境破坏严重的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043"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043"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登记管理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043"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rPr>
              <w:t>重点管理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val="en-US"/>
              </w:rPr>
              <w:t>改正时间</w:t>
            </w:r>
          </w:p>
        </w:tc>
        <w:tc>
          <w:tcPr>
            <w:tcW w:w="504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kern w:val="2"/>
                <w:sz w:val="21"/>
                <w:szCs w:val="21"/>
                <w:shd w:val="clear" w:color="auto" w:fill="auto"/>
                <w:lang w:eastAsia="zh-CN"/>
              </w:rPr>
              <w:t>限期改正</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04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kern w:val="2"/>
                <w:sz w:val="21"/>
                <w:szCs w:val="21"/>
                <w:shd w:val="clear" w:color="auto" w:fill="auto"/>
              </w:rPr>
              <w:t>两年内受到同类处罚1次</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kern w:val="2"/>
                <w:sz w:val="21"/>
                <w:szCs w:val="21"/>
                <w:shd w:val="clear" w:color="auto" w:fill="auto"/>
              </w:rPr>
              <w:t>两年内受到同类处罚2次以上</w:t>
            </w:r>
          </w:p>
        </w:tc>
        <w:tc>
          <w:tcPr>
            <w:tcW w:w="264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4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p>
    <w:p>
      <w:pPr>
        <w:shd w:val="clear" w:color="auto" w:fill="auto"/>
        <w:snapToGrid w:val="0"/>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4865"/>
        <w:gridCol w:w="2647"/>
      </w:tblGrid>
      <w:tr>
        <w:trPr>
          <w:trHeight w:val="397" w:hRule="atLeast"/>
          <w:jc w:val="center"/>
        </w:trPr>
        <w:tc>
          <w:tcPr>
            <w:tcW w:w="9060" w:type="dxa"/>
            <w:gridSpan w:val="3"/>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bookmarkStart w:id="370" w:name="_Toc25240288"/>
            <w:r>
              <w:rPr>
                <w:rFonts w:hint="default" w:ascii="Times New Roman" w:hAnsi="Times New Roman" w:cs="Times New Roman"/>
                <w:b/>
                <w:bCs/>
                <w:color w:val="auto"/>
                <w:sz w:val="20"/>
                <w:szCs w:val="20"/>
                <w:shd w:val="clear" w:color="auto" w:fill="auto"/>
              </w:rPr>
              <w:t>（六）辐射污染防治类</w:t>
            </w:r>
          </w:p>
        </w:tc>
      </w:tr>
      <w:tr>
        <w:trPr>
          <w:trHeight w:val="397" w:hRule="atLeast"/>
          <w:jc w:val="center"/>
        </w:trPr>
        <w:tc>
          <w:tcPr>
            <w:tcW w:w="1548"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512" w:type="dxa"/>
            <w:gridSpan w:val="2"/>
            <w:vAlign w:val="center"/>
          </w:tcPr>
          <w:p>
            <w:pPr>
              <w:shd w:val="clear" w:color="auto" w:fill="auto"/>
              <w:wordWrap/>
              <w:adjustRightInd/>
              <w:snapToGrid w:val="0"/>
              <w:spacing w:before="0" w:beforeAutospacing="0" w:after="0" w:afterAutospacing="0" w:line="28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371" w:name="_Toc690"/>
            <w:r>
              <w:rPr>
                <w:rFonts w:hint="default" w:ascii="Times New Roman" w:hAnsi="Times New Roman" w:cs="Times New Roman"/>
                <w:color w:val="auto"/>
                <w:sz w:val="20"/>
                <w:szCs w:val="20"/>
                <w:shd w:val="clear" w:color="auto" w:fill="auto"/>
              </w:rPr>
              <w:t>48</w:t>
            </w:r>
            <w:bookmarkEnd w:id="371"/>
          </w:p>
        </w:tc>
      </w:tr>
      <w:tr>
        <w:trPr>
          <w:trHeight w:val="397" w:hRule="atLeast"/>
          <w:jc w:val="center"/>
        </w:trPr>
        <w:tc>
          <w:tcPr>
            <w:tcW w:w="1548"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51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280" w:lineRule="exact"/>
              <w:ind w:left="0" w:right="0" w:firstLine="420" w:firstLineChars="200"/>
              <w:textAlignment w:val="auto"/>
              <w:outlineLvl w:val="9"/>
              <w:rPr>
                <w:rFonts w:hint="default" w:ascii="Times New Roman" w:hAnsi="Times New Roman" w:cs="Times New Roman"/>
                <w:color w:val="auto"/>
                <w:kern w:val="0"/>
                <w:sz w:val="20"/>
                <w:szCs w:val="20"/>
                <w:shd w:val="clear" w:color="auto" w:fill="auto"/>
              </w:rPr>
            </w:pPr>
            <w:bookmarkStart w:id="372" w:name="_Toc24259"/>
            <w:r>
              <w:rPr>
                <w:rFonts w:hint="default" w:ascii="Times New Roman" w:hAnsi="Times New Roman" w:cs="Times New Roman"/>
                <w:color w:val="auto"/>
                <w:kern w:val="0"/>
                <w:sz w:val="20"/>
                <w:szCs w:val="20"/>
                <w:shd w:val="clear" w:color="auto" w:fill="auto"/>
              </w:rPr>
              <w:t>辐射单位未对工作场所以及周围辐射环境进行定期监测的，或者发现异常情况未及时报告的</w:t>
            </w:r>
            <w:bookmarkEnd w:id="372"/>
          </w:p>
        </w:tc>
      </w:tr>
      <w:tr>
        <w:trPr>
          <w:trHeight w:val="397" w:hRule="atLeast"/>
          <w:jc w:val="center"/>
        </w:trPr>
        <w:tc>
          <w:tcPr>
            <w:tcW w:w="1548"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512"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val="0"/>
              <w:spacing w:before="0" w:beforeAutospacing="0" w:after="0" w:afterAutospacing="0" w:line="280" w:lineRule="exact"/>
              <w:ind w:left="0" w:right="0" w:firstLine="422" w:firstLineChars="200"/>
              <w:jc w:val="left"/>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《河南省辐射污染防治条例》第三十四条</w:t>
            </w:r>
            <w:r>
              <w:rPr>
                <w:rFonts w:hint="default" w:ascii="Times New Roman" w:hAnsi="Times New Roman" w:cs="Times New Roman"/>
                <w:color w:val="auto"/>
                <w:kern w:val="0"/>
                <w:sz w:val="20"/>
                <w:szCs w:val="20"/>
                <w:shd w:val="clear" w:color="auto" w:fill="auto"/>
              </w:rPr>
              <w:t xml:space="preserve"> 辐射单位应当建立辐射监测制度，定期对工作场所以及周围辐射环境进行监测或者委托有资质的单位进行监测。发现异常情况的，应当立即采取措施，并向县级以上人民政府环境保护行政主管部门报告。</w:t>
            </w:r>
          </w:p>
        </w:tc>
      </w:tr>
      <w:tr>
        <w:trPr>
          <w:trHeight w:val="397" w:hRule="atLeast"/>
          <w:jc w:val="center"/>
        </w:trPr>
        <w:tc>
          <w:tcPr>
            <w:tcW w:w="1548"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512" w:type="dxa"/>
            <w:gridSpan w:val="2"/>
            <w:vAlign w:val="center"/>
          </w:tcPr>
          <w:p>
            <w:pPr>
              <w:shd w:val="clear" w:color="auto" w:fill="auto"/>
              <w:wordWrap/>
              <w:adjustRightInd/>
              <w:snapToGrid w:val="0"/>
              <w:spacing w:before="0" w:beforeAutospacing="0" w:after="0" w:afterAutospacing="0" w:line="280" w:lineRule="exact"/>
              <w:ind w:left="0" w:right="0" w:firstLine="420"/>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《河南省辐射污染防治条例》第四十四条第（二）项</w:t>
            </w:r>
            <w:r>
              <w:rPr>
                <w:rFonts w:hint="default" w:ascii="Times New Roman" w:hAnsi="Times New Roman" w:cs="Times New Roman"/>
                <w:color w:val="auto"/>
                <w:kern w:val="0"/>
                <w:sz w:val="20"/>
                <w:szCs w:val="20"/>
                <w:shd w:val="clear" w:color="auto" w:fill="auto"/>
              </w:rPr>
              <w:t xml:space="preserve"> 辐射单位有下列情形之一的，由县级以上人民政府环境保护行政主管部门责令限期改正，并按照下列规定给予处罚:</w:t>
            </w:r>
          </w:p>
          <w:p>
            <w:pPr>
              <w:widowControl/>
              <w:shd w:val="clear" w:color="auto" w:fill="auto"/>
              <w:wordWrap/>
              <w:adjustRightInd/>
              <w:snapToGrid w:val="0"/>
              <w:spacing w:before="0" w:beforeAutospacing="0" w:after="0" w:afterAutospacing="0" w:line="280" w:lineRule="exact"/>
              <w:ind w:left="0" w:right="0" w:firstLine="420" w:firstLineChars="200"/>
              <w:jc w:val="left"/>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(二)违反本条例第三十四条规定，未对工作场所以及周围辐射环境进行定期监测的，或者发现异常情况未及时报告的，处一万元以上五万元以下的罚款。</w:t>
            </w:r>
          </w:p>
        </w:tc>
      </w:tr>
      <w:tr>
        <w:trPr>
          <w:trHeight w:val="340" w:hRule="atLeast"/>
          <w:jc w:val="center"/>
        </w:trPr>
        <w:tc>
          <w:tcPr>
            <w:tcW w:w="1548"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486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74" w:hRule="atLeast"/>
          <w:jc w:val="center"/>
        </w:trPr>
        <w:tc>
          <w:tcPr>
            <w:tcW w:w="1548"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486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已规范</w:t>
            </w:r>
            <w:r>
              <w:rPr>
                <w:rFonts w:hint="default" w:ascii="Times New Roman" w:hAnsi="Times New Roman" w:cs="Times New Roman"/>
                <w:color w:val="auto"/>
                <w:sz w:val="20"/>
                <w:szCs w:val="20"/>
                <w:shd w:val="clear" w:color="auto" w:fill="auto"/>
                <w:lang w:eastAsia="zh-CN"/>
              </w:rPr>
              <w:t>监</w:t>
            </w:r>
            <w:r>
              <w:rPr>
                <w:rFonts w:hint="default" w:ascii="Times New Roman" w:hAnsi="Times New Roman" w:cs="Times New Roman"/>
                <w:color w:val="auto"/>
                <w:sz w:val="20"/>
                <w:szCs w:val="20"/>
                <w:shd w:val="clear" w:color="auto" w:fill="auto"/>
              </w:rPr>
              <w:t>测，但未报告异常监测结果的</w:t>
            </w:r>
          </w:p>
        </w:tc>
        <w:tc>
          <w:tcPr>
            <w:tcW w:w="264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74" w:hRule="atLeast"/>
          <w:jc w:val="center"/>
        </w:trPr>
        <w:tc>
          <w:tcPr>
            <w:tcW w:w="1548"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未</w:t>
            </w:r>
            <w:r>
              <w:rPr>
                <w:rFonts w:hint="default" w:ascii="Times New Roman" w:hAnsi="Times New Roman" w:cs="Times New Roman"/>
                <w:color w:val="auto"/>
                <w:sz w:val="20"/>
                <w:szCs w:val="20"/>
                <w:shd w:val="clear" w:color="auto" w:fill="auto"/>
                <w:lang w:val="en-US"/>
              </w:rPr>
              <w:t>监</w:t>
            </w:r>
            <w:r>
              <w:rPr>
                <w:rFonts w:hint="default" w:ascii="Times New Roman" w:hAnsi="Times New Roman" w:cs="Times New Roman"/>
                <w:color w:val="auto"/>
                <w:sz w:val="20"/>
                <w:szCs w:val="20"/>
                <w:shd w:val="clear" w:color="auto" w:fill="auto"/>
              </w:rPr>
              <w:t>测的</w:t>
            </w:r>
          </w:p>
        </w:tc>
        <w:tc>
          <w:tcPr>
            <w:tcW w:w="264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74" w:hRule="atLeast"/>
          <w:jc w:val="center"/>
        </w:trPr>
        <w:tc>
          <w:tcPr>
            <w:tcW w:w="1548"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涉及放射类型</w:t>
            </w:r>
          </w:p>
        </w:tc>
        <w:tc>
          <w:tcPr>
            <w:tcW w:w="486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Ⅳ类、Ⅴ类放射源或Ⅲ类射线装置的</w:t>
            </w:r>
          </w:p>
        </w:tc>
        <w:tc>
          <w:tcPr>
            <w:tcW w:w="264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74" w:hRule="atLeast"/>
          <w:jc w:val="center"/>
        </w:trPr>
        <w:tc>
          <w:tcPr>
            <w:tcW w:w="1548"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Ⅲ类放射源或Ⅱ类射线装置的</w:t>
            </w:r>
          </w:p>
        </w:tc>
        <w:tc>
          <w:tcPr>
            <w:tcW w:w="264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74" w:hRule="atLeast"/>
          <w:jc w:val="center"/>
        </w:trPr>
        <w:tc>
          <w:tcPr>
            <w:tcW w:w="1548"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Ⅰ类、Ⅱ类放射源或Ⅰ类射线装置的</w:t>
            </w:r>
          </w:p>
        </w:tc>
        <w:tc>
          <w:tcPr>
            <w:tcW w:w="264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74" w:hRule="atLeast"/>
          <w:jc w:val="center"/>
        </w:trPr>
        <w:tc>
          <w:tcPr>
            <w:tcW w:w="1548"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非密封放射性物质工作场所分类</w:t>
            </w:r>
          </w:p>
        </w:tc>
        <w:tc>
          <w:tcPr>
            <w:tcW w:w="486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丙级工作场所</w:t>
            </w:r>
          </w:p>
        </w:tc>
        <w:tc>
          <w:tcPr>
            <w:tcW w:w="264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74" w:hRule="atLeast"/>
          <w:jc w:val="center"/>
        </w:trPr>
        <w:tc>
          <w:tcPr>
            <w:tcW w:w="1548"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乙级工作场所</w:t>
            </w:r>
          </w:p>
        </w:tc>
        <w:tc>
          <w:tcPr>
            <w:tcW w:w="264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74" w:hRule="atLeast"/>
          <w:jc w:val="center"/>
        </w:trPr>
        <w:tc>
          <w:tcPr>
            <w:tcW w:w="1548"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甲级工作场所</w:t>
            </w:r>
          </w:p>
        </w:tc>
        <w:tc>
          <w:tcPr>
            <w:tcW w:w="264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74" w:hRule="atLeast"/>
          <w:jc w:val="center"/>
        </w:trPr>
        <w:tc>
          <w:tcPr>
            <w:tcW w:w="1548"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对环境的</w:t>
            </w:r>
          </w:p>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影响程度</w:t>
            </w:r>
          </w:p>
        </w:tc>
        <w:tc>
          <w:tcPr>
            <w:tcW w:w="486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尚未造成环境污染</w:t>
            </w:r>
          </w:p>
        </w:tc>
        <w:tc>
          <w:tcPr>
            <w:tcW w:w="264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74" w:hRule="atLeast"/>
          <w:jc w:val="center"/>
        </w:trPr>
        <w:tc>
          <w:tcPr>
            <w:tcW w:w="1548"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已造成环境污染，尚未扩散</w:t>
            </w:r>
          </w:p>
        </w:tc>
        <w:tc>
          <w:tcPr>
            <w:tcW w:w="264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74" w:hRule="atLeast"/>
          <w:jc w:val="center"/>
        </w:trPr>
        <w:tc>
          <w:tcPr>
            <w:tcW w:w="1548"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已造成环境污染，并部分扩散</w:t>
            </w:r>
          </w:p>
        </w:tc>
        <w:tc>
          <w:tcPr>
            <w:tcW w:w="264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74" w:hRule="atLeast"/>
          <w:jc w:val="center"/>
        </w:trPr>
        <w:tc>
          <w:tcPr>
            <w:tcW w:w="1548"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已造成环境污染，并大面积扩散</w:t>
            </w:r>
          </w:p>
        </w:tc>
        <w:tc>
          <w:tcPr>
            <w:tcW w:w="264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74" w:hRule="atLeast"/>
          <w:jc w:val="center"/>
        </w:trPr>
        <w:tc>
          <w:tcPr>
            <w:tcW w:w="1548"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eastAsia="zh-CN"/>
              </w:rPr>
              <w:t>企业规模</w:t>
            </w:r>
          </w:p>
        </w:tc>
        <w:tc>
          <w:tcPr>
            <w:tcW w:w="4865" w:type="dxa"/>
            <w:vAlign w:val="center"/>
          </w:tcPr>
          <w:p>
            <w:pPr>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74" w:hRule="atLeast"/>
          <w:jc w:val="center"/>
        </w:trPr>
        <w:tc>
          <w:tcPr>
            <w:tcW w:w="1548"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865" w:type="dxa"/>
            <w:vAlign w:val="center"/>
          </w:tcPr>
          <w:p>
            <w:pPr>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74" w:hRule="atLeast"/>
          <w:jc w:val="center"/>
        </w:trPr>
        <w:tc>
          <w:tcPr>
            <w:tcW w:w="1548"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865" w:type="dxa"/>
            <w:vAlign w:val="center"/>
          </w:tcPr>
          <w:p>
            <w:pPr>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74" w:hRule="atLeast"/>
          <w:jc w:val="center"/>
        </w:trPr>
        <w:tc>
          <w:tcPr>
            <w:tcW w:w="1548"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865" w:type="dxa"/>
            <w:vAlign w:val="center"/>
          </w:tcPr>
          <w:p>
            <w:pPr>
              <w:wordWrap/>
              <w:adjustRightInd/>
              <w:snapToGrid w:val="0"/>
              <w:spacing w:before="0" w:beforeAutospacing="0" w:after="0" w:afterAutospacing="0" w:line="280" w:lineRule="exact"/>
              <w:ind w:left="0" w:right="0" w:firstLine="0" w:firstLineChars="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Style w:val="14"/>
                <w:rFonts w:hint="default" w:ascii="Times New Roman" w:hAnsi="Times New Roman" w:eastAsia="宋体" w:cs="Times New Roman"/>
                <w:i w:val="0"/>
                <w:iCs w:val="0"/>
                <w:caps w:val="0"/>
                <w:color w:val="auto"/>
                <w:spacing w:val="0"/>
                <w:sz w:val="21"/>
                <w:szCs w:val="21"/>
                <w:shd w:val="clear" w:color="auto" w:fill="auto"/>
                <w:lang w:eastAsia="zh-CN"/>
              </w:rPr>
              <w:t>大型企业</w:t>
            </w:r>
          </w:p>
        </w:tc>
        <w:tc>
          <w:tcPr>
            <w:tcW w:w="264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74" w:hRule="atLeast"/>
          <w:jc w:val="center"/>
        </w:trPr>
        <w:tc>
          <w:tcPr>
            <w:tcW w:w="1548"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4865" w:type="dxa"/>
            <w:vAlign w:val="center"/>
          </w:tcPr>
          <w:p>
            <w:pPr>
              <w:shd w:val="clear" w:color="auto" w:fill="auto"/>
              <w:wordWrap/>
              <w:adjustRightInd/>
              <w:snapToGrid w:val="0"/>
              <w:spacing w:before="0" w:beforeAutospacing="0" w:after="0" w:afterAutospacing="0" w:line="280" w:lineRule="exact"/>
              <w:ind w:left="0" w:right="0" w:firstLine="2100" w:firstLineChars="1000"/>
              <w:jc w:val="both"/>
              <w:textAlignment w:val="auto"/>
              <w:rPr>
                <w:rFonts w:hint="default" w:ascii="Times New Roman" w:hAnsi="Times New Roman" w:cs="Times New Roman"/>
                <w:color w:val="auto"/>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登记管理</w:t>
            </w:r>
          </w:p>
        </w:tc>
        <w:tc>
          <w:tcPr>
            <w:tcW w:w="264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1</w:t>
            </w:r>
          </w:p>
        </w:tc>
      </w:tr>
      <w:tr>
        <w:trPr>
          <w:trHeight w:val="374" w:hRule="atLeast"/>
          <w:jc w:val="center"/>
        </w:trPr>
        <w:tc>
          <w:tcPr>
            <w:tcW w:w="1548"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486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74" w:hRule="atLeast"/>
          <w:jc w:val="center"/>
        </w:trPr>
        <w:tc>
          <w:tcPr>
            <w:tcW w:w="1548"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4865" w:type="dxa"/>
            <w:vAlign w:val="center"/>
          </w:tcPr>
          <w:p>
            <w:pPr>
              <w:shd w:val="clear" w:color="auto" w:fill="auto"/>
              <w:wordWrap/>
              <w:adjustRightInd/>
              <w:snapToGrid w:val="0"/>
              <w:spacing w:before="0" w:beforeAutospacing="0" w:after="0" w:afterAutospacing="0" w:line="280" w:lineRule="exact"/>
              <w:ind w:left="0" w:right="0" w:firstLine="2100" w:firstLineChars="1000"/>
              <w:jc w:val="both"/>
              <w:textAlignment w:val="auto"/>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rPr>
              <w:t>重点管理</w:t>
            </w:r>
          </w:p>
        </w:tc>
        <w:tc>
          <w:tcPr>
            <w:tcW w:w="264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3</w:t>
            </w:r>
          </w:p>
        </w:tc>
      </w:tr>
      <w:tr>
        <w:trPr>
          <w:trHeight w:val="374" w:hRule="atLeast"/>
          <w:jc w:val="center"/>
        </w:trPr>
        <w:tc>
          <w:tcPr>
            <w:tcW w:w="1548"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val="en-US"/>
              </w:rPr>
              <w:t>改正时间</w:t>
            </w:r>
          </w:p>
        </w:tc>
        <w:tc>
          <w:tcPr>
            <w:tcW w:w="4865"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kern w:val="2"/>
                <w:sz w:val="21"/>
                <w:szCs w:val="21"/>
                <w:shd w:val="clear" w:color="auto" w:fill="auto"/>
                <w:lang w:eastAsia="zh-CN"/>
              </w:rPr>
              <w:t>限期改正</w:t>
            </w:r>
          </w:p>
        </w:tc>
        <w:tc>
          <w:tcPr>
            <w:tcW w:w="264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74" w:hRule="atLeast"/>
          <w:jc w:val="center"/>
        </w:trPr>
        <w:tc>
          <w:tcPr>
            <w:tcW w:w="1548"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486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74" w:hRule="atLeast"/>
          <w:jc w:val="center"/>
        </w:trPr>
        <w:tc>
          <w:tcPr>
            <w:tcW w:w="1548"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264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74" w:hRule="atLeast"/>
          <w:jc w:val="center"/>
        </w:trPr>
        <w:tc>
          <w:tcPr>
            <w:tcW w:w="1548"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264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74" w:hRule="atLeast"/>
          <w:jc w:val="center"/>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w:t>
            </w:r>
            <w:r>
              <w:rPr>
                <w:rFonts w:hint="default" w:ascii="Times New Roman" w:hAnsi="Times New Roman" w:cs="Times New Roman"/>
                <w:b/>
                <w:bCs/>
                <w:color w:val="auto"/>
                <w:sz w:val="20"/>
                <w:szCs w:val="20"/>
                <w:shd w:val="clear" w:color="auto" w:fill="auto"/>
              </w:rPr>
              <w:t>次数</w:t>
            </w:r>
          </w:p>
        </w:tc>
        <w:tc>
          <w:tcPr>
            <w:tcW w:w="48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74" w:hRule="atLeast"/>
          <w:jc w:val="center"/>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74" w:hRule="atLeast"/>
          <w:jc w:val="center"/>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74" w:hRule="atLeast"/>
          <w:jc w:val="center"/>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48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74" w:hRule="atLeast"/>
          <w:jc w:val="center"/>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74" w:hRule="atLeast"/>
          <w:jc w:val="center"/>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74" w:hRule="atLeast"/>
          <w:jc w:val="center"/>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74" w:hRule="atLeast"/>
          <w:jc w:val="center"/>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51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widowControl/>
        <w:shd w:val="clear" w:color="auto" w:fill="auto"/>
        <w:spacing w:line="240" w:lineRule="auto"/>
        <w:ind w:left="420" w:firstLine="0" w:firstLineChars="0"/>
        <w:jc w:val="both"/>
        <w:outlineLvl w:val="1"/>
        <w:rPr>
          <w:rFonts w:hint="default" w:ascii="Times New Roman" w:hAnsi="Times New Roman" w:eastAsia="方正楷体_GBK" w:cs="Times New Roman"/>
          <w:bCs/>
          <w:color w:val="auto"/>
          <w:sz w:val="32"/>
          <w:szCs w:val="32"/>
          <w:shd w:val="clear" w:color="auto" w:fill="auto"/>
        </w:rPr>
      </w:pPr>
      <w:r>
        <w:rPr>
          <w:rFonts w:hint="default" w:ascii="Times New Roman" w:hAnsi="Times New Roman" w:cs="Times New Roman"/>
          <w:color w:val="auto"/>
          <w:shd w:val="clear" w:color="auto" w:fill="auto"/>
        </w:rPr>
        <w:br w:type="page"/>
      </w:r>
      <w:bookmarkStart w:id="373" w:name="_Toc10293"/>
      <w:r>
        <w:rPr>
          <w:rFonts w:ascii="Times New Roman" w:hAnsi="Times New Roman" w:eastAsia="方正楷体_GBK" w:cs="Times New Roman"/>
          <w:bCs/>
          <w:color w:val="auto"/>
          <w:sz w:val="32"/>
          <w:szCs w:val="32"/>
          <w:shd w:val="clear" w:color="auto" w:fill="auto"/>
        </w:rPr>
        <w:t>（</w:t>
      </w:r>
      <w:r>
        <w:rPr>
          <w:rFonts w:hint="default" w:ascii="Times New Roman" w:hAnsi="Times New Roman" w:eastAsia="方正楷体_GBK" w:cs="Times New Roman"/>
          <w:bCs/>
          <w:color w:val="auto"/>
          <w:sz w:val="32"/>
          <w:szCs w:val="32"/>
          <w:shd w:val="clear" w:color="auto" w:fill="auto"/>
          <w:lang w:val="en-US"/>
        </w:rPr>
        <w:t>七</w:t>
      </w:r>
      <w:r>
        <w:rPr>
          <w:rFonts w:ascii="Times New Roman" w:hAnsi="Times New Roman" w:eastAsia="方正楷体_GBK" w:cs="Times New Roman"/>
          <w:bCs/>
          <w:color w:val="auto"/>
          <w:sz w:val="32"/>
          <w:szCs w:val="32"/>
          <w:shd w:val="clear" w:color="auto" w:fill="auto"/>
        </w:rPr>
        <w:t>）</w:t>
      </w:r>
      <w:r>
        <w:rPr>
          <w:rFonts w:hint="default" w:ascii="Times New Roman" w:hAnsi="Times New Roman" w:eastAsia="方正楷体_GBK" w:cs="Times New Roman"/>
          <w:bCs/>
          <w:color w:val="auto"/>
          <w:sz w:val="32"/>
          <w:szCs w:val="32"/>
          <w:shd w:val="clear" w:color="auto" w:fill="auto"/>
        </w:rPr>
        <w:t>噪声污染防治类</w:t>
      </w:r>
      <w:bookmarkEnd w:id="373"/>
    </w:p>
    <w:p>
      <w:pPr>
        <w:widowControl/>
        <w:shd w:val="clear" w:color="auto" w:fill="auto"/>
        <w:ind w:left="0" w:firstLine="640" w:firstLineChars="200"/>
        <w:jc w:val="both"/>
        <w:outlineLvl w:val="9"/>
        <w:rPr>
          <w:rFonts w:hint="eastAsia"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rPr>
        <w:t>1</w:t>
      </w:r>
      <w:r>
        <w:rPr>
          <w:rFonts w:hint="default" w:ascii="Times New Roman" w:hAnsi="Times New Roman" w:eastAsia="仿宋_GB2312" w:cs="Times New Roman"/>
          <w:color w:val="auto"/>
          <w:sz w:val="32"/>
          <w:szCs w:val="32"/>
          <w:shd w:val="clear" w:color="auto" w:fill="auto"/>
          <w:lang w:val="en-US"/>
        </w:rPr>
        <w:t>.</w:t>
      </w:r>
      <w:r>
        <w:rPr>
          <w:rFonts w:hint="default" w:ascii="Times New Roman" w:hAnsi="Times New Roman" w:eastAsia="仿宋_GB2312" w:cs="Times New Roman"/>
          <w:color w:val="auto"/>
          <w:sz w:val="32"/>
          <w:szCs w:val="32"/>
          <w:shd w:val="clear" w:color="auto" w:fill="auto"/>
          <w:lang w:val="en-US" w:eastAsia="zh-CN"/>
        </w:rPr>
        <w:t xml:space="preserve"> </w:t>
      </w:r>
      <w:r>
        <w:rPr>
          <w:rFonts w:hint="default" w:ascii="Times New Roman" w:hAnsi="Times New Roman" w:eastAsia="仿宋_GB2312" w:cs="Times New Roman"/>
          <w:color w:val="auto"/>
          <w:sz w:val="32"/>
          <w:szCs w:val="32"/>
          <w:shd w:val="clear" w:color="auto" w:fill="auto"/>
          <w:lang w:val="en-US"/>
        </w:rPr>
        <w:t>拒绝、阻挠监督检查，或者在接受监督检查时弄虚作假的</w:t>
      </w:r>
      <w:r>
        <w:rPr>
          <w:rFonts w:hint="eastAsia" w:ascii="Times New Roman" w:hAnsi="Times New Roman" w:eastAsia="仿宋_GB2312" w:cs="Times New Roman"/>
          <w:color w:val="auto"/>
          <w:sz w:val="32"/>
          <w:szCs w:val="32"/>
          <w:shd w:val="clear" w:color="auto" w:fill="auto"/>
          <w:lang w:val="en-US" w:eastAsia="zh-CN"/>
        </w:rPr>
        <w:t>；</w:t>
      </w:r>
    </w:p>
    <w:p>
      <w:pPr>
        <w:widowControl/>
        <w:shd w:val="clear" w:color="auto" w:fill="auto"/>
        <w:ind w:left="0" w:firstLine="640" w:firstLineChars="200"/>
        <w:jc w:val="both"/>
        <w:outlineLvl w:val="9"/>
        <w:rPr>
          <w:rFonts w:hint="eastAsia"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rPr>
        <w:t>2</w:t>
      </w:r>
      <w:r>
        <w:rPr>
          <w:rFonts w:hint="default" w:ascii="Times New Roman" w:hAnsi="Times New Roman" w:eastAsia="仿宋_GB2312" w:cs="Times New Roman"/>
          <w:color w:val="auto"/>
          <w:sz w:val="32"/>
          <w:szCs w:val="32"/>
          <w:shd w:val="clear" w:color="auto" w:fill="auto"/>
          <w:lang w:val="en-US"/>
        </w:rPr>
        <w:t>.</w:t>
      </w:r>
      <w:r>
        <w:rPr>
          <w:rFonts w:hint="default" w:ascii="Times New Roman" w:hAnsi="Times New Roman" w:eastAsia="仿宋_GB2312" w:cs="Times New Roman"/>
          <w:color w:val="auto"/>
          <w:sz w:val="32"/>
          <w:szCs w:val="32"/>
          <w:shd w:val="clear" w:color="auto" w:fill="auto"/>
          <w:lang w:val="en-US" w:eastAsia="zh-CN"/>
        </w:rPr>
        <w:t xml:space="preserve"> </w:t>
      </w:r>
      <w:r>
        <w:rPr>
          <w:rFonts w:hint="default" w:ascii="Times New Roman" w:hAnsi="Times New Roman" w:eastAsia="仿宋_GB2312" w:cs="Times New Roman"/>
          <w:color w:val="auto"/>
          <w:sz w:val="32"/>
          <w:szCs w:val="32"/>
          <w:shd w:val="clear" w:color="auto" w:fill="auto"/>
          <w:lang w:val="en-US"/>
        </w:rPr>
        <w:t>在噪声敏感建筑物集中区域改建、扩建工业企业，未采取有效措施防止工业噪声污染的</w:t>
      </w:r>
      <w:r>
        <w:rPr>
          <w:rFonts w:hint="eastAsia" w:ascii="Times New Roman" w:hAnsi="Times New Roman" w:eastAsia="仿宋_GB2312" w:cs="Times New Roman"/>
          <w:color w:val="auto"/>
          <w:sz w:val="32"/>
          <w:szCs w:val="32"/>
          <w:shd w:val="clear" w:color="auto" w:fill="auto"/>
          <w:lang w:val="en-US" w:eastAsia="zh-CN"/>
        </w:rPr>
        <w:t>；</w:t>
      </w:r>
    </w:p>
    <w:p>
      <w:pPr>
        <w:widowControl/>
        <w:shd w:val="clear" w:color="auto" w:fill="auto"/>
        <w:ind w:left="0" w:firstLine="640" w:firstLineChars="200"/>
        <w:jc w:val="both"/>
        <w:outlineLvl w:val="9"/>
        <w:rPr>
          <w:rFonts w:hint="eastAsia"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rPr>
        <w:t>3</w:t>
      </w:r>
      <w:r>
        <w:rPr>
          <w:rFonts w:hint="default" w:ascii="Times New Roman" w:hAnsi="Times New Roman" w:eastAsia="仿宋_GB2312" w:cs="Times New Roman"/>
          <w:color w:val="auto"/>
          <w:sz w:val="32"/>
          <w:szCs w:val="32"/>
          <w:shd w:val="clear" w:color="auto" w:fill="auto"/>
          <w:lang w:val="en-US"/>
        </w:rPr>
        <w:t>.</w:t>
      </w:r>
      <w:r>
        <w:rPr>
          <w:rFonts w:hint="default" w:ascii="Times New Roman" w:hAnsi="Times New Roman" w:eastAsia="仿宋_GB2312" w:cs="Times New Roman"/>
          <w:color w:val="auto"/>
          <w:sz w:val="32"/>
          <w:szCs w:val="32"/>
          <w:shd w:val="clear" w:color="auto" w:fill="auto"/>
          <w:lang w:val="en-US" w:eastAsia="zh-CN"/>
        </w:rPr>
        <w:t xml:space="preserve"> </w:t>
      </w:r>
      <w:r>
        <w:rPr>
          <w:rFonts w:hint="default" w:ascii="Times New Roman" w:hAnsi="Times New Roman" w:eastAsia="仿宋_GB2312" w:cs="Times New Roman"/>
          <w:color w:val="auto"/>
          <w:sz w:val="32"/>
          <w:szCs w:val="32"/>
          <w:shd w:val="clear" w:color="auto" w:fill="auto"/>
          <w:lang w:val="en-US"/>
        </w:rPr>
        <w:t>无排污许可证或者超过噪声排放标准排放工业噪声的</w:t>
      </w:r>
      <w:r>
        <w:rPr>
          <w:rFonts w:hint="eastAsia" w:ascii="Times New Roman" w:hAnsi="Times New Roman" w:eastAsia="仿宋_GB2312" w:cs="Times New Roman"/>
          <w:color w:val="auto"/>
          <w:sz w:val="32"/>
          <w:szCs w:val="32"/>
          <w:shd w:val="clear" w:color="auto" w:fill="auto"/>
          <w:lang w:val="en-US" w:eastAsia="zh-CN"/>
        </w:rPr>
        <w:t>；</w:t>
      </w:r>
    </w:p>
    <w:p>
      <w:pPr>
        <w:widowControl/>
        <w:shd w:val="clear" w:color="auto" w:fill="auto"/>
        <w:ind w:left="0" w:firstLine="640" w:firstLineChars="200"/>
        <w:jc w:val="both"/>
        <w:outlineLvl w:val="9"/>
        <w:rPr>
          <w:rFonts w:hint="eastAsia"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rPr>
        <w:t>4</w:t>
      </w:r>
      <w:r>
        <w:rPr>
          <w:rFonts w:hint="default" w:ascii="Times New Roman" w:hAnsi="Times New Roman" w:eastAsia="仿宋_GB2312" w:cs="Times New Roman"/>
          <w:color w:val="auto"/>
          <w:sz w:val="32"/>
          <w:szCs w:val="32"/>
          <w:shd w:val="clear" w:color="auto" w:fill="auto"/>
          <w:lang w:val="en-US"/>
        </w:rPr>
        <w:t>.</w:t>
      </w:r>
      <w:r>
        <w:rPr>
          <w:rFonts w:hint="default" w:ascii="Times New Roman" w:hAnsi="Times New Roman" w:eastAsia="仿宋_GB2312" w:cs="Times New Roman"/>
          <w:color w:val="auto"/>
          <w:sz w:val="32"/>
          <w:szCs w:val="32"/>
          <w:shd w:val="clear" w:color="auto" w:fill="auto"/>
          <w:lang w:val="en-US" w:eastAsia="zh-CN"/>
        </w:rPr>
        <w:t xml:space="preserve"> </w:t>
      </w:r>
      <w:r>
        <w:rPr>
          <w:rFonts w:hint="default" w:ascii="Times New Roman" w:hAnsi="Times New Roman" w:eastAsia="仿宋_GB2312" w:cs="Times New Roman"/>
          <w:color w:val="auto"/>
          <w:sz w:val="32"/>
          <w:szCs w:val="32"/>
          <w:shd w:val="clear" w:color="auto" w:fill="auto"/>
          <w:lang w:val="en-US"/>
        </w:rPr>
        <w:t>未按照规定对工业噪声开展自行监测，未保存原始监测记录，或者未向社会公开监测结果的</w:t>
      </w:r>
      <w:r>
        <w:rPr>
          <w:rFonts w:hint="eastAsia" w:ascii="Times New Roman" w:hAnsi="Times New Roman" w:eastAsia="仿宋_GB2312" w:cs="Times New Roman"/>
          <w:color w:val="auto"/>
          <w:sz w:val="32"/>
          <w:szCs w:val="32"/>
          <w:shd w:val="clear" w:color="auto" w:fill="auto"/>
          <w:lang w:val="en-US" w:eastAsia="zh-CN"/>
        </w:rPr>
        <w:t>；</w:t>
      </w:r>
    </w:p>
    <w:p>
      <w:pPr>
        <w:widowControl/>
        <w:shd w:val="clear" w:color="auto" w:fill="auto"/>
        <w:ind w:left="0" w:firstLine="640" w:firstLineChars="200"/>
        <w:jc w:val="both"/>
        <w:outlineLvl w:val="9"/>
        <w:rPr>
          <w:rFonts w:hint="eastAsia"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rPr>
        <w:t>5</w:t>
      </w:r>
      <w:r>
        <w:rPr>
          <w:rFonts w:hint="default" w:ascii="Times New Roman" w:hAnsi="Times New Roman" w:eastAsia="仿宋_GB2312" w:cs="Times New Roman"/>
          <w:color w:val="auto"/>
          <w:sz w:val="32"/>
          <w:szCs w:val="32"/>
          <w:shd w:val="clear" w:color="auto" w:fill="auto"/>
          <w:lang w:val="en-US"/>
        </w:rPr>
        <w:t>.</w:t>
      </w:r>
      <w:r>
        <w:rPr>
          <w:rFonts w:hint="default" w:ascii="Times New Roman" w:hAnsi="Times New Roman" w:eastAsia="仿宋_GB2312" w:cs="Times New Roman"/>
          <w:color w:val="auto"/>
          <w:sz w:val="32"/>
          <w:szCs w:val="32"/>
          <w:shd w:val="clear" w:color="auto" w:fill="auto"/>
          <w:lang w:val="en-US" w:eastAsia="zh-CN"/>
        </w:rPr>
        <w:t xml:space="preserve"> </w:t>
      </w:r>
      <w:r>
        <w:rPr>
          <w:rFonts w:hint="default" w:ascii="Times New Roman" w:hAnsi="Times New Roman" w:eastAsia="仿宋_GB2312" w:cs="Times New Roman"/>
          <w:color w:val="auto"/>
          <w:sz w:val="32"/>
          <w:szCs w:val="32"/>
          <w:shd w:val="clear" w:color="auto" w:fill="auto"/>
          <w:lang w:val="en-US"/>
        </w:rPr>
        <w:t>噪声重点排污单位未按照国家规定安装、使用、维护噪声自动监测设备，或者未与生态环境主管部门的监控设备联网的</w:t>
      </w:r>
      <w:r>
        <w:rPr>
          <w:rFonts w:hint="eastAsia" w:ascii="Times New Roman" w:hAnsi="Times New Roman" w:eastAsia="仿宋_GB2312" w:cs="Times New Roman"/>
          <w:color w:val="auto"/>
          <w:sz w:val="32"/>
          <w:szCs w:val="32"/>
          <w:shd w:val="clear" w:color="auto" w:fill="auto"/>
          <w:lang w:val="en-US" w:eastAsia="zh-CN"/>
        </w:rPr>
        <w:t>。</w:t>
      </w:r>
    </w:p>
    <w:p>
      <w:pPr>
        <w:widowControl/>
        <w:shd w:val="clear" w:color="auto" w:fill="auto"/>
        <w:spacing w:line="200" w:lineRule="exact"/>
        <w:ind w:left="420"/>
        <w:jc w:val="both"/>
        <w:outlineLvl w:val="9"/>
        <w:rPr>
          <w:rFonts w:hint="default" w:ascii="Times New Roman" w:hAnsi="Times New Roman" w:cs="Times New Roman"/>
          <w:color w:val="auto"/>
          <w:shd w:val="clear" w:color="auto" w:fill="auto"/>
        </w:rPr>
      </w:pPr>
      <w:r>
        <w:rPr>
          <w:rFonts w:hint="default" w:ascii="Times New Roman" w:hAnsi="Times New Roman" w:eastAsia="仿宋_GB2312" w:cs="Times New Roman"/>
          <w:color w:val="auto"/>
          <w:sz w:val="30"/>
          <w:szCs w:val="30"/>
          <w:shd w:val="clear" w:color="auto" w:fill="auto"/>
          <w:lang w:val="en-US"/>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5273"/>
        <w:gridCol w:w="2513"/>
      </w:tblGrid>
      <w:tr>
        <w:trPr>
          <w:trHeight w:val="397" w:hRule="atLeast"/>
          <w:jc w:val="center"/>
        </w:trPr>
        <w:tc>
          <w:tcPr>
            <w:tcW w:w="9060" w:type="dxa"/>
            <w:gridSpan w:val="3"/>
            <w:vAlign w:val="top"/>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w:t>
            </w:r>
            <w:r>
              <w:rPr>
                <w:rFonts w:hint="default" w:ascii="Times New Roman" w:hAnsi="Times New Roman" w:cs="Times New Roman"/>
                <w:b/>
                <w:bCs/>
                <w:color w:val="auto"/>
                <w:sz w:val="20"/>
                <w:szCs w:val="20"/>
                <w:shd w:val="clear" w:color="auto" w:fill="auto"/>
                <w:lang w:val="en-US"/>
              </w:rPr>
              <w:t>七</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lang w:eastAsia="zh-CN"/>
              </w:rPr>
              <w:t xml:space="preserve"> 噪声污</w:t>
            </w:r>
            <w:r>
              <w:rPr>
                <w:rFonts w:hint="default" w:ascii="Times New Roman" w:hAnsi="Times New Roman" w:cs="Times New Roman"/>
                <w:b/>
                <w:bCs/>
                <w:color w:val="auto"/>
                <w:sz w:val="20"/>
                <w:szCs w:val="20"/>
                <w:shd w:val="clear" w:color="auto" w:fill="auto"/>
              </w:rPr>
              <w:t>染防治类</w:t>
            </w:r>
          </w:p>
        </w:tc>
      </w:tr>
      <w:tr>
        <w:trPr>
          <w:trHeight w:val="90" w:hRule="atLeast"/>
          <w:jc w:val="center"/>
        </w:trPr>
        <w:tc>
          <w:tcPr>
            <w:tcW w:w="1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86" w:type="dxa"/>
            <w:gridSpan w:val="2"/>
            <w:vAlign w:val="center"/>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cs="Times New Roman"/>
                <w:color w:val="auto"/>
                <w:sz w:val="20"/>
                <w:szCs w:val="20"/>
                <w:shd w:val="clear" w:color="auto" w:fill="auto"/>
              </w:rPr>
            </w:pPr>
            <w:bookmarkStart w:id="374" w:name="_Toc19317"/>
            <w:r>
              <w:rPr>
                <w:rFonts w:hint="default" w:ascii="Times New Roman" w:hAnsi="Times New Roman" w:cs="Times New Roman"/>
                <w:color w:val="auto"/>
                <w:sz w:val="20"/>
                <w:szCs w:val="20"/>
                <w:shd w:val="clear" w:color="auto" w:fill="auto"/>
              </w:rPr>
              <w:t>1</w:t>
            </w:r>
            <w:bookmarkEnd w:id="374"/>
          </w:p>
        </w:tc>
      </w:tr>
      <w:tr>
        <w:trPr>
          <w:trHeight w:val="397" w:hRule="atLeast"/>
          <w:jc w:val="center"/>
        </w:trPr>
        <w:tc>
          <w:tcPr>
            <w:tcW w:w="1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86" w:type="dxa"/>
            <w:gridSpan w:val="2"/>
            <w:vAlign w:val="top"/>
          </w:tcPr>
          <w:p>
            <w:pPr>
              <w:shd w:val="clear" w:color="auto" w:fill="auto"/>
              <w:snapToGrid w:val="0"/>
              <w:spacing w:before="0" w:beforeAutospacing="0" w:after="0" w:afterAutospacing="0" w:line="320" w:lineRule="exact"/>
              <w:ind w:left="0" w:right="0" w:firstLine="420" w:firstLineChars="200"/>
              <w:outlineLvl w:val="0"/>
              <w:rPr>
                <w:rFonts w:hint="default" w:ascii="Times New Roman" w:hAnsi="Times New Roman" w:cs="Times New Roman"/>
                <w:color w:val="auto"/>
                <w:sz w:val="20"/>
                <w:szCs w:val="20"/>
                <w:shd w:val="clear" w:color="auto" w:fill="auto"/>
              </w:rPr>
            </w:pPr>
            <w:bookmarkStart w:id="375" w:name="_Toc21756"/>
            <w:r>
              <w:rPr>
                <w:rFonts w:hint="default" w:ascii="Times New Roman" w:hAnsi="Times New Roman" w:cs="Times New Roman"/>
                <w:color w:val="auto"/>
                <w:sz w:val="20"/>
                <w:szCs w:val="20"/>
                <w:shd w:val="clear" w:color="auto" w:fill="auto"/>
              </w:rPr>
              <w:t>拒绝、阻挠监督检查，或者在接受监督检查时弄虚作假的</w:t>
            </w:r>
            <w:bookmarkEnd w:id="375"/>
          </w:p>
        </w:tc>
      </w:tr>
      <w:tr>
        <w:trPr>
          <w:trHeight w:val="397" w:hRule="atLeast"/>
          <w:jc w:val="center"/>
        </w:trPr>
        <w:tc>
          <w:tcPr>
            <w:tcW w:w="1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86" w:type="dxa"/>
            <w:gridSpan w:val="2"/>
            <w:vAlign w:val="top"/>
          </w:tcPr>
          <w:p>
            <w:pPr>
              <w:pStyle w:val="19"/>
              <w:shd w:val="clear" w:color="auto" w:fill="auto"/>
              <w:snapToGrid w:val="0"/>
              <w:spacing w:before="0" w:beforeAutospacing="0" w:after="0" w:afterAutospacing="0" w:line="320" w:lineRule="exact"/>
              <w:ind w:left="0" w:right="0" w:firstLine="482"/>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《中华人民共和国噪声污染防治法》第二十九条</w:t>
            </w:r>
            <w:r>
              <w:rPr>
                <w:rFonts w:hint="default" w:ascii="Times New Roman" w:hAnsi="Times New Roman" w:cs="Times New Roman"/>
                <w:b/>
                <w:bCs/>
                <w:color w:val="auto"/>
                <w:sz w:val="21"/>
                <w:szCs w:val="21"/>
                <w:shd w:val="clear" w:color="auto" w:fill="auto"/>
                <w:lang w:eastAsia="zh-CN"/>
              </w:rPr>
              <w:t xml:space="preserve">第一款 </w:t>
            </w:r>
            <w:r>
              <w:rPr>
                <w:rFonts w:hint="default" w:ascii="Times New Roman" w:hAnsi="Times New Roman" w:cs="Times New Roman"/>
                <w:b w:val="0"/>
                <w:bCs w:val="0"/>
                <w:color w:val="auto"/>
                <w:sz w:val="21"/>
                <w:szCs w:val="21"/>
                <w:shd w:val="clear" w:color="auto" w:fill="auto"/>
              </w:rPr>
              <w:t>生态环境主管部门和其他负有噪声污染防治监督管理职责的部门，有权对排放噪声的单位或者场所进行现场检查。被检查者应当如实反映情况，提供必要的资料，不得拒绝或者阻挠。实施检查的部门、人员对现场检查中知悉的商业秘密应当保密。</w:t>
            </w:r>
          </w:p>
        </w:tc>
      </w:tr>
      <w:tr>
        <w:trPr>
          <w:trHeight w:val="397" w:hRule="atLeast"/>
          <w:jc w:val="center"/>
        </w:trPr>
        <w:tc>
          <w:tcPr>
            <w:tcW w:w="1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86" w:type="dxa"/>
            <w:gridSpan w:val="2"/>
            <w:vAlign w:val="top"/>
          </w:tcPr>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w:t>
            </w:r>
            <w:r>
              <w:rPr>
                <w:rFonts w:hint="default" w:ascii="Times New Roman" w:hAnsi="Times New Roman" w:cs="Times New Roman"/>
                <w:b/>
                <w:bCs/>
                <w:color w:val="auto"/>
                <w:sz w:val="21"/>
                <w:szCs w:val="21"/>
                <w:shd w:val="clear" w:color="auto" w:fill="auto"/>
                <w:lang w:eastAsia="zh-CN"/>
              </w:rPr>
              <w:t>噪声</w:t>
            </w:r>
            <w:r>
              <w:rPr>
                <w:rFonts w:hint="default" w:ascii="Times New Roman" w:hAnsi="Times New Roman" w:cs="Times New Roman"/>
                <w:b/>
                <w:bCs/>
                <w:color w:val="auto"/>
                <w:sz w:val="21"/>
                <w:szCs w:val="21"/>
                <w:shd w:val="clear" w:color="auto" w:fill="auto"/>
              </w:rPr>
              <w:t>污染防治法》</w:t>
            </w:r>
            <w:r>
              <w:rPr>
                <w:rFonts w:hint="default" w:ascii="Times New Roman" w:hAnsi="Times New Roman" w:cs="Times New Roman"/>
                <w:color w:val="auto"/>
                <w:sz w:val="21"/>
                <w:szCs w:val="21"/>
                <w:shd w:val="clear" w:color="auto" w:fill="auto"/>
              </w:rPr>
              <w:t xml:space="preserve"> </w:t>
            </w:r>
            <w:r>
              <w:rPr>
                <w:rFonts w:hint="default" w:ascii="Times New Roman" w:hAnsi="Times New Roman" w:cs="Times New Roman"/>
                <w:b/>
                <w:bCs/>
                <w:color w:val="auto"/>
                <w:sz w:val="21"/>
                <w:szCs w:val="21"/>
                <w:shd w:val="clear" w:color="auto" w:fill="auto"/>
              </w:rPr>
              <w:t xml:space="preserve">第七十一条 </w:t>
            </w:r>
            <w:r>
              <w:rPr>
                <w:rFonts w:hint="default" w:ascii="Times New Roman" w:hAnsi="Times New Roman" w:cs="Times New Roman"/>
                <w:color w:val="auto"/>
                <w:sz w:val="21"/>
                <w:szCs w:val="21"/>
                <w:shd w:val="clear" w:color="auto" w:fill="auto"/>
              </w:rPr>
              <w:t>违反本法规定，拒绝、阻挠监督检查，或者在接受监督检查时弄虚作假的，由生态环境主管部门或者其他负有噪声污染防治监督管理职责的部门责令改正，处二万元以上二十万元以下的罚款。</w:t>
            </w:r>
          </w:p>
        </w:tc>
      </w:tr>
      <w:tr>
        <w:trPr>
          <w:trHeight w:val="397" w:hRule="atLeast"/>
          <w:jc w:val="center"/>
        </w:trPr>
        <w:tc>
          <w:tcPr>
            <w:tcW w:w="1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90" w:hRule="atLeast"/>
          <w:jc w:val="center"/>
        </w:trPr>
        <w:tc>
          <w:tcPr>
            <w:tcW w:w="127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★拒</w:t>
            </w:r>
            <w:r>
              <w:rPr>
                <w:rFonts w:hint="default" w:ascii="Times New Roman" w:hAnsi="Times New Roman" w:cs="Times New Roman"/>
                <w:b/>
                <w:bCs/>
                <w:color w:val="auto"/>
                <w:sz w:val="20"/>
                <w:szCs w:val="20"/>
                <w:shd w:val="clear" w:color="auto" w:fill="auto"/>
                <w:lang w:eastAsia="zh-CN"/>
              </w:rPr>
              <w:t>不配合</w:t>
            </w:r>
            <w:r>
              <w:rPr>
                <w:rFonts w:hint="default" w:ascii="Times New Roman" w:hAnsi="Times New Roman" w:cs="Times New Roman"/>
                <w:b/>
                <w:bCs/>
                <w:color w:val="auto"/>
                <w:sz w:val="20"/>
                <w:szCs w:val="20"/>
                <w:shd w:val="clear" w:color="auto" w:fill="auto"/>
              </w:rPr>
              <w:t>检查情形</w:t>
            </w:r>
          </w:p>
        </w:tc>
        <w:tc>
          <w:tcPr>
            <w:tcW w:w="5273" w:type="dxa"/>
            <w:vAlign w:val="center"/>
          </w:tcPr>
          <w:p>
            <w:pPr>
              <w:pStyle w:val="18"/>
              <w:shd w:val="clear" w:color="auto" w:fill="auto"/>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迟滞10分钟以上30分钟以</w:t>
            </w:r>
            <w:r>
              <w:rPr>
                <w:rFonts w:hint="default" w:ascii="Times New Roman" w:hAnsi="Times New Roman" w:cs="Times New Roman"/>
                <w:color w:val="auto"/>
                <w:sz w:val="21"/>
                <w:szCs w:val="21"/>
                <w:shd w:val="clear" w:color="auto" w:fill="auto"/>
                <w:lang w:eastAsia="zh-CN"/>
              </w:rPr>
              <w:t>下</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迟滞30分钟以</w:t>
            </w:r>
            <w:r>
              <w:rPr>
                <w:rFonts w:hint="default" w:ascii="Times New Roman" w:hAnsi="Times New Roman" w:cs="Times New Roman"/>
                <w:color w:val="auto"/>
                <w:sz w:val="21"/>
                <w:szCs w:val="21"/>
                <w:shd w:val="clear" w:color="auto" w:fill="auto"/>
                <w:lang w:eastAsia="zh-CN"/>
              </w:rPr>
              <w:t>上</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阻碍或隐匿部分资料</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围堵、滞留执法人员或拒绝提供资料</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暴力抗法</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7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rPr>
              <w:t>★弄虚作假情形</w:t>
            </w:r>
          </w:p>
        </w:tc>
        <w:tc>
          <w:tcPr>
            <w:tcW w:w="527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提供假信息</w:t>
            </w:r>
          </w:p>
        </w:tc>
        <w:tc>
          <w:tcPr>
            <w:tcW w:w="25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3</w:t>
            </w:r>
          </w:p>
        </w:tc>
      </w:tr>
      <w:tr>
        <w:trPr>
          <w:trHeight w:val="397"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both"/>
              <w:rPr>
                <w:rFonts w:hint="default" w:ascii="Times New Roman" w:hAnsi="Times New Roman" w:cs="Times New Roman"/>
                <w:b/>
                <w:bCs/>
                <w:color w:val="auto"/>
                <w:sz w:val="20"/>
                <w:szCs w:val="20"/>
                <w:shd w:val="clear" w:color="auto" w:fill="auto"/>
                <w:lang w:eastAsia="zh-CN"/>
              </w:rPr>
            </w:pPr>
          </w:p>
        </w:tc>
        <w:tc>
          <w:tcPr>
            <w:tcW w:w="527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伪造现场或证据</w:t>
            </w:r>
          </w:p>
        </w:tc>
        <w:tc>
          <w:tcPr>
            <w:tcW w:w="25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7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大型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eastAsia="zh-CN"/>
              </w:rPr>
              <w:t>4</w:t>
            </w:r>
          </w:p>
        </w:tc>
      </w:tr>
      <w:tr>
        <w:trPr>
          <w:trHeight w:val="397" w:hRule="atLeast"/>
          <w:jc w:val="center"/>
        </w:trPr>
        <w:tc>
          <w:tcPr>
            <w:tcW w:w="127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管理类别</w:t>
            </w: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登记管理</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简化管理</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重点管理</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27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受处罚次数</w:t>
            </w:r>
          </w:p>
        </w:tc>
        <w:tc>
          <w:tcPr>
            <w:tcW w:w="5273" w:type="dxa"/>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86"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widowControl/>
        <w:shd w:val="clear" w:color="auto" w:fill="auto"/>
        <w:ind w:left="420"/>
        <w:jc w:val="center"/>
        <w:outlineLvl w:val="9"/>
        <w:rPr>
          <w:rFonts w:hint="default" w:ascii="Times New Roman" w:hAnsi="Times New Roman" w:eastAsia="FangSong_GB2312" w:cs="Times New Roman"/>
          <w:b/>
          <w:bCs/>
          <w:color w:val="auto"/>
          <w:sz w:val="32"/>
          <w:szCs w:val="32"/>
          <w:shd w:val="clear" w:color="auto" w:fill="auto"/>
        </w:rPr>
      </w:pPr>
    </w:p>
    <w:p>
      <w:pPr>
        <w:widowControl/>
        <w:shd w:val="clear" w:color="auto" w:fill="auto"/>
        <w:spacing w:line="200" w:lineRule="exact"/>
        <w:ind w:left="420"/>
        <w:jc w:val="center"/>
        <w:outlineLvl w:val="9"/>
        <w:rPr>
          <w:rFonts w:hint="default" w:ascii="Times New Roman" w:hAnsi="Times New Roman" w:eastAsia="FangSong_GB2312" w:cs="Times New Roman"/>
          <w:b/>
          <w:bCs/>
          <w:color w:val="auto"/>
          <w:sz w:val="32"/>
          <w:szCs w:val="32"/>
          <w:shd w:val="clear" w:color="auto" w:fill="auto"/>
        </w:rPr>
      </w:pPr>
      <w:r>
        <w:rPr>
          <w:rFonts w:hint="default" w:ascii="Times New Roman" w:hAnsi="Times New Roman" w:eastAsia="FangSong_GB2312" w:cs="Times New Roman"/>
          <w:b/>
          <w:bCs/>
          <w:color w:val="auto"/>
          <w:sz w:val="32"/>
          <w:szCs w:val="32"/>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5891"/>
        <w:gridCol w:w="1837"/>
      </w:tblGrid>
      <w:tr>
        <w:trPr>
          <w:trHeight w:val="397" w:hRule="atLeast"/>
          <w:jc w:val="center"/>
        </w:trPr>
        <w:tc>
          <w:tcPr>
            <w:tcW w:w="9060" w:type="dxa"/>
            <w:gridSpan w:val="3"/>
            <w:vAlign w:val="top"/>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w:t>
            </w:r>
            <w:r>
              <w:rPr>
                <w:rFonts w:hint="default" w:ascii="Times New Roman" w:hAnsi="Times New Roman" w:cs="Times New Roman"/>
                <w:b/>
                <w:bCs/>
                <w:color w:val="auto"/>
                <w:sz w:val="20"/>
                <w:szCs w:val="20"/>
                <w:shd w:val="clear" w:color="auto" w:fill="auto"/>
                <w:lang w:val="en-US"/>
              </w:rPr>
              <w:t>七</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lang w:eastAsia="zh-CN"/>
              </w:rPr>
              <w:t>噪声</w:t>
            </w:r>
            <w:r>
              <w:rPr>
                <w:rFonts w:hint="default" w:ascii="Times New Roman" w:hAnsi="Times New Roman" w:cs="Times New Roman"/>
                <w:b/>
                <w:bCs/>
                <w:color w:val="auto"/>
                <w:sz w:val="20"/>
                <w:szCs w:val="20"/>
                <w:shd w:val="clear" w:color="auto" w:fill="auto"/>
                <w:lang w:val="en-US"/>
              </w:rPr>
              <w:t>污</w:t>
            </w:r>
            <w:r>
              <w:rPr>
                <w:rFonts w:hint="default" w:ascii="Times New Roman" w:hAnsi="Times New Roman" w:cs="Times New Roman"/>
                <w:b/>
                <w:bCs/>
                <w:color w:val="auto"/>
                <w:sz w:val="20"/>
                <w:szCs w:val="20"/>
                <w:shd w:val="clear" w:color="auto" w:fill="auto"/>
              </w:rPr>
              <w:t>染防治类</w:t>
            </w:r>
          </w:p>
        </w:tc>
      </w:tr>
      <w:tr>
        <w:trPr>
          <w:trHeight w:val="90" w:hRule="atLeast"/>
          <w:jc w:val="center"/>
        </w:trPr>
        <w:tc>
          <w:tcPr>
            <w:tcW w:w="1332"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28" w:type="dxa"/>
            <w:gridSpan w:val="2"/>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outlineLvl w:val="0"/>
              <w:rPr>
                <w:rFonts w:hint="default" w:ascii="Times New Roman" w:hAnsi="Times New Roman" w:eastAsia="宋体" w:cs="Times New Roman"/>
                <w:color w:val="auto"/>
                <w:sz w:val="20"/>
                <w:szCs w:val="20"/>
                <w:shd w:val="clear" w:color="auto" w:fill="auto"/>
                <w:lang w:eastAsia="zh-CN"/>
              </w:rPr>
            </w:pPr>
            <w:bookmarkStart w:id="376" w:name="_Toc30342"/>
            <w:r>
              <w:rPr>
                <w:rFonts w:hint="default" w:ascii="Times New Roman" w:hAnsi="Times New Roman" w:cs="Times New Roman"/>
                <w:color w:val="auto"/>
                <w:sz w:val="20"/>
                <w:szCs w:val="20"/>
                <w:shd w:val="clear" w:color="auto" w:fill="auto"/>
                <w:lang w:val="en-US" w:eastAsia="zh-CN"/>
              </w:rPr>
              <w:t>2</w:t>
            </w:r>
            <w:bookmarkEnd w:id="376"/>
          </w:p>
        </w:tc>
      </w:tr>
      <w:tr>
        <w:trPr>
          <w:trHeight w:val="397" w:hRule="atLeast"/>
          <w:jc w:val="center"/>
        </w:trPr>
        <w:tc>
          <w:tcPr>
            <w:tcW w:w="1332"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28" w:type="dxa"/>
            <w:gridSpan w:val="2"/>
            <w:vAlign w:val="center"/>
          </w:tcPr>
          <w:p>
            <w:pPr>
              <w:widowControl w:val="0"/>
              <w:shd w:val="clear" w:color="auto" w:fill="auto"/>
              <w:wordWrap/>
              <w:adjustRightInd/>
              <w:snapToGrid w:val="0"/>
              <w:spacing w:before="0" w:beforeAutospacing="0" w:after="0" w:afterAutospacing="0" w:line="290" w:lineRule="exact"/>
              <w:ind w:left="0" w:right="0" w:firstLine="420"/>
              <w:textAlignment w:val="auto"/>
              <w:outlineLvl w:val="0"/>
              <w:rPr>
                <w:rFonts w:hint="default" w:ascii="Times New Roman" w:hAnsi="Times New Roman" w:cs="Times New Roman"/>
                <w:color w:val="auto"/>
                <w:sz w:val="20"/>
                <w:szCs w:val="20"/>
                <w:shd w:val="clear" w:color="auto" w:fill="auto"/>
              </w:rPr>
            </w:pPr>
            <w:bookmarkStart w:id="377" w:name="_Toc20408"/>
            <w:r>
              <w:rPr>
                <w:rFonts w:hint="default" w:ascii="Times New Roman" w:hAnsi="Times New Roman" w:cs="Times New Roman"/>
                <w:color w:val="auto"/>
                <w:sz w:val="20"/>
                <w:szCs w:val="20"/>
                <w:shd w:val="clear" w:color="auto" w:fill="auto"/>
              </w:rPr>
              <w:t>在噪声敏感建筑物集中区域改建、扩建工业企业，未采取有效措施防止工业噪声污染的</w:t>
            </w:r>
            <w:bookmarkEnd w:id="377"/>
          </w:p>
        </w:tc>
      </w:tr>
      <w:tr>
        <w:trPr>
          <w:trHeight w:val="397" w:hRule="atLeast"/>
          <w:jc w:val="center"/>
        </w:trPr>
        <w:tc>
          <w:tcPr>
            <w:tcW w:w="1332"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28" w:type="dxa"/>
            <w:gridSpan w:val="2"/>
            <w:vAlign w:val="top"/>
          </w:tcPr>
          <w:p>
            <w:pPr>
              <w:widowControl w:val="0"/>
              <w:shd w:val="clear" w:color="auto" w:fill="auto"/>
              <w:wordWrap/>
              <w:adjustRightInd/>
              <w:spacing w:before="0" w:beforeAutospacing="0" w:after="0" w:afterAutospacing="0" w:line="290" w:lineRule="exact"/>
              <w:ind w:left="0" w:right="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w:t>
            </w:r>
            <w:r>
              <w:rPr>
                <w:rFonts w:hint="default" w:ascii="Times New Roman" w:hAnsi="Times New Roman" w:cs="Times New Roman"/>
                <w:b/>
                <w:bCs/>
                <w:color w:val="auto"/>
                <w:sz w:val="20"/>
                <w:szCs w:val="20"/>
                <w:shd w:val="clear" w:color="auto" w:fill="auto"/>
                <w:lang w:eastAsia="zh-CN"/>
              </w:rPr>
              <w:t>噪声</w:t>
            </w:r>
            <w:r>
              <w:rPr>
                <w:rFonts w:hint="default" w:ascii="Times New Roman" w:hAnsi="Times New Roman" w:cs="Times New Roman"/>
                <w:b/>
                <w:bCs/>
                <w:color w:val="auto"/>
                <w:sz w:val="20"/>
                <w:szCs w:val="20"/>
                <w:shd w:val="clear" w:color="auto" w:fill="auto"/>
              </w:rPr>
              <w:t>污染防治法》第三十</w:t>
            </w:r>
            <w:r>
              <w:rPr>
                <w:rFonts w:hint="default" w:ascii="Times New Roman" w:hAnsi="Times New Roman" w:cs="Times New Roman"/>
                <w:b/>
                <w:bCs/>
                <w:color w:val="auto"/>
                <w:sz w:val="20"/>
                <w:szCs w:val="20"/>
                <w:shd w:val="clear" w:color="auto" w:fill="auto"/>
                <w:lang w:eastAsia="zh-CN"/>
              </w:rPr>
              <w:t>五</w:t>
            </w:r>
            <w:r>
              <w:rPr>
                <w:rFonts w:hint="default" w:ascii="Times New Roman" w:hAnsi="Times New Roman" w:cs="Times New Roman"/>
                <w:b/>
                <w:bCs/>
                <w:color w:val="auto"/>
                <w:sz w:val="20"/>
                <w:szCs w:val="20"/>
                <w:shd w:val="clear" w:color="auto" w:fill="auto"/>
              </w:rPr>
              <w:t>条</w:t>
            </w:r>
            <w:r>
              <w:rPr>
                <w:rFonts w:hint="default" w:ascii="Times New Roman" w:hAnsi="Times New Roman" w:cs="Times New Roman"/>
                <w:b/>
                <w:bCs/>
                <w:color w:val="auto"/>
                <w:sz w:val="20"/>
                <w:szCs w:val="20"/>
                <w:shd w:val="clear" w:color="auto" w:fill="auto"/>
                <w:lang w:val="en-US"/>
              </w:rPr>
              <w:t>第二款</w:t>
            </w:r>
            <w:r>
              <w:rPr>
                <w:rFonts w:hint="default" w:ascii="Times New Roman" w:hAnsi="Times New Roman" w:cs="Times New Roman"/>
                <w:b/>
                <w:bCs/>
                <w:color w:val="auto"/>
                <w:sz w:val="20"/>
                <w:szCs w:val="20"/>
                <w:shd w:val="clear" w:color="auto" w:fill="auto"/>
              </w:rPr>
              <w:t xml:space="preserve"> </w:t>
            </w:r>
            <w:r>
              <w:rPr>
                <w:rFonts w:hint="default" w:ascii="Times New Roman" w:hAnsi="Times New Roman" w:cs="Times New Roman"/>
                <w:color w:val="auto"/>
                <w:sz w:val="20"/>
                <w:szCs w:val="20"/>
                <w:shd w:val="clear" w:color="auto" w:fill="auto"/>
              </w:rPr>
              <w:t>在噪声敏感建筑物集中区域，禁止新建排放噪声的工业企业，改建、扩建工业企业的，应当采取有效措施防止工业噪声污染。</w:t>
            </w:r>
          </w:p>
        </w:tc>
      </w:tr>
      <w:tr>
        <w:trPr>
          <w:trHeight w:val="397" w:hRule="atLeast"/>
          <w:jc w:val="center"/>
        </w:trPr>
        <w:tc>
          <w:tcPr>
            <w:tcW w:w="1332"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28" w:type="dxa"/>
            <w:gridSpan w:val="2"/>
            <w:vAlign w:val="top"/>
          </w:tcPr>
          <w:p>
            <w:pPr>
              <w:widowControl w:val="0"/>
              <w:shd w:val="clear" w:color="auto" w:fill="auto"/>
              <w:wordWrap/>
              <w:adjustRightInd/>
              <w:snapToGrid w:val="0"/>
              <w:spacing w:before="0" w:beforeAutospacing="0" w:after="0" w:afterAutospacing="0" w:line="290" w:lineRule="exact"/>
              <w:ind w:left="0" w:right="0" w:firstLine="42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w:t>
            </w:r>
            <w:r>
              <w:rPr>
                <w:rFonts w:hint="default" w:ascii="Times New Roman" w:hAnsi="Times New Roman" w:cs="Times New Roman"/>
                <w:b/>
                <w:bCs/>
                <w:color w:val="auto"/>
                <w:sz w:val="20"/>
                <w:szCs w:val="20"/>
                <w:shd w:val="clear" w:color="auto" w:fill="auto"/>
                <w:lang w:eastAsia="zh-CN"/>
              </w:rPr>
              <w:t>噪声</w:t>
            </w:r>
            <w:r>
              <w:rPr>
                <w:rFonts w:hint="default" w:ascii="Times New Roman" w:hAnsi="Times New Roman" w:cs="Times New Roman"/>
                <w:b/>
                <w:bCs/>
                <w:color w:val="auto"/>
                <w:sz w:val="20"/>
                <w:szCs w:val="20"/>
                <w:shd w:val="clear" w:color="auto" w:fill="auto"/>
              </w:rPr>
              <w:t>污染防治法》 第七十四条</w:t>
            </w:r>
            <w:r>
              <w:rPr>
                <w:rFonts w:hint="default" w:ascii="Times New Roman" w:hAnsi="Times New Roman" w:cs="Times New Roman"/>
                <w:b/>
                <w:bCs/>
                <w:color w:val="auto"/>
                <w:sz w:val="20"/>
                <w:szCs w:val="20"/>
                <w:shd w:val="clear" w:color="auto" w:fill="auto"/>
                <w:lang w:val="en-US" w:eastAsia="zh-CN"/>
              </w:rPr>
              <w:t xml:space="preserve"> </w:t>
            </w:r>
            <w:r>
              <w:rPr>
                <w:rFonts w:hint="default" w:ascii="Times New Roman" w:hAnsi="Times New Roman" w:cs="Times New Roman"/>
                <w:color w:val="auto"/>
                <w:sz w:val="20"/>
                <w:szCs w:val="20"/>
                <w:shd w:val="clear" w:color="auto" w:fill="auto"/>
              </w:rPr>
              <w:t>违反本法规定，在噪声敏感建筑物集中区域新建排放噪声的工业企业的，由生态环境主管部门责令停止违法行为，处十万元以上五十万元以下的罚款，并报经有批准权的人民政府批准，责令关闭。</w:t>
            </w:r>
          </w:p>
          <w:p>
            <w:pPr>
              <w:widowControl w:val="0"/>
              <w:shd w:val="clear" w:color="auto" w:fill="auto"/>
              <w:wordWrap/>
              <w:adjustRightInd/>
              <w:snapToGrid w:val="0"/>
              <w:spacing w:before="0" w:beforeAutospacing="0" w:after="0" w:afterAutospacing="0" w:line="290" w:lineRule="exact"/>
              <w:ind w:left="0" w:right="0" w:firstLine="42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违反本法规定，在噪声敏感建筑物集中区域改建、扩建工业企业，未采取有效措施防止工业噪声污染的，由生态环境主管部门责令改正，处十万元以上五十万元以下的罚款；拒不改正的，报经有批准权的人民政府批准，责令关闭。</w:t>
            </w:r>
          </w:p>
        </w:tc>
      </w:tr>
      <w:tr>
        <w:trPr>
          <w:trHeight w:val="397" w:hRule="atLeast"/>
          <w:jc w:val="center"/>
        </w:trPr>
        <w:tc>
          <w:tcPr>
            <w:tcW w:w="1332"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891"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1837"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jc w:val="center"/>
        </w:trPr>
        <w:tc>
          <w:tcPr>
            <w:tcW w:w="1332" w:type="dxa"/>
            <w:vMerge w:val="restart"/>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891"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改建</w:t>
            </w:r>
          </w:p>
        </w:tc>
        <w:tc>
          <w:tcPr>
            <w:tcW w:w="1837"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扩建</w:t>
            </w:r>
          </w:p>
        </w:tc>
        <w:tc>
          <w:tcPr>
            <w:tcW w:w="1837"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新建</w:t>
            </w:r>
          </w:p>
        </w:tc>
        <w:tc>
          <w:tcPr>
            <w:tcW w:w="1837"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5</w:t>
            </w:r>
          </w:p>
        </w:tc>
      </w:tr>
      <w:tr>
        <w:trPr>
          <w:trHeight w:val="397" w:hRule="atLeast"/>
          <w:jc w:val="center"/>
        </w:trPr>
        <w:tc>
          <w:tcPr>
            <w:tcW w:w="1332" w:type="dxa"/>
            <w:vMerge w:val="restart"/>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污染防治设施建设使用情况</w:t>
            </w:r>
          </w:p>
        </w:tc>
        <w:tc>
          <w:tcPr>
            <w:tcW w:w="5891"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配套污染防治设施已建成的</w:t>
            </w:r>
          </w:p>
        </w:tc>
        <w:tc>
          <w:tcPr>
            <w:tcW w:w="1837"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配套污染防治设施正在建设的</w:t>
            </w:r>
          </w:p>
        </w:tc>
        <w:tc>
          <w:tcPr>
            <w:tcW w:w="1837"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配套污染防治设施尚未建设的</w:t>
            </w:r>
          </w:p>
        </w:tc>
        <w:tc>
          <w:tcPr>
            <w:tcW w:w="1837"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2" w:type="dxa"/>
            <w:vMerge w:val="restart"/>
            <w:vAlign w:val="center"/>
          </w:tcPr>
          <w:p>
            <w:pPr>
              <w:widowControl w:val="0"/>
              <w:shd w:val="clear" w:color="auto" w:fill="auto"/>
              <w:wordWrap/>
              <w:adjustRightInd/>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项目建设</w:t>
            </w:r>
          </w:p>
          <w:p>
            <w:pPr>
              <w:widowControl w:val="0"/>
              <w:shd w:val="clear" w:color="auto" w:fill="auto"/>
              <w:wordWrap/>
              <w:adjustRightInd/>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情况</w:t>
            </w:r>
          </w:p>
        </w:tc>
        <w:tc>
          <w:tcPr>
            <w:tcW w:w="5891" w:type="dxa"/>
            <w:vAlign w:val="center"/>
          </w:tcPr>
          <w:p>
            <w:pPr>
              <w:widowControl w:val="0"/>
              <w:shd w:val="clear" w:color="auto" w:fill="auto"/>
              <w:wordWrap/>
              <w:adjustRightInd/>
              <w:spacing w:before="0" w:beforeAutospacing="0" w:after="0" w:afterAutospacing="0" w:line="29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为开工建设做准备的</w:t>
            </w:r>
          </w:p>
        </w:tc>
        <w:tc>
          <w:tcPr>
            <w:tcW w:w="1837" w:type="dxa"/>
            <w:vAlign w:val="center"/>
          </w:tcPr>
          <w:p>
            <w:pPr>
              <w:widowControl w:val="0"/>
              <w:shd w:val="clear" w:color="auto" w:fill="auto"/>
              <w:wordWrap/>
              <w:adjustRightInd/>
              <w:spacing w:before="0" w:beforeAutospacing="0" w:after="0" w:afterAutospacing="0" w:line="29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332" w:type="dxa"/>
            <w:vMerge w:val="continue"/>
            <w:vAlign w:val="center"/>
          </w:tcPr>
          <w:p>
            <w:pPr>
              <w:widowControl w:val="0"/>
              <w:shd w:val="clear" w:color="auto" w:fill="auto"/>
              <w:wordWrap/>
              <w:adjustRightInd/>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p>
        </w:tc>
        <w:tc>
          <w:tcPr>
            <w:tcW w:w="5891" w:type="dxa"/>
            <w:vAlign w:val="center"/>
          </w:tcPr>
          <w:p>
            <w:pPr>
              <w:widowControl w:val="0"/>
              <w:shd w:val="clear" w:color="auto" w:fill="auto"/>
              <w:wordWrap/>
              <w:adjustRightInd/>
              <w:spacing w:before="0" w:beforeAutospacing="0" w:after="0" w:afterAutospacing="0" w:line="29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项目已开工，未建成</w:t>
            </w:r>
          </w:p>
        </w:tc>
        <w:tc>
          <w:tcPr>
            <w:tcW w:w="1837" w:type="dxa"/>
            <w:vAlign w:val="center"/>
          </w:tcPr>
          <w:p>
            <w:pPr>
              <w:widowControl w:val="0"/>
              <w:shd w:val="clear" w:color="auto" w:fill="auto"/>
              <w:wordWrap/>
              <w:adjustRightInd/>
              <w:spacing w:before="0" w:beforeAutospacing="0" w:after="0" w:afterAutospacing="0" w:line="29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32" w:type="dxa"/>
            <w:vMerge w:val="continue"/>
            <w:vAlign w:val="center"/>
          </w:tcPr>
          <w:p>
            <w:pPr>
              <w:widowControl w:val="0"/>
              <w:shd w:val="clear" w:color="auto" w:fill="auto"/>
              <w:wordWrap/>
              <w:adjustRightInd/>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p>
        </w:tc>
        <w:tc>
          <w:tcPr>
            <w:tcW w:w="5891" w:type="dxa"/>
            <w:vAlign w:val="center"/>
          </w:tcPr>
          <w:p>
            <w:pPr>
              <w:widowControl w:val="0"/>
              <w:shd w:val="clear" w:color="auto" w:fill="auto"/>
              <w:wordWrap/>
              <w:adjustRightInd/>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项目已基本建成，未投入使用</w:t>
            </w:r>
          </w:p>
        </w:tc>
        <w:tc>
          <w:tcPr>
            <w:tcW w:w="1837" w:type="dxa"/>
            <w:vAlign w:val="center"/>
          </w:tcPr>
          <w:p>
            <w:pPr>
              <w:widowControl w:val="0"/>
              <w:shd w:val="clear" w:color="auto" w:fill="auto"/>
              <w:wordWrap/>
              <w:adjustRightInd/>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32" w:type="dxa"/>
            <w:vMerge w:val="continue"/>
            <w:vAlign w:val="center"/>
          </w:tcPr>
          <w:p>
            <w:pPr>
              <w:widowControl w:val="0"/>
              <w:shd w:val="clear" w:color="auto" w:fill="auto"/>
              <w:wordWrap/>
              <w:adjustRightInd/>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rPr>
            </w:pPr>
          </w:p>
        </w:tc>
        <w:tc>
          <w:tcPr>
            <w:tcW w:w="5891" w:type="dxa"/>
            <w:vAlign w:val="center"/>
          </w:tcPr>
          <w:p>
            <w:pPr>
              <w:widowControl w:val="0"/>
              <w:shd w:val="clear" w:color="auto" w:fill="auto"/>
              <w:wordWrap/>
              <w:adjustRightInd/>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项目已建成并投入使用</w:t>
            </w:r>
          </w:p>
        </w:tc>
        <w:tc>
          <w:tcPr>
            <w:tcW w:w="1837" w:type="dxa"/>
            <w:vAlign w:val="center"/>
          </w:tcPr>
          <w:p>
            <w:pPr>
              <w:widowControl w:val="0"/>
              <w:shd w:val="clear" w:color="auto" w:fill="auto"/>
              <w:wordWrap/>
              <w:adjustRightInd/>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5</w:t>
            </w:r>
          </w:p>
        </w:tc>
      </w:tr>
      <w:tr>
        <w:trPr>
          <w:trHeight w:val="397" w:hRule="atLeast"/>
          <w:jc w:val="center"/>
        </w:trPr>
        <w:tc>
          <w:tcPr>
            <w:tcW w:w="1332" w:type="dxa"/>
            <w:vMerge w:val="restart"/>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eastAsia="zh-CN"/>
              </w:rPr>
              <w:t>企业规模</w:t>
            </w:r>
          </w:p>
        </w:tc>
        <w:tc>
          <w:tcPr>
            <w:tcW w:w="5891" w:type="dxa"/>
            <w:vAlign w:val="center"/>
          </w:tcPr>
          <w:p>
            <w:pPr>
              <w:widowControl w:val="0"/>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lang w:val="en-US" w:eastAsia="zh-CN"/>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1837"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891" w:type="dxa"/>
            <w:vAlign w:val="center"/>
          </w:tcPr>
          <w:p>
            <w:pPr>
              <w:widowControl w:val="0"/>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lang w:val="en-US" w:eastAsia="zh-CN"/>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1837"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891" w:type="dxa"/>
            <w:vAlign w:val="center"/>
          </w:tcPr>
          <w:p>
            <w:pPr>
              <w:widowControl w:val="0"/>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lang w:val="en-US" w:eastAsia="zh-CN"/>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1837"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891" w:type="dxa"/>
            <w:vAlign w:val="center"/>
          </w:tcPr>
          <w:p>
            <w:pPr>
              <w:widowControl w:val="0"/>
              <w:wordWrap/>
              <w:adjustRightInd/>
              <w:snapToGrid w:val="0"/>
              <w:spacing w:before="0" w:beforeAutospacing="0" w:after="0" w:afterAutospacing="0" w:line="290" w:lineRule="exact"/>
              <w:ind w:left="0" w:right="0" w:firstLine="0" w:firstLineChars="0"/>
              <w:jc w:val="center"/>
              <w:textAlignment w:val="auto"/>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lang w:eastAsia="zh-CN"/>
              </w:rPr>
              <w:t>大型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1837"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eastAsia="zh-CN"/>
              </w:rPr>
              <w:t>4</w:t>
            </w:r>
          </w:p>
        </w:tc>
      </w:tr>
      <w:tr>
        <w:trPr>
          <w:trHeight w:val="397" w:hRule="atLeast"/>
          <w:jc w:val="center"/>
        </w:trPr>
        <w:tc>
          <w:tcPr>
            <w:tcW w:w="1332" w:type="dxa"/>
            <w:vMerge w:val="restart"/>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eastAsia="zh-CN"/>
              </w:rPr>
              <w:t>管理类别</w:t>
            </w:r>
          </w:p>
        </w:tc>
        <w:tc>
          <w:tcPr>
            <w:tcW w:w="5891"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lang w:eastAsia="zh-CN"/>
              </w:rPr>
              <w:t>登记管理</w:t>
            </w:r>
          </w:p>
        </w:tc>
        <w:tc>
          <w:tcPr>
            <w:tcW w:w="1837"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891"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lang w:eastAsia="zh-CN"/>
              </w:rPr>
              <w:t>简化管理</w:t>
            </w:r>
          </w:p>
        </w:tc>
        <w:tc>
          <w:tcPr>
            <w:tcW w:w="1837"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891"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lang w:eastAsia="zh-CN"/>
              </w:rPr>
              <w:t>重点管理</w:t>
            </w:r>
          </w:p>
        </w:tc>
        <w:tc>
          <w:tcPr>
            <w:tcW w:w="1837"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32" w:type="dxa"/>
            <w:vMerge w:val="restart"/>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lang w:val="en-US" w:eastAsia="zh-CN"/>
              </w:rPr>
            </w:pPr>
            <w:r>
              <w:rPr>
                <w:rFonts w:hint="default" w:ascii="Times New Roman" w:hAnsi="Times New Roman" w:cs="Times New Roman"/>
                <w:b/>
                <w:bCs/>
                <w:color w:val="auto"/>
                <w:sz w:val="20"/>
                <w:szCs w:val="20"/>
                <w:shd w:val="clear" w:color="auto" w:fill="auto"/>
                <w:lang w:val="en-US"/>
              </w:rPr>
              <w:t>改正时间</w:t>
            </w:r>
          </w:p>
        </w:tc>
        <w:tc>
          <w:tcPr>
            <w:tcW w:w="5891" w:type="dxa"/>
            <w:vAlign w:val="center"/>
          </w:tcPr>
          <w:p>
            <w:pPr>
              <w:widowControl w:val="0"/>
              <w:shd w:val="clear" w:color="auto" w:fill="auto"/>
              <w:wordWrap/>
              <w:adjustRightInd/>
              <w:snapToGrid w:val="0"/>
              <w:spacing w:before="0" w:beforeAutospacing="0" w:after="0" w:afterAutospacing="0" w:line="29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kern w:val="2"/>
                <w:sz w:val="21"/>
                <w:szCs w:val="21"/>
                <w:shd w:val="clear" w:color="auto" w:fill="auto"/>
                <w:lang w:eastAsia="zh-CN"/>
              </w:rPr>
              <w:t>限期改正</w:t>
            </w:r>
          </w:p>
        </w:tc>
        <w:tc>
          <w:tcPr>
            <w:tcW w:w="1837"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891"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1837"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1837"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1837" w:type="dxa"/>
            <w:vAlign w:val="center"/>
          </w:tcPr>
          <w:p>
            <w:pPr>
              <w:widowControl w:val="0"/>
              <w:shd w:val="clear" w:color="auto" w:fill="auto"/>
              <w:wordWrap/>
              <w:adjustRightInd/>
              <w:snapToGrid w:val="0"/>
              <w:spacing w:before="0" w:beforeAutospacing="0" w:after="0" w:afterAutospacing="0" w:line="29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32"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89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18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jc w:val="center"/>
        </w:trPr>
        <w:tc>
          <w:tcPr>
            <w:tcW w:w="13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18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jc w:val="center"/>
        </w:trPr>
        <w:tc>
          <w:tcPr>
            <w:tcW w:w="13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18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jc w:val="center"/>
        </w:trPr>
        <w:tc>
          <w:tcPr>
            <w:tcW w:w="13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18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jc w:val="center"/>
        </w:trPr>
        <w:tc>
          <w:tcPr>
            <w:tcW w:w="13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18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33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18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18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18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18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28" w:type="dxa"/>
            <w:gridSpan w:val="2"/>
            <w:vAlign w:val="center"/>
          </w:tcPr>
          <w:p>
            <w:pPr>
              <w:shd w:val="clear" w:color="auto" w:fill="auto"/>
              <w:snapToGrid w:val="0"/>
              <w:spacing w:before="0" w:beforeAutospacing="0" w:after="0" w:afterAutospacing="0" w:line="320" w:lineRule="exact"/>
              <w:ind w:left="0" w:right="0" w:firstLine="0"/>
              <w:jc w:val="both"/>
              <w:rPr>
                <w:rFonts w:hint="default" w:ascii="Times New Roman" w:hAnsi="Times New Roman" w:cs="Times New Roman"/>
                <w:color w:val="auto"/>
                <w:sz w:val="20"/>
                <w:szCs w:val="20"/>
                <w:shd w:val="clear" w:color="auto" w:fill="auto"/>
                <w:lang w:val="en-US"/>
              </w:rPr>
            </w:pPr>
          </w:p>
        </w:tc>
      </w:tr>
    </w:tbl>
    <w:p>
      <w:pPr>
        <w:widowControl/>
        <w:shd w:val="clear" w:color="auto" w:fill="auto"/>
        <w:ind w:left="420"/>
        <w:jc w:val="center"/>
        <w:outlineLvl w:val="9"/>
        <w:rPr>
          <w:rFonts w:hint="default" w:ascii="Times New Roman" w:hAnsi="Times New Roman" w:eastAsia="FangSong_GB2312" w:cs="Times New Roman"/>
          <w:b/>
          <w:bCs/>
          <w:color w:val="auto"/>
          <w:sz w:val="32"/>
          <w:szCs w:val="32"/>
          <w:shd w:val="clear" w:color="auto" w:fill="auto"/>
        </w:rPr>
      </w:pPr>
    </w:p>
    <w:p>
      <w:pPr>
        <w:widowControl/>
        <w:shd w:val="clear" w:color="auto" w:fill="auto"/>
        <w:ind w:left="420"/>
        <w:jc w:val="center"/>
        <w:outlineLvl w:val="9"/>
        <w:rPr>
          <w:rFonts w:hint="default" w:ascii="Times New Roman" w:hAnsi="Times New Roman" w:eastAsia="FangSong_GB2312" w:cs="Times New Roman"/>
          <w:b/>
          <w:bCs/>
          <w:color w:val="auto"/>
          <w:sz w:val="32"/>
          <w:szCs w:val="32"/>
          <w:shd w:val="clear" w:color="auto" w:fill="auto"/>
        </w:rPr>
      </w:pPr>
    </w:p>
    <w:p>
      <w:pPr>
        <w:widowControl/>
        <w:shd w:val="clear" w:color="auto" w:fill="auto"/>
        <w:spacing w:line="200" w:lineRule="exact"/>
        <w:ind w:left="420"/>
        <w:jc w:val="center"/>
        <w:outlineLvl w:val="9"/>
        <w:rPr>
          <w:rFonts w:hint="default" w:ascii="Times New Roman" w:hAnsi="Times New Roman" w:eastAsia="FangSong_GB2312" w:cs="Times New Roman"/>
          <w:b/>
          <w:bCs/>
          <w:color w:val="auto"/>
          <w:sz w:val="32"/>
          <w:szCs w:val="32"/>
          <w:shd w:val="clear" w:color="auto" w:fill="auto"/>
        </w:rPr>
      </w:pPr>
      <w:r>
        <w:rPr>
          <w:rFonts w:hint="default" w:ascii="Times New Roman" w:hAnsi="Times New Roman" w:eastAsia="FangSong_GB2312" w:cs="Times New Roman"/>
          <w:b/>
          <w:bCs/>
          <w:color w:val="auto"/>
          <w:sz w:val="32"/>
          <w:szCs w:val="32"/>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5891"/>
        <w:gridCol w:w="1837"/>
      </w:tblGrid>
      <w:tr>
        <w:trPr>
          <w:trHeight w:val="369" w:hRule="atLeast"/>
          <w:jc w:val="center"/>
        </w:trPr>
        <w:tc>
          <w:tcPr>
            <w:tcW w:w="9060" w:type="dxa"/>
            <w:gridSpan w:val="3"/>
            <w:vAlign w:val="top"/>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lang w:val="en-US"/>
              </w:rPr>
              <w:t>七</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lang w:eastAsia="zh-CN"/>
              </w:rPr>
              <w:t>噪声</w:t>
            </w:r>
            <w:r>
              <w:rPr>
                <w:rFonts w:hint="default" w:ascii="Times New Roman" w:hAnsi="Times New Roman" w:cs="Times New Roman"/>
                <w:b/>
                <w:bCs/>
                <w:color w:val="auto"/>
                <w:sz w:val="20"/>
                <w:szCs w:val="20"/>
                <w:shd w:val="clear" w:color="auto" w:fill="auto"/>
                <w:lang w:val="en-US"/>
              </w:rPr>
              <w:t>污</w:t>
            </w:r>
            <w:r>
              <w:rPr>
                <w:rFonts w:hint="default" w:ascii="Times New Roman" w:hAnsi="Times New Roman" w:cs="Times New Roman"/>
                <w:b/>
                <w:bCs/>
                <w:color w:val="auto"/>
                <w:sz w:val="20"/>
                <w:szCs w:val="20"/>
                <w:shd w:val="clear" w:color="auto" w:fill="auto"/>
              </w:rPr>
              <w:t>染防治类</w:t>
            </w:r>
          </w:p>
        </w:tc>
      </w:tr>
      <w:tr>
        <w:trPr>
          <w:trHeight w:val="369" w:hRule="atLeast"/>
          <w:jc w:val="center"/>
        </w:trPr>
        <w:tc>
          <w:tcPr>
            <w:tcW w:w="1332"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28" w:type="dxa"/>
            <w:gridSpan w:val="2"/>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outlineLvl w:val="0"/>
              <w:rPr>
                <w:rFonts w:hint="default" w:ascii="Times New Roman" w:hAnsi="Times New Roman" w:eastAsia="宋体" w:cs="Times New Roman"/>
                <w:color w:val="auto"/>
                <w:sz w:val="20"/>
                <w:szCs w:val="20"/>
                <w:shd w:val="clear" w:color="auto" w:fill="auto"/>
                <w:lang w:eastAsia="zh-CN"/>
              </w:rPr>
            </w:pPr>
            <w:bookmarkStart w:id="378" w:name="_Toc25124"/>
            <w:r>
              <w:rPr>
                <w:rFonts w:hint="default" w:ascii="Times New Roman" w:hAnsi="Times New Roman" w:cs="Times New Roman"/>
                <w:color w:val="auto"/>
                <w:sz w:val="20"/>
                <w:szCs w:val="20"/>
                <w:shd w:val="clear" w:color="auto" w:fill="auto"/>
                <w:lang w:val="en-US" w:eastAsia="zh-CN"/>
              </w:rPr>
              <w:t>3</w:t>
            </w:r>
            <w:bookmarkEnd w:id="378"/>
          </w:p>
        </w:tc>
      </w:tr>
      <w:tr>
        <w:trPr>
          <w:trHeight w:val="369" w:hRule="atLeast"/>
          <w:jc w:val="center"/>
        </w:trPr>
        <w:tc>
          <w:tcPr>
            <w:tcW w:w="1332"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28" w:type="dxa"/>
            <w:gridSpan w:val="2"/>
            <w:vAlign w:val="center"/>
          </w:tcPr>
          <w:p>
            <w:pPr>
              <w:widowControl w:val="0"/>
              <w:shd w:val="clear" w:color="auto" w:fill="auto"/>
              <w:wordWrap/>
              <w:adjustRightInd/>
              <w:snapToGrid w:val="0"/>
              <w:spacing w:before="0" w:beforeAutospacing="0" w:after="0" w:afterAutospacing="0" w:line="280" w:lineRule="exact"/>
              <w:ind w:left="0" w:right="0" w:firstLine="420"/>
              <w:textAlignment w:val="auto"/>
              <w:outlineLvl w:val="0"/>
              <w:rPr>
                <w:rFonts w:hint="default" w:ascii="Times New Roman" w:hAnsi="Times New Roman" w:cs="Times New Roman"/>
                <w:color w:val="auto"/>
                <w:sz w:val="20"/>
                <w:szCs w:val="20"/>
                <w:shd w:val="clear" w:color="auto" w:fill="auto"/>
              </w:rPr>
            </w:pPr>
            <w:bookmarkStart w:id="379" w:name="_Toc2697"/>
            <w:r>
              <w:rPr>
                <w:rFonts w:hint="default" w:ascii="Times New Roman" w:hAnsi="Times New Roman" w:cs="Times New Roman"/>
                <w:color w:val="auto"/>
                <w:sz w:val="20"/>
                <w:szCs w:val="20"/>
                <w:shd w:val="clear" w:color="auto" w:fill="auto"/>
              </w:rPr>
              <w:t>无排污许可证或者超过噪声排放标准排放工业噪声的</w:t>
            </w:r>
            <w:bookmarkEnd w:id="379"/>
          </w:p>
        </w:tc>
      </w:tr>
      <w:tr>
        <w:trPr>
          <w:trHeight w:val="369" w:hRule="atLeast"/>
          <w:jc w:val="center"/>
        </w:trPr>
        <w:tc>
          <w:tcPr>
            <w:tcW w:w="1332"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28" w:type="dxa"/>
            <w:gridSpan w:val="2"/>
            <w:vAlign w:val="center"/>
          </w:tcPr>
          <w:p>
            <w:pPr>
              <w:widowControl w:val="0"/>
              <w:shd w:val="clear" w:color="auto" w:fill="auto"/>
              <w:wordWrap/>
              <w:adjustRightInd/>
              <w:snapToGrid w:val="0"/>
              <w:spacing w:before="0" w:beforeAutospacing="0" w:after="0" w:afterAutospacing="0" w:line="280" w:lineRule="exact"/>
              <w:ind w:left="0" w:right="0" w:firstLine="482"/>
              <w:textAlignment w:val="auto"/>
              <w:rPr>
                <w:rFonts w:hint="default" w:ascii="Times New Roman" w:hAnsi="Times New Roman" w:cs="Times New Roman"/>
                <w:b w:val="0"/>
                <w:bCs w:val="0"/>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w:t>
            </w:r>
            <w:r>
              <w:rPr>
                <w:rFonts w:hint="default" w:ascii="Times New Roman" w:hAnsi="Times New Roman" w:cs="Times New Roman"/>
                <w:b/>
                <w:bCs/>
                <w:color w:val="auto"/>
                <w:sz w:val="20"/>
                <w:szCs w:val="20"/>
                <w:shd w:val="clear" w:color="auto" w:fill="auto"/>
                <w:lang w:eastAsia="zh-CN"/>
              </w:rPr>
              <w:t>噪声</w:t>
            </w:r>
            <w:r>
              <w:rPr>
                <w:rFonts w:hint="default" w:ascii="Times New Roman" w:hAnsi="Times New Roman" w:cs="Times New Roman"/>
                <w:b/>
                <w:bCs/>
                <w:color w:val="auto"/>
                <w:sz w:val="20"/>
                <w:szCs w:val="20"/>
                <w:shd w:val="clear" w:color="auto" w:fill="auto"/>
              </w:rPr>
              <w:t>污染防治法》第二十二条</w:t>
            </w:r>
            <w:r>
              <w:rPr>
                <w:rFonts w:hint="default" w:ascii="Times New Roman" w:hAnsi="Times New Roman" w:cs="Times New Roman"/>
                <w:b/>
                <w:bCs/>
                <w:color w:val="auto"/>
                <w:sz w:val="20"/>
                <w:szCs w:val="20"/>
                <w:shd w:val="clear" w:color="auto" w:fill="auto"/>
                <w:lang w:val="en-US" w:eastAsia="zh-CN"/>
              </w:rPr>
              <w:t xml:space="preserve">  </w:t>
            </w:r>
            <w:r>
              <w:rPr>
                <w:rFonts w:hint="default" w:ascii="Times New Roman" w:hAnsi="Times New Roman" w:cs="Times New Roman"/>
                <w:b w:val="0"/>
                <w:bCs w:val="0"/>
                <w:color w:val="auto"/>
                <w:sz w:val="20"/>
                <w:szCs w:val="20"/>
                <w:shd w:val="clear" w:color="auto" w:fill="auto"/>
              </w:rPr>
              <w:t>排放噪声、产生振动，应当符合噪声排放标准以及相关的环境振动控制标准和有关法律、法规、规章的要求。</w:t>
            </w:r>
          </w:p>
          <w:p>
            <w:pPr>
              <w:widowControl w:val="0"/>
              <w:shd w:val="clear" w:color="auto" w:fill="auto"/>
              <w:wordWrap/>
              <w:adjustRightInd/>
              <w:snapToGrid w:val="0"/>
              <w:spacing w:before="0" w:beforeAutospacing="0" w:after="0" w:afterAutospacing="0" w:line="280" w:lineRule="exact"/>
              <w:ind w:left="0" w:right="0" w:firstLine="482"/>
              <w:textAlignment w:val="auto"/>
              <w:rPr>
                <w:rFonts w:hint="default" w:ascii="Times New Roman" w:hAnsi="Times New Roman" w:cs="Times New Roman"/>
                <w:b w:val="0"/>
                <w:bCs w:val="0"/>
                <w:color w:val="auto"/>
                <w:sz w:val="20"/>
                <w:szCs w:val="20"/>
                <w:shd w:val="clear" w:color="auto" w:fill="auto"/>
              </w:rPr>
            </w:pPr>
            <w:r>
              <w:rPr>
                <w:rFonts w:hint="default" w:ascii="Times New Roman" w:hAnsi="Times New Roman" w:cs="Times New Roman"/>
                <w:b/>
                <w:bCs/>
                <w:color w:val="auto"/>
                <w:sz w:val="20"/>
                <w:szCs w:val="20"/>
                <w:shd w:val="clear" w:color="auto" w:fill="auto"/>
              </w:rPr>
              <w:t>第三十六条</w:t>
            </w:r>
            <w:r>
              <w:rPr>
                <w:rFonts w:hint="default" w:ascii="Times New Roman" w:hAnsi="Times New Roman" w:cs="Times New Roman"/>
                <w:b/>
                <w:bCs/>
                <w:color w:val="auto"/>
                <w:sz w:val="20"/>
                <w:szCs w:val="20"/>
                <w:shd w:val="clear" w:color="auto" w:fill="auto"/>
                <w:lang w:val="en-US" w:eastAsia="zh-CN"/>
              </w:rPr>
              <w:t xml:space="preserve">  </w:t>
            </w:r>
            <w:r>
              <w:rPr>
                <w:rFonts w:hint="default" w:ascii="Times New Roman" w:hAnsi="Times New Roman" w:cs="Times New Roman"/>
                <w:b w:val="0"/>
                <w:bCs w:val="0"/>
                <w:color w:val="auto"/>
                <w:sz w:val="20"/>
                <w:szCs w:val="20"/>
                <w:shd w:val="clear" w:color="auto" w:fill="auto"/>
              </w:rPr>
              <w:t>排放工业噪声的企业事业单位和其他生产经营者，应当采取有效措施，减少振动、降低噪声，依法取得排污许可证或者填报排污登记表。</w:t>
            </w:r>
          </w:p>
          <w:p>
            <w:pPr>
              <w:widowControl w:val="0"/>
              <w:shd w:val="clear" w:color="auto" w:fill="auto"/>
              <w:wordWrap/>
              <w:adjustRightInd/>
              <w:snapToGrid w:val="0"/>
              <w:spacing w:before="0" w:beforeAutospacing="0" w:after="0" w:afterAutospacing="0" w:line="280" w:lineRule="exact"/>
              <w:ind w:left="0" w:right="0" w:firstLine="482"/>
              <w:textAlignment w:val="auto"/>
              <w:rPr>
                <w:rFonts w:hint="default" w:ascii="Times New Roman" w:hAnsi="Times New Roman" w:cs="Times New Roman"/>
                <w:b w:val="0"/>
                <w:bCs w:val="0"/>
                <w:color w:val="auto"/>
                <w:sz w:val="20"/>
                <w:szCs w:val="20"/>
                <w:shd w:val="clear" w:color="auto" w:fill="auto"/>
              </w:rPr>
            </w:pPr>
            <w:r>
              <w:rPr>
                <w:rFonts w:hint="default" w:ascii="Times New Roman" w:hAnsi="Times New Roman" w:cs="Times New Roman"/>
                <w:b w:val="0"/>
                <w:bCs w:val="0"/>
                <w:color w:val="auto"/>
                <w:sz w:val="20"/>
                <w:szCs w:val="20"/>
                <w:shd w:val="clear" w:color="auto" w:fill="auto"/>
              </w:rPr>
              <w:t>实行排污许可管理的单位，不得无排污许可证排放工业噪声，并应当按照排污许可证的要求进行噪声污染防治。</w:t>
            </w:r>
          </w:p>
        </w:tc>
      </w:tr>
      <w:tr>
        <w:trPr>
          <w:trHeight w:val="369" w:hRule="atLeast"/>
          <w:jc w:val="center"/>
        </w:trPr>
        <w:tc>
          <w:tcPr>
            <w:tcW w:w="1332"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28" w:type="dxa"/>
            <w:gridSpan w:val="2"/>
            <w:vAlign w:val="center"/>
          </w:tcPr>
          <w:p>
            <w:pPr>
              <w:widowControl w:val="0"/>
              <w:shd w:val="clear" w:color="auto" w:fill="auto"/>
              <w:wordWrap/>
              <w:adjustRightInd/>
              <w:snapToGrid w:val="0"/>
              <w:spacing w:before="0" w:beforeAutospacing="0" w:after="0" w:afterAutospacing="0" w:line="280" w:lineRule="exact"/>
              <w:ind w:left="0" w:right="0" w:firstLine="42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w:t>
            </w:r>
            <w:r>
              <w:rPr>
                <w:rFonts w:hint="default" w:ascii="Times New Roman" w:hAnsi="Times New Roman" w:cs="Times New Roman"/>
                <w:b/>
                <w:bCs/>
                <w:color w:val="auto"/>
                <w:sz w:val="20"/>
                <w:szCs w:val="20"/>
                <w:shd w:val="clear" w:color="auto" w:fill="auto"/>
                <w:lang w:eastAsia="zh-CN"/>
              </w:rPr>
              <w:t>噪声</w:t>
            </w:r>
            <w:r>
              <w:rPr>
                <w:rFonts w:hint="default" w:ascii="Times New Roman" w:hAnsi="Times New Roman" w:cs="Times New Roman"/>
                <w:b/>
                <w:bCs/>
                <w:color w:val="auto"/>
                <w:sz w:val="20"/>
                <w:szCs w:val="20"/>
                <w:shd w:val="clear" w:color="auto" w:fill="auto"/>
              </w:rPr>
              <w:t>污染防治法》 第七十五条</w:t>
            </w:r>
            <w:r>
              <w:rPr>
                <w:rFonts w:hint="default" w:ascii="Times New Roman" w:hAnsi="Times New Roman" w:cs="Times New Roman"/>
                <w:b/>
                <w:bCs/>
                <w:color w:val="auto"/>
                <w:sz w:val="20"/>
                <w:szCs w:val="20"/>
                <w:shd w:val="clear" w:color="auto" w:fill="auto"/>
                <w:lang w:val="en-US" w:eastAsia="zh-CN"/>
              </w:rPr>
              <w:t xml:space="preserve">  </w:t>
            </w:r>
            <w:r>
              <w:rPr>
                <w:rFonts w:hint="default" w:ascii="Times New Roman" w:hAnsi="Times New Roman" w:cs="Times New Roman"/>
                <w:color w:val="auto"/>
                <w:sz w:val="20"/>
                <w:szCs w:val="20"/>
                <w:shd w:val="clear" w:color="auto" w:fill="auto"/>
              </w:rPr>
              <w:t>违反本法规定，无排污许可证或者超过噪声排放标准排放工业噪声的，由生态环境主管部门责令改正或者限制生产、停产整治，并处二万元以上二十万元以下的罚款；情节严重的，报经有批准权的人民政府批准，责令停业、关闭。</w:t>
            </w:r>
          </w:p>
        </w:tc>
      </w:tr>
      <w:tr>
        <w:trPr>
          <w:trHeight w:val="369" w:hRule="atLeast"/>
          <w:jc w:val="center"/>
        </w:trPr>
        <w:tc>
          <w:tcPr>
            <w:tcW w:w="1332"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891"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1837"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jc w:val="center"/>
        </w:trPr>
        <w:tc>
          <w:tcPr>
            <w:tcW w:w="1332" w:type="dxa"/>
            <w:vMerge w:val="restart"/>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891"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登记管理</w:t>
            </w:r>
          </w:p>
        </w:tc>
        <w:tc>
          <w:tcPr>
            <w:tcW w:w="1837"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1</w:t>
            </w:r>
          </w:p>
        </w:tc>
      </w:tr>
      <w:tr>
        <w:trPr>
          <w:trHeight w:val="369"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简化管理</w:t>
            </w:r>
          </w:p>
        </w:tc>
        <w:tc>
          <w:tcPr>
            <w:tcW w:w="1837"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2</w:t>
            </w:r>
          </w:p>
        </w:tc>
      </w:tr>
      <w:tr>
        <w:trPr>
          <w:trHeight w:val="369"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重点管理</w:t>
            </w:r>
          </w:p>
        </w:tc>
        <w:tc>
          <w:tcPr>
            <w:tcW w:w="1837"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332" w:type="dxa"/>
            <w:vMerge w:val="restart"/>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企业规模</w:t>
            </w:r>
          </w:p>
        </w:tc>
        <w:tc>
          <w:tcPr>
            <w:tcW w:w="5891"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微型企业</w:t>
            </w:r>
          </w:p>
        </w:tc>
        <w:tc>
          <w:tcPr>
            <w:tcW w:w="1837"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69"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小型企业</w:t>
            </w:r>
          </w:p>
        </w:tc>
        <w:tc>
          <w:tcPr>
            <w:tcW w:w="1837"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中型企业</w:t>
            </w:r>
          </w:p>
        </w:tc>
        <w:tc>
          <w:tcPr>
            <w:tcW w:w="1837"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大型企业</w:t>
            </w:r>
          </w:p>
        </w:tc>
        <w:tc>
          <w:tcPr>
            <w:tcW w:w="1837"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332" w:type="dxa"/>
            <w:vMerge w:val="restart"/>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污染防治设施建设使用情况</w:t>
            </w:r>
          </w:p>
        </w:tc>
        <w:tc>
          <w:tcPr>
            <w:tcW w:w="5891"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配套污染防治设施已建成的</w:t>
            </w:r>
          </w:p>
        </w:tc>
        <w:tc>
          <w:tcPr>
            <w:tcW w:w="1837"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配套污染防治设施正在建设的</w:t>
            </w:r>
          </w:p>
        </w:tc>
        <w:tc>
          <w:tcPr>
            <w:tcW w:w="1837"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配套污染防治设施尚未建设的</w:t>
            </w:r>
          </w:p>
        </w:tc>
        <w:tc>
          <w:tcPr>
            <w:tcW w:w="1837"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32" w:type="dxa"/>
            <w:vMerge w:val="restart"/>
            <w:vAlign w:val="center"/>
          </w:tcPr>
          <w:p>
            <w:pPr>
              <w:widowControl w:val="0"/>
              <w:shd w:val="clear" w:color="auto" w:fill="auto"/>
              <w:wordWrap/>
              <w:adjustRightInd/>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bCs/>
                <w:color w:val="auto"/>
                <w:sz w:val="20"/>
                <w:szCs w:val="20"/>
                <w:shd w:val="clear" w:color="auto" w:fill="auto"/>
                <w:lang w:eastAsia="zh-CN"/>
              </w:rPr>
              <w:t>项目建设</w:t>
            </w:r>
          </w:p>
          <w:p>
            <w:pPr>
              <w:widowControl w:val="0"/>
              <w:shd w:val="clear" w:color="auto" w:fill="auto"/>
              <w:wordWrap/>
              <w:adjustRightIn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地点</w:t>
            </w:r>
          </w:p>
        </w:tc>
        <w:tc>
          <w:tcPr>
            <w:tcW w:w="5891" w:type="dxa"/>
            <w:vAlign w:val="center"/>
          </w:tcPr>
          <w:p>
            <w:pPr>
              <w:widowControl w:val="0"/>
              <w:shd w:val="clear" w:color="auto" w:fill="auto"/>
              <w:wordWrap/>
              <w:adjustRightInd/>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符合环境功能</w:t>
            </w:r>
            <w:r>
              <w:rPr>
                <w:rFonts w:hint="default" w:ascii="Times New Roman" w:hAnsi="Times New Roman" w:cs="Times New Roman"/>
                <w:color w:val="auto"/>
                <w:sz w:val="20"/>
                <w:szCs w:val="20"/>
                <w:shd w:val="clear" w:color="auto" w:fill="auto"/>
                <w:lang w:val="en-US"/>
              </w:rPr>
              <w:t>区</w:t>
            </w:r>
            <w:r>
              <w:rPr>
                <w:rFonts w:hint="default" w:ascii="Times New Roman" w:hAnsi="Times New Roman" w:cs="Times New Roman"/>
                <w:color w:val="auto"/>
                <w:sz w:val="20"/>
                <w:szCs w:val="20"/>
                <w:shd w:val="clear" w:color="auto" w:fill="auto"/>
              </w:rPr>
              <w:t>划</w:t>
            </w:r>
          </w:p>
        </w:tc>
        <w:tc>
          <w:tcPr>
            <w:tcW w:w="1837" w:type="dxa"/>
            <w:vAlign w:val="center"/>
          </w:tcPr>
          <w:p>
            <w:pPr>
              <w:widowControl w:val="0"/>
              <w:shd w:val="clear" w:color="auto" w:fill="auto"/>
              <w:wordWrap/>
              <w:adjustRightInd/>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eastAsia="宋体" w:cs="Times New Roman"/>
                <w:color w:val="auto"/>
                <w:sz w:val="20"/>
                <w:szCs w:val="20"/>
                <w:shd w:val="clear" w:color="auto" w:fill="auto"/>
                <w:lang w:val="en-US" w:eastAsia="zh-CN"/>
              </w:rPr>
              <w:t>1</w:t>
            </w:r>
          </w:p>
        </w:tc>
      </w:tr>
      <w:tr>
        <w:trPr>
          <w:trHeight w:val="369" w:hRule="atLeast"/>
          <w:jc w:val="center"/>
        </w:trPr>
        <w:tc>
          <w:tcPr>
            <w:tcW w:w="1332" w:type="dxa"/>
            <w:vMerge w:val="continue"/>
            <w:vAlign w:val="center"/>
          </w:tcPr>
          <w:p>
            <w:pPr>
              <w:widowControl w:val="0"/>
              <w:shd w:val="clear" w:color="auto" w:fill="auto"/>
              <w:wordWrap/>
              <w:adjustRightInd/>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891" w:type="dxa"/>
            <w:vAlign w:val="center"/>
          </w:tcPr>
          <w:p>
            <w:pPr>
              <w:widowControl w:val="0"/>
              <w:shd w:val="clear" w:color="auto" w:fill="auto"/>
              <w:wordWrap/>
              <w:adjustRightIn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w:t>
            </w:r>
            <w:r>
              <w:rPr>
                <w:rFonts w:hint="default" w:ascii="Times New Roman" w:hAnsi="Times New Roman" w:cs="Times New Roman"/>
                <w:color w:val="auto"/>
                <w:sz w:val="20"/>
                <w:szCs w:val="20"/>
                <w:shd w:val="clear" w:color="auto" w:fill="auto"/>
                <w:lang w:val="en-US"/>
              </w:rPr>
              <w:t>区</w:t>
            </w:r>
            <w:r>
              <w:rPr>
                <w:rFonts w:hint="default" w:ascii="Times New Roman" w:hAnsi="Times New Roman" w:cs="Times New Roman"/>
                <w:color w:val="auto"/>
                <w:sz w:val="20"/>
                <w:szCs w:val="20"/>
                <w:shd w:val="clear" w:color="auto" w:fill="auto"/>
              </w:rPr>
              <w:t>划，但位于居住区、商业交通居民混合区、文化区、工业区和农村地区</w:t>
            </w:r>
          </w:p>
        </w:tc>
        <w:tc>
          <w:tcPr>
            <w:tcW w:w="1837" w:type="dxa"/>
            <w:vAlign w:val="center"/>
          </w:tcPr>
          <w:p>
            <w:pPr>
              <w:widowControl w:val="0"/>
              <w:shd w:val="clear" w:color="auto" w:fill="auto"/>
              <w:wordWrap/>
              <w:adjustRightInd/>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332" w:type="dxa"/>
            <w:vMerge w:val="continue"/>
            <w:vAlign w:val="center"/>
          </w:tcPr>
          <w:p>
            <w:pPr>
              <w:widowControl w:val="0"/>
              <w:shd w:val="clear" w:color="auto" w:fill="auto"/>
              <w:wordWrap/>
              <w:adjustRightIn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p>
        </w:tc>
        <w:tc>
          <w:tcPr>
            <w:tcW w:w="5891" w:type="dxa"/>
            <w:vAlign w:val="center"/>
          </w:tcPr>
          <w:p>
            <w:pPr>
              <w:widowControl w:val="0"/>
              <w:shd w:val="clear" w:color="auto" w:fill="auto"/>
              <w:wordWrap/>
              <w:adjustRightInd/>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不符合环境功能</w:t>
            </w:r>
            <w:r>
              <w:rPr>
                <w:rFonts w:hint="default" w:ascii="Times New Roman" w:hAnsi="Times New Roman" w:cs="Times New Roman"/>
                <w:color w:val="auto"/>
                <w:sz w:val="20"/>
                <w:szCs w:val="20"/>
                <w:shd w:val="clear" w:color="auto" w:fill="auto"/>
                <w:lang w:val="en-US"/>
              </w:rPr>
              <w:t>区</w:t>
            </w:r>
            <w:r>
              <w:rPr>
                <w:rFonts w:hint="default" w:ascii="Times New Roman" w:hAnsi="Times New Roman" w:cs="Times New Roman"/>
                <w:color w:val="auto"/>
                <w:sz w:val="20"/>
                <w:szCs w:val="20"/>
                <w:shd w:val="clear" w:color="auto" w:fill="auto"/>
              </w:rPr>
              <w:t>划，但位于自然保护区、风景名胜区和其他需要特殊保护的区域</w:t>
            </w:r>
          </w:p>
        </w:tc>
        <w:tc>
          <w:tcPr>
            <w:tcW w:w="1837" w:type="dxa"/>
            <w:vAlign w:val="center"/>
          </w:tcPr>
          <w:p>
            <w:pPr>
              <w:widowControl w:val="0"/>
              <w:shd w:val="clear" w:color="auto" w:fill="auto"/>
              <w:wordWrap/>
              <w:adjustRightInd/>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5</w:t>
            </w:r>
          </w:p>
        </w:tc>
      </w:tr>
      <w:tr>
        <w:trPr>
          <w:trHeight w:val="369" w:hRule="atLeast"/>
          <w:jc w:val="center"/>
        </w:trPr>
        <w:tc>
          <w:tcPr>
            <w:tcW w:w="1332" w:type="dxa"/>
            <w:vMerge w:val="restart"/>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lang w:val="en-US" w:eastAsia="zh-CN"/>
              </w:rPr>
            </w:pPr>
            <w:r>
              <w:rPr>
                <w:rFonts w:hint="default" w:ascii="Times New Roman" w:hAnsi="Times New Roman" w:cs="Times New Roman"/>
                <w:b/>
                <w:bCs/>
                <w:color w:val="auto"/>
                <w:sz w:val="20"/>
                <w:szCs w:val="20"/>
                <w:shd w:val="clear" w:color="auto" w:fill="auto"/>
                <w:lang w:val="en-US"/>
              </w:rPr>
              <w:t>改正时间</w:t>
            </w:r>
          </w:p>
        </w:tc>
        <w:tc>
          <w:tcPr>
            <w:tcW w:w="5891"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kern w:val="2"/>
                <w:sz w:val="21"/>
                <w:szCs w:val="21"/>
                <w:shd w:val="clear" w:color="auto" w:fill="auto"/>
                <w:lang w:eastAsia="zh-CN"/>
              </w:rPr>
              <w:t>限期改正</w:t>
            </w:r>
          </w:p>
        </w:tc>
        <w:tc>
          <w:tcPr>
            <w:tcW w:w="1837"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69"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891"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1837"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1837"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69"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1837" w:type="dxa"/>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69" w:hRule="atLeast"/>
          <w:jc w:val="center"/>
        </w:trPr>
        <w:tc>
          <w:tcPr>
            <w:tcW w:w="1332" w:type="dxa"/>
            <w:vMerge w:val="restart"/>
            <w:vAlign w:val="center"/>
          </w:tcPr>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891"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1837"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1837"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1837"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1837"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jc w:val="center"/>
        </w:trPr>
        <w:tc>
          <w:tcPr>
            <w:tcW w:w="1332" w:type="dxa"/>
            <w:vMerge w:val="continue"/>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1837" w:type="dxa"/>
            <w:vAlign w:val="center"/>
          </w:tcPr>
          <w:p>
            <w:pPr>
              <w:widowControl w:val="0"/>
              <w:shd w:val="clear" w:color="auto" w:fill="auto"/>
              <w:wordWrap/>
              <w:adjustRightInd/>
              <w:snapToGrid w:val="0"/>
              <w:spacing w:before="0" w:beforeAutospacing="0" w:after="0" w:afterAutospacing="0" w:line="280" w:lineRule="exact"/>
              <w:ind w:left="0" w:leftChars="0" w:right="0"/>
              <w:jc w:val="center"/>
              <w:textAlignment w:val="auto"/>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33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18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18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18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18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28" w:type="dxa"/>
            <w:gridSpan w:val="2"/>
            <w:vAlign w:val="center"/>
          </w:tcPr>
          <w:p>
            <w:pPr>
              <w:shd w:val="clear" w:color="auto" w:fill="auto"/>
              <w:snapToGrid w:val="0"/>
              <w:spacing w:before="0" w:beforeAutospacing="0" w:after="0" w:afterAutospacing="0" w:line="320" w:lineRule="exact"/>
              <w:ind w:left="0" w:right="0" w:firstLine="0"/>
              <w:jc w:val="both"/>
              <w:rPr>
                <w:rFonts w:hint="default" w:ascii="Times New Roman" w:hAnsi="Times New Roman" w:cs="Times New Roman"/>
                <w:color w:val="auto"/>
                <w:sz w:val="20"/>
                <w:szCs w:val="20"/>
                <w:shd w:val="clear" w:color="auto" w:fill="auto"/>
                <w:lang w:val="en-US"/>
              </w:rPr>
            </w:pPr>
          </w:p>
        </w:tc>
      </w:tr>
    </w:tbl>
    <w:p>
      <w:pPr>
        <w:widowControl/>
        <w:shd w:val="clear" w:color="auto" w:fill="auto"/>
        <w:ind w:left="420"/>
        <w:jc w:val="center"/>
        <w:outlineLvl w:val="9"/>
        <w:rPr>
          <w:rFonts w:hint="default" w:ascii="Times New Roman" w:hAnsi="Times New Roman" w:eastAsia="FangSong_GB2312" w:cs="Times New Roman"/>
          <w:b/>
          <w:bCs/>
          <w:color w:val="auto"/>
          <w:sz w:val="32"/>
          <w:szCs w:val="32"/>
          <w:shd w:val="clear" w:color="auto" w:fill="auto"/>
        </w:rPr>
      </w:pPr>
    </w:p>
    <w:p>
      <w:pPr>
        <w:widowControl/>
        <w:shd w:val="clear" w:color="auto" w:fill="auto"/>
        <w:ind w:left="420"/>
        <w:jc w:val="center"/>
        <w:outlineLvl w:val="9"/>
        <w:rPr>
          <w:rFonts w:hint="default" w:ascii="Times New Roman" w:hAnsi="Times New Roman" w:eastAsia="FangSong_GB2312" w:cs="Times New Roman"/>
          <w:b/>
          <w:bCs/>
          <w:color w:val="auto"/>
          <w:sz w:val="32"/>
          <w:szCs w:val="32"/>
          <w:shd w:val="clear" w:color="auto" w:fill="auto"/>
        </w:rPr>
      </w:pPr>
    </w:p>
    <w:p>
      <w:pPr>
        <w:widowControl/>
        <w:shd w:val="clear" w:color="auto" w:fill="auto"/>
        <w:spacing w:line="200" w:lineRule="exact"/>
        <w:ind w:left="420"/>
        <w:jc w:val="center"/>
        <w:outlineLvl w:val="9"/>
        <w:rPr>
          <w:rFonts w:hint="default" w:ascii="Times New Roman" w:hAnsi="Times New Roman" w:eastAsia="FangSong_GB2312" w:cs="Times New Roman"/>
          <w:b/>
          <w:bCs/>
          <w:color w:val="auto"/>
          <w:sz w:val="32"/>
          <w:szCs w:val="32"/>
          <w:shd w:val="clear" w:color="auto" w:fill="auto"/>
        </w:rPr>
      </w:pPr>
      <w:r>
        <w:rPr>
          <w:rFonts w:hint="default" w:ascii="Times New Roman" w:hAnsi="Times New Roman" w:eastAsia="FangSong_GB2312" w:cs="Times New Roman"/>
          <w:b/>
          <w:bCs/>
          <w:color w:val="auto"/>
          <w:sz w:val="32"/>
          <w:szCs w:val="32"/>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5891"/>
        <w:gridCol w:w="1837"/>
      </w:tblGrid>
      <w:tr>
        <w:trPr>
          <w:trHeight w:val="397" w:hRule="atLeast"/>
          <w:jc w:val="center"/>
        </w:trPr>
        <w:tc>
          <w:tcPr>
            <w:tcW w:w="9060" w:type="dxa"/>
            <w:gridSpan w:val="3"/>
            <w:vAlign w:val="top"/>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w:t>
            </w:r>
            <w:r>
              <w:rPr>
                <w:rFonts w:hint="default" w:ascii="Times New Roman" w:hAnsi="Times New Roman" w:cs="Times New Roman"/>
                <w:b/>
                <w:bCs/>
                <w:color w:val="auto"/>
                <w:sz w:val="20"/>
                <w:szCs w:val="20"/>
                <w:shd w:val="clear" w:color="auto" w:fill="auto"/>
                <w:lang w:val="en-US"/>
              </w:rPr>
              <w:t>七</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lang w:eastAsia="zh-CN"/>
              </w:rPr>
              <w:t>噪声</w:t>
            </w:r>
            <w:r>
              <w:rPr>
                <w:rFonts w:hint="default" w:ascii="Times New Roman" w:hAnsi="Times New Roman" w:cs="Times New Roman"/>
                <w:b/>
                <w:bCs/>
                <w:color w:val="auto"/>
                <w:sz w:val="20"/>
                <w:szCs w:val="20"/>
                <w:shd w:val="clear" w:color="auto" w:fill="auto"/>
                <w:lang w:val="en-US"/>
              </w:rPr>
              <w:t>污</w:t>
            </w:r>
            <w:r>
              <w:rPr>
                <w:rFonts w:hint="default" w:ascii="Times New Roman" w:hAnsi="Times New Roman" w:cs="Times New Roman"/>
                <w:b/>
                <w:bCs/>
                <w:color w:val="auto"/>
                <w:sz w:val="20"/>
                <w:szCs w:val="20"/>
                <w:shd w:val="clear" w:color="auto" w:fill="auto"/>
              </w:rPr>
              <w:t>染防治类</w:t>
            </w:r>
          </w:p>
        </w:tc>
      </w:tr>
      <w:tr>
        <w:trPr>
          <w:trHeight w:val="397" w:hRule="atLeast"/>
          <w:jc w:val="center"/>
        </w:trPr>
        <w:tc>
          <w:tcPr>
            <w:tcW w:w="133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28" w:type="dxa"/>
            <w:gridSpan w:val="2"/>
            <w:vAlign w:val="center"/>
          </w:tcPr>
          <w:p>
            <w:pPr>
              <w:shd w:val="clear" w:color="auto" w:fill="auto"/>
              <w:wordWrap/>
              <w:adjustRightInd/>
              <w:snapToGrid w:val="0"/>
              <w:spacing w:before="0" w:beforeAutospacing="0" w:after="0" w:afterAutospacing="0" w:line="280" w:lineRule="exact"/>
              <w:ind w:left="0" w:right="0"/>
              <w:jc w:val="center"/>
              <w:textAlignment w:val="auto"/>
              <w:outlineLvl w:val="0"/>
              <w:rPr>
                <w:rFonts w:hint="default" w:ascii="Times New Roman" w:hAnsi="Times New Roman" w:eastAsia="宋体" w:cs="Times New Roman"/>
                <w:color w:val="auto"/>
                <w:sz w:val="20"/>
                <w:szCs w:val="20"/>
                <w:shd w:val="clear" w:color="auto" w:fill="auto"/>
                <w:lang w:val="en-US" w:eastAsia="zh-CN"/>
              </w:rPr>
            </w:pPr>
            <w:bookmarkStart w:id="380" w:name="_Toc1360"/>
            <w:r>
              <w:rPr>
                <w:rFonts w:hint="default" w:ascii="Times New Roman" w:hAnsi="Times New Roman" w:cs="Times New Roman"/>
                <w:color w:val="auto"/>
                <w:sz w:val="20"/>
                <w:szCs w:val="20"/>
                <w:shd w:val="clear" w:color="auto" w:fill="auto"/>
                <w:lang w:val="en-US" w:eastAsia="zh-CN"/>
              </w:rPr>
              <w:t>4</w:t>
            </w:r>
            <w:bookmarkEnd w:id="380"/>
          </w:p>
        </w:tc>
      </w:tr>
      <w:tr>
        <w:trPr>
          <w:trHeight w:val="397" w:hRule="atLeast"/>
          <w:jc w:val="center"/>
        </w:trPr>
        <w:tc>
          <w:tcPr>
            <w:tcW w:w="133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28" w:type="dxa"/>
            <w:gridSpan w:val="2"/>
            <w:vAlign w:val="center"/>
          </w:tcPr>
          <w:p>
            <w:pPr>
              <w:shd w:val="clear" w:color="auto" w:fill="auto"/>
              <w:wordWrap/>
              <w:adjustRightInd/>
              <w:snapToGrid w:val="0"/>
              <w:spacing w:before="0" w:beforeAutospacing="0" w:after="0" w:afterAutospacing="0" w:line="280" w:lineRule="exact"/>
              <w:ind w:left="0" w:right="0" w:firstLine="420"/>
              <w:textAlignment w:val="auto"/>
              <w:outlineLvl w:val="0"/>
              <w:rPr>
                <w:rFonts w:hint="default" w:ascii="Times New Roman" w:hAnsi="Times New Roman" w:cs="Times New Roman"/>
                <w:color w:val="auto"/>
                <w:sz w:val="20"/>
                <w:szCs w:val="20"/>
                <w:shd w:val="clear" w:color="auto" w:fill="auto"/>
              </w:rPr>
            </w:pPr>
            <w:bookmarkStart w:id="381" w:name="_Toc16451"/>
            <w:r>
              <w:rPr>
                <w:rFonts w:hint="default" w:ascii="Times New Roman" w:hAnsi="Times New Roman" w:cs="Times New Roman"/>
                <w:color w:val="auto"/>
                <w:sz w:val="20"/>
                <w:szCs w:val="20"/>
                <w:shd w:val="clear" w:color="auto" w:fill="auto"/>
              </w:rPr>
              <w:t>未按照规定对工业噪声开展自行监测，未保存原始监测记录，或者未向社会公开监测结果的</w:t>
            </w:r>
            <w:bookmarkEnd w:id="381"/>
          </w:p>
        </w:tc>
      </w:tr>
      <w:tr>
        <w:trPr>
          <w:trHeight w:val="397" w:hRule="atLeast"/>
          <w:jc w:val="center"/>
        </w:trPr>
        <w:tc>
          <w:tcPr>
            <w:tcW w:w="133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28" w:type="dxa"/>
            <w:gridSpan w:val="2"/>
            <w:vAlign w:val="center"/>
          </w:tcPr>
          <w:p>
            <w:pPr>
              <w:shd w:val="clear" w:color="auto" w:fill="auto"/>
              <w:wordWrap/>
              <w:adjustRightInd/>
              <w:snapToGrid w:val="0"/>
              <w:spacing w:before="0" w:beforeAutospacing="0" w:after="0" w:afterAutospacing="0" w:line="280" w:lineRule="exact"/>
              <w:ind w:left="0" w:right="0" w:firstLine="482"/>
              <w:textAlignment w:val="auto"/>
              <w:rPr>
                <w:rFonts w:hint="default" w:ascii="Times New Roman" w:hAnsi="Times New Roman" w:cs="Times New Roman"/>
                <w:b w:val="0"/>
                <w:bCs w:val="0"/>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w:t>
            </w:r>
            <w:r>
              <w:rPr>
                <w:rFonts w:hint="default" w:ascii="Times New Roman" w:hAnsi="Times New Roman" w:cs="Times New Roman"/>
                <w:b/>
                <w:bCs/>
                <w:color w:val="auto"/>
                <w:sz w:val="20"/>
                <w:szCs w:val="20"/>
                <w:shd w:val="clear" w:color="auto" w:fill="auto"/>
                <w:lang w:eastAsia="zh-CN"/>
              </w:rPr>
              <w:t>噪声</w:t>
            </w:r>
            <w:r>
              <w:rPr>
                <w:rFonts w:hint="default" w:ascii="Times New Roman" w:hAnsi="Times New Roman" w:cs="Times New Roman"/>
                <w:b/>
                <w:bCs/>
                <w:color w:val="auto"/>
                <w:sz w:val="20"/>
                <w:szCs w:val="20"/>
                <w:shd w:val="clear" w:color="auto" w:fill="auto"/>
              </w:rPr>
              <w:t>污染防治法》第三十八条</w:t>
            </w:r>
            <w:r>
              <w:rPr>
                <w:rFonts w:hint="default" w:ascii="Times New Roman" w:hAnsi="Times New Roman" w:cs="Times New Roman"/>
                <w:b/>
                <w:bCs/>
                <w:color w:val="auto"/>
                <w:sz w:val="20"/>
                <w:szCs w:val="20"/>
                <w:shd w:val="clear" w:color="auto" w:fill="auto"/>
                <w:lang w:eastAsia="zh-CN"/>
              </w:rPr>
              <w:t>第一款</w:t>
            </w:r>
            <w:r>
              <w:rPr>
                <w:rFonts w:hint="default" w:ascii="Times New Roman" w:hAnsi="Times New Roman" w:cs="Times New Roman"/>
                <w:b/>
                <w:bCs/>
                <w:color w:val="auto"/>
                <w:sz w:val="20"/>
                <w:szCs w:val="20"/>
                <w:shd w:val="clear" w:color="auto" w:fill="auto"/>
                <w:lang w:val="en-US" w:eastAsia="zh-CN"/>
              </w:rPr>
              <w:t xml:space="preserve">  </w:t>
            </w:r>
            <w:r>
              <w:rPr>
                <w:rFonts w:hint="default" w:ascii="Times New Roman" w:hAnsi="Times New Roman" w:cs="Times New Roman"/>
                <w:b w:val="0"/>
                <w:bCs w:val="0"/>
                <w:color w:val="auto"/>
                <w:sz w:val="20"/>
                <w:szCs w:val="20"/>
                <w:shd w:val="clear" w:color="auto" w:fill="auto"/>
              </w:rPr>
              <w:t>实行排污许可管理的单位应当按照规定，对工业噪声开展自行监测，保存原始监测记录，向社会公开监测结果，对监测数据的真实性和准确性负责。</w:t>
            </w:r>
          </w:p>
        </w:tc>
      </w:tr>
      <w:tr>
        <w:trPr>
          <w:trHeight w:val="397" w:hRule="atLeast"/>
          <w:jc w:val="center"/>
        </w:trPr>
        <w:tc>
          <w:tcPr>
            <w:tcW w:w="133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28" w:type="dxa"/>
            <w:gridSpan w:val="2"/>
            <w:vAlign w:val="center"/>
          </w:tcPr>
          <w:p>
            <w:pPr>
              <w:shd w:val="clear" w:color="auto" w:fill="auto"/>
              <w:wordWrap/>
              <w:adjustRightInd/>
              <w:snapToGrid w:val="0"/>
              <w:spacing w:before="0" w:beforeAutospacing="0" w:after="0" w:afterAutospacing="0" w:line="280" w:lineRule="exact"/>
              <w:ind w:left="0" w:right="0" w:firstLine="42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w:t>
            </w:r>
            <w:r>
              <w:rPr>
                <w:rFonts w:hint="default" w:ascii="Times New Roman" w:hAnsi="Times New Roman" w:cs="Times New Roman"/>
                <w:b/>
                <w:bCs/>
                <w:color w:val="auto"/>
                <w:sz w:val="20"/>
                <w:szCs w:val="20"/>
                <w:shd w:val="clear" w:color="auto" w:fill="auto"/>
                <w:lang w:eastAsia="zh-CN"/>
              </w:rPr>
              <w:t>噪声</w:t>
            </w:r>
            <w:r>
              <w:rPr>
                <w:rFonts w:hint="default" w:ascii="Times New Roman" w:hAnsi="Times New Roman" w:cs="Times New Roman"/>
                <w:b/>
                <w:bCs/>
                <w:color w:val="auto"/>
                <w:sz w:val="20"/>
                <w:szCs w:val="20"/>
                <w:shd w:val="clear" w:color="auto" w:fill="auto"/>
              </w:rPr>
              <w:t>污染防治法》 第七十六条</w:t>
            </w:r>
            <w:r>
              <w:rPr>
                <w:rFonts w:hint="default" w:ascii="Times New Roman" w:hAnsi="Times New Roman" w:cs="Times New Roman"/>
                <w:b/>
                <w:bCs/>
                <w:color w:val="auto"/>
                <w:sz w:val="20"/>
                <w:szCs w:val="20"/>
                <w:shd w:val="clear" w:color="auto" w:fill="auto"/>
                <w:lang w:eastAsia="zh-CN"/>
              </w:rPr>
              <w:t>第一款</w:t>
            </w:r>
            <w:r>
              <w:rPr>
                <w:rFonts w:hint="default" w:ascii="Times New Roman" w:hAnsi="Times New Roman" w:cs="Times New Roman"/>
                <w:b/>
                <w:bCs/>
                <w:color w:val="auto"/>
                <w:sz w:val="20"/>
                <w:szCs w:val="20"/>
                <w:shd w:val="clear" w:color="auto" w:fill="auto"/>
                <w:lang w:val="en-US" w:eastAsia="zh-CN"/>
              </w:rPr>
              <w:t xml:space="preserve">  </w:t>
            </w:r>
            <w:r>
              <w:rPr>
                <w:rFonts w:hint="default" w:ascii="Times New Roman" w:hAnsi="Times New Roman" w:cs="Times New Roman"/>
                <w:color w:val="auto"/>
                <w:sz w:val="20"/>
                <w:szCs w:val="20"/>
                <w:shd w:val="clear" w:color="auto" w:fill="auto"/>
              </w:rPr>
              <w:t>违反本法规定，有下列行为之一，由生态环境主管部门责令改正，处二万元以上二十万元以下的罚款；拒不改正的，责令限制生产、停产整治：</w:t>
            </w:r>
          </w:p>
          <w:p>
            <w:pPr>
              <w:shd w:val="clear" w:color="auto" w:fill="auto"/>
              <w:wordWrap/>
              <w:adjustRightInd/>
              <w:snapToGrid w:val="0"/>
              <w:spacing w:before="0" w:beforeAutospacing="0" w:after="0" w:afterAutospacing="0" w:line="280" w:lineRule="exact"/>
              <w:ind w:left="0" w:right="0" w:firstLine="42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（一）实行排污许可管理的单位未按照规定对工业噪声开展自行监测，未保存原始监测记录，或者未向社会公开监测结果的</w:t>
            </w:r>
          </w:p>
        </w:tc>
      </w:tr>
      <w:tr>
        <w:trPr>
          <w:trHeight w:val="397" w:hRule="atLeast"/>
          <w:jc w:val="center"/>
        </w:trPr>
        <w:tc>
          <w:tcPr>
            <w:tcW w:w="1332"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891"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18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jc w:val="center"/>
        </w:trPr>
        <w:tc>
          <w:tcPr>
            <w:tcW w:w="1332"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891"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按</w:t>
            </w:r>
            <w:r>
              <w:rPr>
                <w:rFonts w:hint="default" w:ascii="Times New Roman" w:hAnsi="Times New Roman" w:cs="Times New Roman"/>
                <w:color w:val="auto"/>
                <w:sz w:val="20"/>
                <w:szCs w:val="20"/>
                <w:shd w:val="clear" w:color="auto" w:fill="auto"/>
                <w:lang w:val="en-US"/>
              </w:rPr>
              <w:t>照</w:t>
            </w:r>
            <w:r>
              <w:rPr>
                <w:rFonts w:hint="default" w:ascii="Times New Roman" w:hAnsi="Times New Roman" w:cs="Times New Roman"/>
                <w:color w:val="auto"/>
                <w:sz w:val="20"/>
                <w:szCs w:val="20"/>
                <w:shd w:val="clear" w:color="auto" w:fill="auto"/>
              </w:rPr>
              <w:t>规定进行了监测，原始监测记录</w:t>
            </w:r>
            <w:r>
              <w:rPr>
                <w:rFonts w:hint="default" w:ascii="Times New Roman" w:hAnsi="Times New Roman" w:cs="Times New Roman"/>
                <w:color w:val="auto"/>
                <w:sz w:val="20"/>
                <w:szCs w:val="20"/>
                <w:shd w:val="clear" w:color="auto" w:fill="auto"/>
                <w:lang w:val="en-US"/>
              </w:rPr>
              <w:t>保存</w:t>
            </w:r>
            <w:r>
              <w:rPr>
                <w:rFonts w:hint="default" w:ascii="Times New Roman" w:hAnsi="Times New Roman" w:cs="Times New Roman"/>
                <w:color w:val="auto"/>
                <w:sz w:val="20"/>
                <w:szCs w:val="20"/>
                <w:shd w:val="clear" w:color="auto" w:fill="auto"/>
              </w:rPr>
              <w:t>70%以上</w:t>
            </w:r>
            <w:r>
              <w:rPr>
                <w:rFonts w:hint="default" w:ascii="Times New Roman" w:hAnsi="Times New Roman" w:cs="Times New Roman"/>
                <w:color w:val="auto"/>
                <w:sz w:val="20"/>
                <w:szCs w:val="20"/>
                <w:shd w:val="clear" w:color="auto" w:fill="auto"/>
                <w:lang w:val="en-US"/>
              </w:rPr>
              <w:t>或</w:t>
            </w:r>
            <w:r>
              <w:rPr>
                <w:rFonts w:hint="default" w:ascii="Times New Roman" w:hAnsi="Times New Roman" w:cs="Times New Roman"/>
                <w:color w:val="auto"/>
                <w:sz w:val="20"/>
                <w:szCs w:val="20"/>
                <w:shd w:val="clear" w:color="auto" w:fill="auto"/>
                <w:lang w:val="en-US" w:eastAsia="zh-CN"/>
              </w:rPr>
              <w:t>未按规定公开监测结果</w:t>
            </w:r>
          </w:p>
        </w:tc>
        <w:tc>
          <w:tcPr>
            <w:tcW w:w="18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332"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按照规定进行了监测</w:t>
            </w:r>
            <w:r>
              <w:rPr>
                <w:rFonts w:hint="default" w:ascii="Times New Roman" w:hAnsi="Times New Roman" w:cs="Times New Roman"/>
                <w:color w:val="auto"/>
                <w:sz w:val="20"/>
                <w:szCs w:val="20"/>
                <w:shd w:val="clear" w:color="auto" w:fill="auto"/>
              </w:rPr>
              <w:t>，</w:t>
            </w:r>
            <w:r>
              <w:rPr>
                <w:rFonts w:hint="default" w:ascii="Times New Roman" w:hAnsi="Times New Roman" w:cs="Times New Roman"/>
                <w:color w:val="auto"/>
                <w:sz w:val="20"/>
                <w:szCs w:val="20"/>
                <w:shd w:val="clear" w:color="auto" w:fill="auto"/>
                <w:lang w:eastAsia="zh-CN"/>
              </w:rPr>
              <w:t>但</w:t>
            </w:r>
            <w:r>
              <w:rPr>
                <w:rFonts w:hint="default" w:ascii="Times New Roman" w:hAnsi="Times New Roman" w:cs="Times New Roman"/>
                <w:color w:val="auto"/>
                <w:sz w:val="20"/>
                <w:szCs w:val="20"/>
                <w:shd w:val="clear" w:color="auto" w:fill="auto"/>
              </w:rPr>
              <w:t>原始监测记录</w:t>
            </w:r>
            <w:r>
              <w:rPr>
                <w:rFonts w:hint="default" w:ascii="Times New Roman" w:hAnsi="Times New Roman" w:cs="Times New Roman"/>
                <w:color w:val="auto"/>
                <w:sz w:val="20"/>
                <w:szCs w:val="20"/>
                <w:shd w:val="clear" w:color="auto" w:fill="auto"/>
                <w:lang w:val="en-US"/>
              </w:rPr>
              <w:t>保存</w:t>
            </w:r>
            <w:r>
              <w:rPr>
                <w:rFonts w:hint="default" w:ascii="Times New Roman" w:hAnsi="Times New Roman" w:cs="Times New Roman"/>
                <w:color w:val="auto"/>
                <w:sz w:val="20"/>
                <w:szCs w:val="20"/>
                <w:shd w:val="clear" w:color="auto" w:fill="auto"/>
              </w:rPr>
              <w:t>70%</w:t>
            </w:r>
            <w:r>
              <w:rPr>
                <w:rFonts w:hint="default" w:ascii="Times New Roman" w:hAnsi="Times New Roman" w:cs="Times New Roman"/>
                <w:color w:val="auto"/>
                <w:sz w:val="20"/>
                <w:szCs w:val="20"/>
                <w:shd w:val="clear" w:color="auto" w:fill="auto"/>
                <w:lang w:val="en-US"/>
              </w:rPr>
              <w:t>以下</w:t>
            </w:r>
          </w:p>
        </w:tc>
        <w:tc>
          <w:tcPr>
            <w:tcW w:w="18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32"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eastAsia="zh-CN"/>
              </w:rPr>
              <w:t>未按照规定进行监测</w:t>
            </w:r>
            <w:r>
              <w:rPr>
                <w:rFonts w:hint="default" w:ascii="Times New Roman" w:hAnsi="Times New Roman" w:cs="Times New Roman"/>
                <w:color w:val="auto"/>
                <w:sz w:val="20"/>
                <w:szCs w:val="20"/>
                <w:shd w:val="clear" w:color="auto" w:fill="auto"/>
                <w:lang w:val="en-US"/>
              </w:rPr>
              <w:t>或</w:t>
            </w:r>
            <w:r>
              <w:rPr>
                <w:rFonts w:hint="default" w:ascii="Times New Roman" w:hAnsi="Times New Roman" w:cs="Times New Roman"/>
                <w:color w:val="auto"/>
                <w:sz w:val="20"/>
                <w:szCs w:val="20"/>
                <w:shd w:val="clear" w:color="auto" w:fill="auto"/>
                <w:lang w:val="en-US" w:eastAsia="zh-CN"/>
              </w:rPr>
              <w:t>未公开监测结果</w:t>
            </w:r>
          </w:p>
        </w:tc>
        <w:tc>
          <w:tcPr>
            <w:tcW w:w="18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32"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未监测或未保存监测记录的</w:t>
            </w:r>
            <w:r>
              <w:rPr>
                <w:rFonts w:hint="default" w:ascii="Times New Roman" w:hAnsi="Times New Roman" w:cs="Times New Roman"/>
                <w:color w:val="auto"/>
                <w:sz w:val="20"/>
                <w:szCs w:val="20"/>
                <w:shd w:val="clear" w:color="auto" w:fill="auto"/>
                <w:lang w:val="en-US" w:eastAsia="zh-CN"/>
              </w:rPr>
              <w:t>/公开监测结果造假</w:t>
            </w:r>
          </w:p>
        </w:tc>
        <w:tc>
          <w:tcPr>
            <w:tcW w:w="18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5</w:t>
            </w:r>
          </w:p>
        </w:tc>
      </w:tr>
      <w:tr>
        <w:trPr>
          <w:trHeight w:val="397" w:hRule="atLeast"/>
          <w:jc w:val="center"/>
        </w:trPr>
        <w:tc>
          <w:tcPr>
            <w:tcW w:w="1332"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企业规模</w:t>
            </w:r>
          </w:p>
        </w:tc>
        <w:tc>
          <w:tcPr>
            <w:tcW w:w="5891"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微型企业</w:t>
            </w:r>
          </w:p>
        </w:tc>
        <w:tc>
          <w:tcPr>
            <w:tcW w:w="18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332"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小型企业</w:t>
            </w:r>
          </w:p>
        </w:tc>
        <w:tc>
          <w:tcPr>
            <w:tcW w:w="18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32"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中型企业</w:t>
            </w:r>
          </w:p>
        </w:tc>
        <w:tc>
          <w:tcPr>
            <w:tcW w:w="18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32"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大型企业</w:t>
            </w:r>
          </w:p>
        </w:tc>
        <w:tc>
          <w:tcPr>
            <w:tcW w:w="18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32"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管理类别</w:t>
            </w:r>
          </w:p>
        </w:tc>
        <w:tc>
          <w:tcPr>
            <w:tcW w:w="5891"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登记管理</w:t>
            </w:r>
          </w:p>
        </w:tc>
        <w:tc>
          <w:tcPr>
            <w:tcW w:w="18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332"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eastAsia="zh-CN"/>
              </w:rPr>
              <w:t>简化管理</w:t>
            </w:r>
          </w:p>
        </w:tc>
        <w:tc>
          <w:tcPr>
            <w:tcW w:w="18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32"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重点管理</w:t>
            </w:r>
          </w:p>
        </w:tc>
        <w:tc>
          <w:tcPr>
            <w:tcW w:w="18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32" w:type="dxa"/>
            <w:vMerge w:val="restart"/>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污染防治设施建设使用情况</w:t>
            </w:r>
          </w:p>
        </w:tc>
        <w:tc>
          <w:tcPr>
            <w:tcW w:w="5891"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配套污染防治设施已建成的</w:t>
            </w:r>
          </w:p>
        </w:tc>
        <w:tc>
          <w:tcPr>
            <w:tcW w:w="18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2"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配套污染防治设施正在建设的</w:t>
            </w:r>
          </w:p>
        </w:tc>
        <w:tc>
          <w:tcPr>
            <w:tcW w:w="18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32" w:type="dxa"/>
            <w:vMerge w:val="continue"/>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配套污染防治设施尚未建设的</w:t>
            </w:r>
          </w:p>
        </w:tc>
        <w:tc>
          <w:tcPr>
            <w:tcW w:w="1837" w:type="dxa"/>
            <w:vAlign w:val="center"/>
          </w:tcPr>
          <w:p>
            <w:pPr>
              <w:shd w:val="clear" w:color="auto" w:fill="auto"/>
              <w:wordWrap/>
              <w:adjustRightInd/>
              <w:snapToGrid w:val="0"/>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2" w:type="dxa"/>
            <w:vMerge w:val="restart"/>
            <w:vAlign w:val="center"/>
          </w:tcPr>
          <w:p>
            <w:pPr>
              <w:shd w:val="clear" w:color="auto" w:fill="auto"/>
              <w:wordWrap/>
              <w:adjustRightInd/>
              <w:spacing w:before="0" w:beforeAutospacing="0" w:after="0" w:afterAutospacing="0" w:line="28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bCs/>
                <w:color w:val="auto"/>
                <w:sz w:val="20"/>
                <w:szCs w:val="20"/>
                <w:shd w:val="clear" w:color="auto" w:fill="auto"/>
                <w:lang w:eastAsia="zh-CN"/>
              </w:rPr>
              <w:t>项目建设</w:t>
            </w:r>
          </w:p>
          <w:p>
            <w:pPr>
              <w:shd w:val="clear" w:color="auto" w:fill="auto"/>
              <w:wordWrap/>
              <w:adjustRightIn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b/>
                <w:bCs/>
                <w:color w:val="auto"/>
                <w:sz w:val="20"/>
                <w:szCs w:val="20"/>
                <w:shd w:val="clear" w:color="auto" w:fill="auto"/>
                <w:lang w:eastAsia="zh-CN"/>
              </w:rPr>
              <w:t>地点</w:t>
            </w:r>
          </w:p>
        </w:tc>
        <w:tc>
          <w:tcPr>
            <w:tcW w:w="5891" w:type="dxa"/>
            <w:vAlign w:val="center"/>
          </w:tcPr>
          <w:p>
            <w:pPr>
              <w:shd w:val="clear" w:color="auto" w:fill="auto"/>
              <w:wordWrap/>
              <w:adjustRightInd/>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符合环境功能</w:t>
            </w:r>
            <w:r>
              <w:rPr>
                <w:rFonts w:hint="default" w:ascii="Times New Roman" w:hAnsi="Times New Roman" w:cs="Times New Roman"/>
                <w:color w:val="auto"/>
                <w:sz w:val="20"/>
                <w:szCs w:val="20"/>
                <w:shd w:val="clear" w:color="auto" w:fill="auto"/>
                <w:lang w:val="en-US"/>
              </w:rPr>
              <w:t>区</w:t>
            </w:r>
            <w:r>
              <w:rPr>
                <w:rFonts w:hint="default" w:ascii="Times New Roman" w:hAnsi="Times New Roman" w:cs="Times New Roman"/>
                <w:color w:val="auto"/>
                <w:sz w:val="20"/>
                <w:szCs w:val="20"/>
                <w:shd w:val="clear" w:color="auto" w:fill="auto"/>
              </w:rPr>
              <w:t>划</w:t>
            </w:r>
          </w:p>
        </w:tc>
        <w:tc>
          <w:tcPr>
            <w:tcW w:w="1837" w:type="dxa"/>
            <w:vAlign w:val="center"/>
          </w:tcPr>
          <w:p>
            <w:pPr>
              <w:shd w:val="clear" w:color="auto" w:fill="auto"/>
              <w:wordWrap/>
              <w:adjustRightInd/>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eastAsia="宋体" w:cs="Times New Roman"/>
                <w:color w:val="auto"/>
                <w:sz w:val="20"/>
                <w:szCs w:val="20"/>
                <w:shd w:val="clear" w:color="auto" w:fill="auto"/>
                <w:lang w:val="en-US" w:eastAsia="zh-CN"/>
              </w:rPr>
              <w:t>1</w:t>
            </w:r>
          </w:p>
        </w:tc>
      </w:tr>
      <w:tr>
        <w:trPr>
          <w:trHeight w:val="397" w:hRule="atLeast"/>
          <w:jc w:val="center"/>
        </w:trPr>
        <w:tc>
          <w:tcPr>
            <w:tcW w:w="1332" w:type="dxa"/>
            <w:vMerge w:val="continue"/>
            <w:vAlign w:val="center"/>
          </w:tcPr>
          <w:p>
            <w:pPr>
              <w:shd w:val="clear" w:color="auto" w:fill="auto"/>
              <w:wordWrap/>
              <w:adjustRightInd/>
              <w:spacing w:before="0" w:beforeAutospacing="0" w:after="0" w:afterAutospacing="0" w:line="280" w:lineRule="exact"/>
              <w:ind w:left="0" w:right="0"/>
              <w:jc w:val="center"/>
              <w:textAlignment w:val="auto"/>
              <w:rPr>
                <w:rFonts w:hint="default" w:ascii="Times New Roman" w:hAnsi="Times New Roman" w:eastAsia="宋体" w:cs="Times New Roman"/>
                <w:b/>
                <w:bCs/>
                <w:color w:val="auto"/>
                <w:sz w:val="20"/>
                <w:szCs w:val="20"/>
                <w:shd w:val="clear" w:color="auto" w:fill="auto"/>
                <w:lang w:eastAsia="zh-CN"/>
              </w:rPr>
            </w:pPr>
          </w:p>
        </w:tc>
        <w:tc>
          <w:tcPr>
            <w:tcW w:w="5891" w:type="dxa"/>
            <w:vAlign w:val="center"/>
          </w:tcPr>
          <w:p>
            <w:pPr>
              <w:shd w:val="clear" w:color="auto" w:fill="auto"/>
              <w:wordWrap/>
              <w:adjustRightIn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w:t>
            </w:r>
            <w:r>
              <w:rPr>
                <w:rFonts w:hint="default" w:ascii="Times New Roman" w:hAnsi="Times New Roman" w:cs="Times New Roman"/>
                <w:color w:val="auto"/>
                <w:sz w:val="20"/>
                <w:szCs w:val="20"/>
                <w:shd w:val="clear" w:color="auto" w:fill="auto"/>
                <w:lang w:val="en-US"/>
              </w:rPr>
              <w:t>区</w:t>
            </w:r>
            <w:r>
              <w:rPr>
                <w:rFonts w:hint="default" w:ascii="Times New Roman" w:hAnsi="Times New Roman" w:cs="Times New Roman"/>
                <w:color w:val="auto"/>
                <w:sz w:val="20"/>
                <w:szCs w:val="20"/>
                <w:shd w:val="clear" w:color="auto" w:fill="auto"/>
              </w:rPr>
              <w:t>划，但位于居住区、商业交通居民混合区、文化区、工业区和农村地区</w:t>
            </w:r>
          </w:p>
        </w:tc>
        <w:tc>
          <w:tcPr>
            <w:tcW w:w="1837" w:type="dxa"/>
            <w:vAlign w:val="center"/>
          </w:tcPr>
          <w:p>
            <w:pPr>
              <w:shd w:val="clear" w:color="auto" w:fill="auto"/>
              <w:wordWrap/>
              <w:adjustRightInd/>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32" w:type="dxa"/>
            <w:vMerge w:val="continue"/>
            <w:vAlign w:val="center"/>
          </w:tcPr>
          <w:p>
            <w:pPr>
              <w:shd w:val="clear" w:color="auto" w:fill="auto"/>
              <w:wordWrap/>
              <w:adjustRightInd/>
              <w:spacing w:before="0" w:beforeAutospacing="0" w:after="0" w:afterAutospacing="0" w:line="280" w:lineRule="exact"/>
              <w:ind w:left="0" w:right="0"/>
              <w:jc w:val="center"/>
              <w:textAlignment w:val="auto"/>
              <w:rPr>
                <w:rFonts w:hint="default" w:ascii="Times New Roman" w:hAnsi="Times New Roman" w:cs="Times New Roman"/>
                <w:color w:val="auto"/>
                <w:sz w:val="20"/>
                <w:szCs w:val="20"/>
                <w:shd w:val="clear" w:color="auto" w:fill="auto"/>
              </w:rPr>
            </w:pPr>
          </w:p>
        </w:tc>
        <w:tc>
          <w:tcPr>
            <w:tcW w:w="5891" w:type="dxa"/>
            <w:vAlign w:val="center"/>
          </w:tcPr>
          <w:p>
            <w:pPr>
              <w:shd w:val="clear" w:color="auto" w:fill="auto"/>
              <w:wordWrap/>
              <w:adjustRightInd/>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不符合环境功能</w:t>
            </w:r>
            <w:r>
              <w:rPr>
                <w:rFonts w:hint="default" w:ascii="Times New Roman" w:hAnsi="Times New Roman" w:cs="Times New Roman"/>
                <w:color w:val="auto"/>
                <w:sz w:val="20"/>
                <w:szCs w:val="20"/>
                <w:shd w:val="clear" w:color="auto" w:fill="auto"/>
                <w:lang w:val="en-US"/>
              </w:rPr>
              <w:t>区</w:t>
            </w:r>
            <w:r>
              <w:rPr>
                <w:rFonts w:hint="default" w:ascii="Times New Roman" w:hAnsi="Times New Roman" w:cs="Times New Roman"/>
                <w:color w:val="auto"/>
                <w:sz w:val="20"/>
                <w:szCs w:val="20"/>
                <w:shd w:val="clear" w:color="auto" w:fill="auto"/>
              </w:rPr>
              <w:t>划，但位于自然保护区、风景名胜区和其他需要特殊保护的区域</w:t>
            </w:r>
          </w:p>
        </w:tc>
        <w:tc>
          <w:tcPr>
            <w:tcW w:w="1837" w:type="dxa"/>
            <w:vAlign w:val="center"/>
          </w:tcPr>
          <w:p>
            <w:pPr>
              <w:shd w:val="clear" w:color="auto" w:fill="auto"/>
              <w:wordWrap/>
              <w:adjustRightInd/>
              <w:spacing w:before="0" w:beforeAutospacing="0" w:after="0" w:afterAutospacing="0" w:line="28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32"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r>
              <w:rPr>
                <w:rFonts w:hint="default" w:ascii="Times New Roman" w:hAnsi="Times New Roman" w:cs="Times New Roman"/>
                <w:b/>
                <w:bCs/>
                <w:color w:val="auto"/>
                <w:sz w:val="20"/>
                <w:szCs w:val="20"/>
                <w:shd w:val="clear" w:color="auto" w:fill="auto"/>
                <w:lang w:val="en-US"/>
              </w:rPr>
              <w:t>改正时间</w:t>
            </w:r>
          </w:p>
        </w:tc>
        <w:tc>
          <w:tcPr>
            <w:tcW w:w="5891"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kern w:val="2"/>
                <w:sz w:val="21"/>
                <w:szCs w:val="21"/>
                <w:shd w:val="clear" w:color="auto" w:fill="auto"/>
                <w:lang w:eastAsia="zh-CN"/>
              </w:rPr>
              <w:t>限期改正</w:t>
            </w:r>
          </w:p>
        </w:tc>
        <w:tc>
          <w:tcPr>
            <w:tcW w:w="18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33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18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3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3天以上7天以下</w:t>
            </w:r>
          </w:p>
        </w:tc>
        <w:tc>
          <w:tcPr>
            <w:tcW w:w="18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33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7天以上</w:t>
            </w:r>
          </w:p>
        </w:tc>
        <w:tc>
          <w:tcPr>
            <w:tcW w:w="18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32"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89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18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jc w:val="center"/>
        </w:trPr>
        <w:tc>
          <w:tcPr>
            <w:tcW w:w="13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18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jc w:val="center"/>
        </w:trPr>
        <w:tc>
          <w:tcPr>
            <w:tcW w:w="13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18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jc w:val="center"/>
        </w:trPr>
        <w:tc>
          <w:tcPr>
            <w:tcW w:w="13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18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jc w:val="center"/>
        </w:trPr>
        <w:tc>
          <w:tcPr>
            <w:tcW w:w="13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18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jc w:val="center"/>
        </w:trPr>
        <w:tc>
          <w:tcPr>
            <w:tcW w:w="133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18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18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18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18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28" w:type="dxa"/>
            <w:gridSpan w:val="2"/>
            <w:vAlign w:val="center"/>
          </w:tcPr>
          <w:p>
            <w:pPr>
              <w:shd w:val="clear" w:color="auto" w:fill="auto"/>
              <w:snapToGrid w:val="0"/>
              <w:spacing w:before="0" w:beforeAutospacing="0" w:after="0" w:afterAutospacing="0" w:line="320" w:lineRule="exact"/>
              <w:ind w:left="0" w:right="0" w:firstLine="0"/>
              <w:jc w:val="both"/>
              <w:rPr>
                <w:rFonts w:hint="default" w:ascii="Times New Roman" w:hAnsi="Times New Roman" w:cs="Times New Roman"/>
                <w:color w:val="auto"/>
                <w:sz w:val="20"/>
                <w:szCs w:val="20"/>
                <w:shd w:val="clear" w:color="auto" w:fill="auto"/>
                <w:lang w:val="en-US"/>
              </w:rPr>
            </w:pPr>
          </w:p>
        </w:tc>
      </w:tr>
    </w:tbl>
    <w:p>
      <w:pPr>
        <w:widowControl/>
        <w:shd w:val="clear" w:color="auto" w:fill="auto"/>
        <w:ind w:left="420"/>
        <w:jc w:val="center"/>
        <w:outlineLvl w:val="9"/>
        <w:rPr>
          <w:rFonts w:hint="default" w:ascii="Times New Roman" w:hAnsi="Times New Roman" w:eastAsia="FangSong_GB2312" w:cs="Times New Roman"/>
          <w:b/>
          <w:bCs/>
          <w:color w:val="auto"/>
          <w:sz w:val="32"/>
          <w:szCs w:val="32"/>
          <w:shd w:val="clear" w:color="auto" w:fill="auto"/>
        </w:rPr>
      </w:pPr>
    </w:p>
    <w:p>
      <w:pPr>
        <w:widowControl/>
        <w:shd w:val="clear" w:color="auto" w:fill="auto"/>
        <w:ind w:left="420"/>
        <w:jc w:val="center"/>
        <w:outlineLvl w:val="9"/>
        <w:rPr>
          <w:rFonts w:hint="default" w:ascii="Times New Roman" w:hAnsi="Times New Roman" w:eastAsia="FangSong_GB2312" w:cs="Times New Roman"/>
          <w:b/>
          <w:bCs/>
          <w:color w:val="auto"/>
          <w:sz w:val="32"/>
          <w:szCs w:val="32"/>
          <w:shd w:val="clear" w:color="auto" w:fill="auto"/>
        </w:rPr>
      </w:pPr>
    </w:p>
    <w:p>
      <w:pPr>
        <w:widowControl/>
        <w:shd w:val="clear" w:color="auto" w:fill="auto"/>
        <w:ind w:left="420"/>
        <w:jc w:val="center"/>
        <w:outlineLvl w:val="9"/>
        <w:rPr>
          <w:rFonts w:hint="default" w:ascii="Times New Roman" w:hAnsi="Times New Roman" w:eastAsia="FangSong_GB2312" w:cs="Times New Roman"/>
          <w:b/>
          <w:bCs/>
          <w:color w:val="auto"/>
          <w:sz w:val="32"/>
          <w:szCs w:val="32"/>
          <w:shd w:val="clear" w:color="auto" w:fill="auto"/>
        </w:rPr>
      </w:pPr>
    </w:p>
    <w:p>
      <w:pPr>
        <w:widowControl/>
        <w:shd w:val="clear" w:color="auto" w:fill="auto"/>
        <w:spacing w:line="200" w:lineRule="exact"/>
        <w:ind w:left="420"/>
        <w:jc w:val="center"/>
        <w:outlineLvl w:val="9"/>
        <w:rPr>
          <w:rFonts w:hint="default" w:ascii="Times New Roman" w:hAnsi="Times New Roman" w:eastAsia="FangSong_GB2312" w:cs="Times New Roman"/>
          <w:b/>
          <w:bCs/>
          <w:color w:val="auto"/>
          <w:sz w:val="32"/>
          <w:szCs w:val="32"/>
          <w:shd w:val="clear" w:color="auto" w:fill="auto"/>
        </w:rPr>
      </w:pPr>
      <w:r>
        <w:rPr>
          <w:rFonts w:hint="default" w:ascii="Times New Roman" w:hAnsi="Times New Roman" w:eastAsia="FangSong_GB2312" w:cs="Times New Roman"/>
          <w:b/>
          <w:bCs/>
          <w:color w:val="auto"/>
          <w:sz w:val="32"/>
          <w:szCs w:val="32"/>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5891"/>
        <w:gridCol w:w="1837"/>
      </w:tblGrid>
      <w:tr>
        <w:trPr>
          <w:trHeight w:val="397" w:hRule="atLeast"/>
          <w:jc w:val="center"/>
        </w:trPr>
        <w:tc>
          <w:tcPr>
            <w:tcW w:w="9060" w:type="dxa"/>
            <w:gridSpan w:val="3"/>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w:t>
            </w:r>
            <w:r>
              <w:rPr>
                <w:rFonts w:hint="default" w:ascii="Times New Roman" w:hAnsi="Times New Roman" w:cs="Times New Roman"/>
                <w:b/>
                <w:bCs/>
                <w:color w:val="auto"/>
                <w:sz w:val="20"/>
                <w:szCs w:val="20"/>
                <w:shd w:val="clear" w:color="auto" w:fill="auto"/>
                <w:lang w:val="en-US"/>
              </w:rPr>
              <w:t>七</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lang w:eastAsia="zh-CN"/>
              </w:rPr>
              <w:t>噪声</w:t>
            </w:r>
            <w:r>
              <w:rPr>
                <w:rFonts w:hint="default" w:ascii="Times New Roman" w:hAnsi="Times New Roman" w:cs="Times New Roman"/>
                <w:b/>
                <w:bCs/>
                <w:color w:val="auto"/>
                <w:sz w:val="20"/>
                <w:szCs w:val="20"/>
                <w:shd w:val="clear" w:color="auto" w:fill="auto"/>
              </w:rPr>
              <w:t>染防治类</w:t>
            </w:r>
          </w:p>
        </w:tc>
      </w:tr>
      <w:tr>
        <w:trPr>
          <w:trHeight w:val="90" w:hRule="atLeast"/>
          <w:jc w:val="center"/>
        </w:trPr>
        <w:tc>
          <w:tcPr>
            <w:tcW w:w="13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28" w:type="dxa"/>
            <w:gridSpan w:val="2"/>
            <w:vAlign w:val="center"/>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eastAsia="宋体" w:cs="Times New Roman"/>
                <w:color w:val="auto"/>
                <w:sz w:val="20"/>
                <w:szCs w:val="20"/>
                <w:shd w:val="clear" w:color="auto" w:fill="auto"/>
                <w:lang w:eastAsia="zh-CN"/>
              </w:rPr>
            </w:pPr>
            <w:bookmarkStart w:id="382" w:name="_Toc14340"/>
            <w:r>
              <w:rPr>
                <w:rFonts w:hint="default" w:ascii="Times New Roman" w:hAnsi="Times New Roman" w:cs="Times New Roman"/>
                <w:color w:val="auto"/>
                <w:sz w:val="20"/>
                <w:szCs w:val="20"/>
                <w:shd w:val="clear" w:color="auto" w:fill="auto"/>
                <w:lang w:eastAsia="zh-CN"/>
              </w:rPr>
              <w:t>5</w:t>
            </w:r>
            <w:bookmarkEnd w:id="382"/>
          </w:p>
        </w:tc>
      </w:tr>
      <w:tr>
        <w:trPr>
          <w:trHeight w:val="397" w:hRule="atLeast"/>
          <w:jc w:val="center"/>
        </w:trPr>
        <w:tc>
          <w:tcPr>
            <w:tcW w:w="13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28" w:type="dxa"/>
            <w:gridSpan w:val="2"/>
            <w:vAlign w:val="center"/>
          </w:tcPr>
          <w:p>
            <w:pPr>
              <w:shd w:val="clear" w:color="auto" w:fill="auto"/>
              <w:snapToGrid w:val="0"/>
              <w:spacing w:before="0" w:beforeAutospacing="0" w:after="0" w:afterAutospacing="0" w:line="280" w:lineRule="exact"/>
              <w:ind w:left="0" w:right="0" w:firstLine="420"/>
              <w:outlineLvl w:val="0"/>
              <w:rPr>
                <w:rFonts w:hint="default" w:ascii="Times New Roman" w:hAnsi="Times New Roman" w:cs="Times New Roman"/>
                <w:color w:val="auto"/>
                <w:sz w:val="20"/>
                <w:szCs w:val="20"/>
                <w:shd w:val="clear" w:color="auto" w:fill="auto"/>
              </w:rPr>
            </w:pPr>
            <w:bookmarkStart w:id="383" w:name="_Toc6056"/>
            <w:r>
              <w:rPr>
                <w:rFonts w:hint="default" w:ascii="Times New Roman" w:hAnsi="Times New Roman" w:cs="Times New Roman"/>
                <w:color w:val="auto"/>
                <w:sz w:val="20"/>
                <w:szCs w:val="20"/>
                <w:shd w:val="clear" w:color="auto" w:fill="auto"/>
                <w:lang w:val="en-US"/>
              </w:rPr>
              <w:t>噪声</w:t>
            </w:r>
            <w:r>
              <w:rPr>
                <w:rFonts w:hint="default" w:ascii="Times New Roman" w:hAnsi="Times New Roman" w:cs="Times New Roman"/>
                <w:color w:val="auto"/>
                <w:sz w:val="20"/>
                <w:szCs w:val="20"/>
                <w:shd w:val="clear" w:color="auto" w:fill="auto"/>
              </w:rPr>
              <w:t>重点排污单位未按照国家规定安装、使用、维护噪声自动监测设备，或者未与生态环境主管部门的监控设备联网的</w:t>
            </w:r>
            <w:bookmarkEnd w:id="383"/>
          </w:p>
        </w:tc>
      </w:tr>
      <w:tr>
        <w:trPr>
          <w:trHeight w:val="397" w:hRule="atLeast"/>
          <w:jc w:val="center"/>
        </w:trPr>
        <w:tc>
          <w:tcPr>
            <w:tcW w:w="13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28" w:type="dxa"/>
            <w:gridSpan w:val="2"/>
            <w:vAlign w:val="top"/>
          </w:tcPr>
          <w:p>
            <w:pPr>
              <w:shd w:val="clear" w:color="auto" w:fill="auto"/>
              <w:snapToGrid w:val="0"/>
              <w:spacing w:before="0" w:beforeAutospacing="0" w:after="0" w:afterAutospacing="0" w:line="280" w:lineRule="exact"/>
              <w:ind w:left="0" w:right="0" w:firstLine="482"/>
              <w:rPr>
                <w:rFonts w:hint="default" w:ascii="Times New Roman" w:hAnsi="Times New Roman" w:cs="Times New Roman"/>
                <w:b w:val="0"/>
                <w:bCs w:val="0"/>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w:t>
            </w:r>
            <w:r>
              <w:rPr>
                <w:rFonts w:hint="default" w:ascii="Times New Roman" w:hAnsi="Times New Roman" w:cs="Times New Roman"/>
                <w:b/>
                <w:bCs/>
                <w:color w:val="auto"/>
                <w:sz w:val="20"/>
                <w:szCs w:val="20"/>
                <w:shd w:val="clear" w:color="auto" w:fill="auto"/>
                <w:lang w:eastAsia="zh-CN"/>
              </w:rPr>
              <w:t>噪声</w:t>
            </w:r>
            <w:r>
              <w:rPr>
                <w:rFonts w:hint="default" w:ascii="Times New Roman" w:hAnsi="Times New Roman" w:cs="Times New Roman"/>
                <w:b/>
                <w:bCs/>
                <w:color w:val="auto"/>
                <w:sz w:val="20"/>
                <w:szCs w:val="20"/>
                <w:shd w:val="clear" w:color="auto" w:fill="auto"/>
              </w:rPr>
              <w:t>污染防治法》第三十八条</w:t>
            </w:r>
            <w:r>
              <w:rPr>
                <w:rFonts w:hint="default" w:ascii="Times New Roman" w:hAnsi="Times New Roman" w:cs="Times New Roman"/>
                <w:b/>
                <w:bCs/>
                <w:color w:val="auto"/>
                <w:sz w:val="20"/>
                <w:szCs w:val="20"/>
                <w:shd w:val="clear" w:color="auto" w:fill="auto"/>
                <w:lang w:eastAsia="zh-CN"/>
              </w:rPr>
              <w:t>第二款</w:t>
            </w:r>
            <w:r>
              <w:rPr>
                <w:rFonts w:hint="default" w:ascii="Times New Roman" w:hAnsi="Times New Roman" w:cs="Times New Roman"/>
                <w:b/>
                <w:bCs/>
                <w:color w:val="auto"/>
                <w:sz w:val="20"/>
                <w:szCs w:val="20"/>
                <w:shd w:val="clear" w:color="auto" w:fill="auto"/>
                <w:lang w:val="en-US" w:eastAsia="zh-CN"/>
              </w:rPr>
              <w:t xml:space="preserve">  </w:t>
            </w:r>
            <w:r>
              <w:rPr>
                <w:rFonts w:hint="default" w:ascii="Times New Roman" w:hAnsi="Times New Roman" w:cs="Times New Roman"/>
                <w:b w:val="0"/>
                <w:bCs w:val="0"/>
                <w:color w:val="auto"/>
                <w:sz w:val="20"/>
                <w:szCs w:val="20"/>
                <w:shd w:val="clear" w:color="auto" w:fill="auto"/>
              </w:rPr>
              <w:t>噪声重点排污单位应当按照国家规定，安装、使用、维护噪声自动监测设备，与生态环境主管部门的监控设备联网。</w:t>
            </w:r>
          </w:p>
        </w:tc>
      </w:tr>
      <w:tr>
        <w:trPr>
          <w:trHeight w:val="397" w:hRule="atLeast"/>
          <w:jc w:val="center"/>
        </w:trPr>
        <w:tc>
          <w:tcPr>
            <w:tcW w:w="13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28" w:type="dxa"/>
            <w:gridSpan w:val="2"/>
            <w:vAlign w:val="top"/>
          </w:tcPr>
          <w:p>
            <w:pPr>
              <w:shd w:val="clear" w:color="auto" w:fill="auto"/>
              <w:snapToGrid w:val="0"/>
              <w:spacing w:before="0" w:beforeAutospacing="0" w:after="0" w:afterAutospacing="0" w:line="28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《中华人民共和国</w:t>
            </w:r>
            <w:r>
              <w:rPr>
                <w:rFonts w:hint="default" w:ascii="Times New Roman" w:hAnsi="Times New Roman" w:cs="Times New Roman"/>
                <w:b/>
                <w:bCs/>
                <w:color w:val="auto"/>
                <w:sz w:val="20"/>
                <w:szCs w:val="20"/>
                <w:shd w:val="clear" w:color="auto" w:fill="auto"/>
                <w:lang w:eastAsia="zh-CN"/>
              </w:rPr>
              <w:t>噪声</w:t>
            </w:r>
            <w:r>
              <w:rPr>
                <w:rFonts w:hint="default" w:ascii="Times New Roman" w:hAnsi="Times New Roman" w:cs="Times New Roman"/>
                <w:b/>
                <w:bCs/>
                <w:color w:val="auto"/>
                <w:sz w:val="20"/>
                <w:szCs w:val="20"/>
                <w:shd w:val="clear" w:color="auto" w:fill="auto"/>
              </w:rPr>
              <w:t>污染防治法》 第七十六条</w:t>
            </w:r>
            <w:r>
              <w:rPr>
                <w:rFonts w:hint="default" w:ascii="Times New Roman" w:hAnsi="Times New Roman" w:cs="Times New Roman"/>
                <w:b/>
                <w:bCs/>
                <w:color w:val="auto"/>
                <w:sz w:val="20"/>
                <w:szCs w:val="20"/>
                <w:shd w:val="clear" w:color="auto" w:fill="auto"/>
                <w:lang w:eastAsia="zh-CN"/>
              </w:rPr>
              <w:t>第二款</w:t>
            </w:r>
            <w:r>
              <w:rPr>
                <w:rFonts w:hint="default" w:ascii="Times New Roman" w:hAnsi="Times New Roman" w:cs="Times New Roman"/>
                <w:b/>
                <w:bCs/>
                <w:color w:val="auto"/>
                <w:sz w:val="20"/>
                <w:szCs w:val="20"/>
                <w:shd w:val="clear" w:color="auto" w:fill="auto"/>
                <w:lang w:val="en-US" w:eastAsia="zh-CN"/>
              </w:rPr>
              <w:t xml:space="preserve">  </w:t>
            </w:r>
            <w:r>
              <w:rPr>
                <w:rFonts w:hint="default" w:ascii="Times New Roman" w:hAnsi="Times New Roman" w:cs="Times New Roman"/>
                <w:color w:val="auto"/>
                <w:sz w:val="20"/>
                <w:szCs w:val="20"/>
                <w:shd w:val="clear" w:color="auto" w:fill="auto"/>
              </w:rPr>
              <w:t>违反本法规定，有下列行为之一，由生态环境主管部门责令改正，处二万元以上二十万元以下的罚款；拒不改正的，责令限制生产、停产整治：</w:t>
            </w:r>
          </w:p>
          <w:p>
            <w:pPr>
              <w:shd w:val="clear" w:color="auto" w:fill="auto"/>
              <w:snapToGrid w:val="0"/>
              <w:spacing w:before="0" w:beforeAutospacing="0" w:after="0" w:afterAutospacing="0" w:line="28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（二）噪声重点排污单位未按照国家规定安装、使用、维护噪声自动监测设备，或者未与生态环境主管部门的监控设备联网的。</w:t>
            </w:r>
          </w:p>
        </w:tc>
      </w:tr>
      <w:tr>
        <w:trPr>
          <w:trHeight w:val="397" w:hRule="atLeast"/>
          <w:jc w:val="center"/>
        </w:trPr>
        <w:tc>
          <w:tcPr>
            <w:tcW w:w="13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40" w:hRule="atLeast"/>
          <w:jc w:val="center"/>
        </w:trPr>
        <w:tc>
          <w:tcPr>
            <w:tcW w:w="133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自动监测设备已</w:t>
            </w:r>
            <w:r>
              <w:rPr>
                <w:rFonts w:hint="default" w:ascii="Times New Roman" w:hAnsi="Times New Roman" w:cs="Times New Roman"/>
                <w:color w:val="auto"/>
                <w:sz w:val="20"/>
                <w:szCs w:val="20"/>
                <w:shd w:val="clear" w:color="auto" w:fill="auto"/>
                <w:lang w:eastAsia="zh-CN"/>
              </w:rPr>
              <w:t>按规定</w:t>
            </w:r>
            <w:r>
              <w:rPr>
                <w:rFonts w:hint="default" w:ascii="Times New Roman" w:hAnsi="Times New Roman" w:cs="Times New Roman"/>
                <w:color w:val="auto"/>
                <w:sz w:val="20"/>
                <w:szCs w:val="20"/>
                <w:shd w:val="clear" w:color="auto" w:fill="auto"/>
              </w:rPr>
              <w:t>安装，未按照规定与生态环境主管部门监控设备联网的</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40"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自动监测设备</w:t>
            </w:r>
            <w:r>
              <w:rPr>
                <w:rFonts w:hint="default" w:ascii="Times New Roman" w:hAnsi="Times New Roman" w:cs="Times New Roman"/>
                <w:color w:val="auto"/>
                <w:sz w:val="20"/>
                <w:szCs w:val="20"/>
                <w:shd w:val="clear" w:color="auto" w:fill="auto"/>
                <w:lang w:eastAsia="zh-CN"/>
              </w:rPr>
              <w:t>已按照规定</w:t>
            </w:r>
            <w:r>
              <w:rPr>
                <w:rFonts w:hint="default" w:ascii="Times New Roman" w:hAnsi="Times New Roman" w:cs="Times New Roman"/>
                <w:color w:val="auto"/>
                <w:sz w:val="20"/>
                <w:szCs w:val="20"/>
                <w:shd w:val="clear" w:color="auto" w:fill="auto"/>
              </w:rPr>
              <w:t>安装、</w:t>
            </w:r>
            <w:r>
              <w:rPr>
                <w:rFonts w:hint="default" w:ascii="Times New Roman" w:hAnsi="Times New Roman" w:cs="Times New Roman"/>
                <w:color w:val="auto"/>
                <w:sz w:val="20"/>
                <w:szCs w:val="20"/>
                <w:shd w:val="clear" w:color="auto" w:fill="auto"/>
                <w:lang w:eastAsia="zh-CN"/>
              </w:rPr>
              <w:t>联网，未按照规定使用</w:t>
            </w:r>
            <w:r>
              <w:rPr>
                <w:rFonts w:hint="default" w:ascii="Times New Roman" w:hAnsi="Times New Roman" w:cs="Times New Roman"/>
                <w:color w:val="auto"/>
                <w:sz w:val="20"/>
                <w:szCs w:val="20"/>
                <w:shd w:val="clear" w:color="auto" w:fill="auto"/>
              </w:rPr>
              <w:t>的</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2</w:t>
            </w:r>
          </w:p>
        </w:tc>
      </w:tr>
      <w:tr>
        <w:trPr>
          <w:trHeight w:val="340"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eastAsia="zh-CN"/>
              </w:rPr>
              <w:t>自动监测设备未按照规定安装，已联网的</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40"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自动监测设备未按照规定安装，</w:t>
            </w:r>
            <w:r>
              <w:rPr>
                <w:rFonts w:hint="default" w:ascii="Times New Roman" w:hAnsi="Times New Roman" w:cs="Times New Roman"/>
                <w:color w:val="auto"/>
                <w:sz w:val="20"/>
                <w:szCs w:val="20"/>
                <w:shd w:val="clear" w:color="auto" w:fill="auto"/>
                <w:lang w:eastAsia="zh-CN"/>
              </w:rPr>
              <w:t>未按照规定使用</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4</w:t>
            </w:r>
          </w:p>
        </w:tc>
      </w:tr>
      <w:tr>
        <w:trPr>
          <w:trHeight w:val="340"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未安装污染物排放自动监测设备</w:t>
            </w:r>
            <w:r>
              <w:rPr>
                <w:rFonts w:hint="default"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rPr>
              <w:t>擅自停运部分或全部污染源自动监测设备</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5</w:t>
            </w:r>
          </w:p>
        </w:tc>
      </w:tr>
      <w:tr>
        <w:trPr>
          <w:trHeight w:val="340" w:hRule="atLeast"/>
          <w:jc w:val="center"/>
        </w:trPr>
        <w:tc>
          <w:tcPr>
            <w:tcW w:w="133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监测数据</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误差</w:t>
            </w: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未保证监测设备正常运行，造成自动监测与人工监测（或者标准物质测试）数据误差超过技术规范允许范围1倍以</w:t>
            </w:r>
            <w:r>
              <w:rPr>
                <w:rFonts w:hint="default" w:ascii="Times New Roman" w:hAnsi="Times New Roman" w:cs="Times New Roman"/>
                <w:color w:val="auto"/>
                <w:sz w:val="20"/>
                <w:szCs w:val="20"/>
                <w:shd w:val="clear" w:color="auto" w:fill="auto"/>
                <w:lang w:eastAsia="zh-CN"/>
              </w:rPr>
              <w:t>下</w:t>
            </w:r>
            <w:r>
              <w:rPr>
                <w:rFonts w:hint="default" w:ascii="Times New Roman" w:hAnsi="Times New Roman" w:cs="Times New Roman"/>
                <w:color w:val="auto"/>
                <w:sz w:val="20"/>
                <w:szCs w:val="20"/>
                <w:shd w:val="clear" w:color="auto" w:fill="auto"/>
              </w:rPr>
              <w:t>的</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40"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未保证监测设备正常运行，造成自动监测与人工监测（或者标准物质测试）数据误差超过技术规范允许范围1倍以上2倍以下的</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40"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未保证监测设备正常运行，造成自动监测与人工监测（或者标准物质测试）数据误差超过技术规范允许范围2倍以上3倍以下的</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4</w:t>
            </w:r>
          </w:p>
        </w:tc>
      </w:tr>
      <w:tr>
        <w:trPr>
          <w:trHeight w:val="340"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未保证自动监测设备正常运行，造成自动监测与人工监测（或者标准物质测试）数据误差超过技术规范允许范围3倍以上的</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5</w:t>
            </w:r>
          </w:p>
        </w:tc>
      </w:tr>
      <w:tr>
        <w:trPr>
          <w:trHeight w:val="340" w:hRule="atLeast"/>
          <w:jc w:val="center"/>
        </w:trPr>
        <w:tc>
          <w:tcPr>
            <w:tcW w:w="133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监测数据</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传输偏差</w:t>
            </w: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传输的自动监测数据与现场分析仪表数据不一致，数据偏差1%</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5%</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40"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传输的自动监测数据与现场分析仪表数据不一致，数据偏差5%</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10%</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40"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传输的自动监测数据与现场分析仪表数据不一致，数据偏差10%</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的</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5</w:t>
            </w:r>
          </w:p>
        </w:tc>
      </w:tr>
      <w:tr>
        <w:trPr>
          <w:trHeight w:val="340" w:hRule="atLeast"/>
          <w:jc w:val="center"/>
        </w:trPr>
        <w:tc>
          <w:tcPr>
            <w:tcW w:w="133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自动监测</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数据有效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传输率</w:t>
            </w: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自动监测季度数据有效传输率</w:t>
            </w:r>
            <w:r>
              <w:rPr>
                <w:rFonts w:hint="eastAsia" w:ascii="Times New Roman" w:hAnsi="Times New Roman" w:cs="Times New Roman"/>
                <w:color w:val="auto"/>
                <w:sz w:val="20"/>
                <w:szCs w:val="20"/>
                <w:shd w:val="clear" w:color="auto" w:fill="auto"/>
                <w:lang w:eastAsia="zh-CN"/>
              </w:rPr>
              <w:t>9</w:t>
            </w:r>
            <w:r>
              <w:rPr>
                <w:rFonts w:hint="eastAsia" w:ascii="Times New Roman" w:hAnsi="Times New Roman" w:cs="Times New Roman"/>
                <w:color w:val="auto"/>
                <w:sz w:val="20"/>
                <w:szCs w:val="20"/>
                <w:shd w:val="clear" w:color="auto" w:fill="auto"/>
                <w:lang w:val="en-US" w:eastAsia="zh-CN"/>
              </w:rPr>
              <w:t>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9</w:t>
            </w:r>
            <w:r>
              <w:rPr>
                <w:rFonts w:hint="eastAsia" w:ascii="Times New Roman" w:hAnsi="Times New Roman" w:cs="Times New Roman"/>
                <w:color w:val="auto"/>
                <w:sz w:val="20"/>
                <w:szCs w:val="20"/>
                <w:shd w:val="clear" w:color="auto" w:fill="auto"/>
                <w:lang w:val="en-US" w:eastAsia="zh-CN"/>
              </w:rPr>
              <w:t>9</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自动监测季度数据有效传输率</w:t>
            </w:r>
            <w:r>
              <w:rPr>
                <w:rFonts w:hint="eastAsia" w:ascii="Times New Roman" w:hAnsi="Times New Roman" w:cs="Times New Roman"/>
                <w:color w:val="auto"/>
                <w:sz w:val="20"/>
                <w:szCs w:val="20"/>
                <w:shd w:val="clear" w:color="auto" w:fill="auto"/>
                <w:lang w:val="en-US" w:eastAsia="zh-CN"/>
              </w:rPr>
              <w:t>85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9</w:t>
            </w:r>
            <w:r>
              <w:rPr>
                <w:rFonts w:hint="eastAsia" w:ascii="Times New Roman" w:hAnsi="Times New Roman" w:cs="Times New Roman"/>
                <w:color w:val="auto"/>
                <w:sz w:val="20"/>
                <w:szCs w:val="20"/>
                <w:shd w:val="clear" w:color="auto" w:fill="auto"/>
                <w:lang w:val="en-US" w:eastAsia="zh-CN"/>
              </w:rPr>
              <w:t>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2</w:t>
            </w:r>
          </w:p>
        </w:tc>
      </w:tr>
      <w:tr>
        <w:trPr>
          <w:trHeight w:val="340"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自动监测季度数据有效传输率</w:t>
            </w:r>
            <w:r>
              <w:rPr>
                <w:rFonts w:hint="eastAsia" w:ascii="Times New Roman" w:hAnsi="Times New Roman" w:cs="Times New Roman"/>
                <w:color w:val="auto"/>
                <w:sz w:val="20"/>
                <w:szCs w:val="20"/>
                <w:shd w:val="clear" w:color="auto" w:fill="auto"/>
                <w:lang w:val="en-US" w:eastAsia="zh-CN"/>
              </w:rPr>
              <w:t>75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以上</w:t>
            </w:r>
            <w:r>
              <w:rPr>
                <w:rFonts w:hint="eastAsia" w:ascii="Times New Roman" w:hAnsi="Times New Roman" w:cs="Times New Roman"/>
                <w:color w:val="auto"/>
                <w:sz w:val="20"/>
                <w:szCs w:val="20"/>
                <w:shd w:val="clear" w:color="auto" w:fill="auto"/>
                <w:lang w:val="en-US" w:eastAsia="zh-CN"/>
              </w:rPr>
              <w:t>85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40"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自动监测季度数据有效传输率60%</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75%</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eastAsia="zh-CN"/>
              </w:rPr>
              <w:t>4</w:t>
            </w:r>
          </w:p>
        </w:tc>
      </w:tr>
      <w:tr>
        <w:trPr>
          <w:trHeight w:val="340"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自动监测季度数据有效传输率60%</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3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企业规模</w:t>
            </w: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微型企业</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40"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小型企业</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340"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中型企业</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40"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大型企业</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4</w:t>
            </w:r>
          </w:p>
        </w:tc>
      </w:tr>
      <w:tr>
        <w:trPr>
          <w:trHeight w:val="340" w:hRule="atLeast"/>
          <w:jc w:val="center"/>
        </w:trPr>
        <w:tc>
          <w:tcPr>
            <w:tcW w:w="1332"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eastAsia="zh-CN"/>
              </w:rPr>
            </w:pPr>
            <w:r>
              <w:rPr>
                <w:rFonts w:hint="default" w:ascii="Times New Roman" w:hAnsi="Times New Roman" w:cs="Times New Roman"/>
                <w:b/>
                <w:bCs/>
                <w:color w:val="auto"/>
                <w:sz w:val="20"/>
                <w:szCs w:val="20"/>
                <w:shd w:val="clear" w:color="auto" w:fill="auto"/>
                <w:lang w:val="en-US"/>
              </w:rPr>
              <w:t>改正时间</w:t>
            </w:r>
          </w:p>
        </w:tc>
        <w:tc>
          <w:tcPr>
            <w:tcW w:w="5891"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kern w:val="2"/>
                <w:sz w:val="21"/>
                <w:szCs w:val="21"/>
                <w:shd w:val="clear" w:color="auto" w:fill="auto"/>
                <w:lang w:eastAsia="zh-CN"/>
              </w:rPr>
              <w:t>限期改正</w:t>
            </w:r>
          </w:p>
        </w:tc>
        <w:tc>
          <w:tcPr>
            <w:tcW w:w="18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1</w:t>
            </w:r>
          </w:p>
        </w:tc>
      </w:tr>
      <w:tr>
        <w:trPr>
          <w:trHeight w:val="340" w:hRule="atLeast"/>
          <w:jc w:val="center"/>
        </w:trPr>
        <w:tc>
          <w:tcPr>
            <w:tcW w:w="133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18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40" w:hRule="atLeast"/>
          <w:jc w:val="center"/>
        </w:trPr>
        <w:tc>
          <w:tcPr>
            <w:tcW w:w="133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18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4</w:t>
            </w:r>
          </w:p>
        </w:tc>
      </w:tr>
      <w:tr>
        <w:trPr>
          <w:trHeight w:val="340" w:hRule="atLeast"/>
          <w:jc w:val="center"/>
        </w:trPr>
        <w:tc>
          <w:tcPr>
            <w:tcW w:w="1332"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7天以上</w:t>
            </w:r>
          </w:p>
        </w:tc>
        <w:tc>
          <w:tcPr>
            <w:tcW w:w="18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5</w:t>
            </w:r>
          </w:p>
        </w:tc>
      </w:tr>
      <w:tr>
        <w:trPr>
          <w:trHeight w:val="340" w:hRule="atLeast"/>
          <w:jc w:val="center"/>
        </w:trPr>
        <w:tc>
          <w:tcPr>
            <w:tcW w:w="1332"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89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18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40" w:hRule="atLeast"/>
          <w:jc w:val="center"/>
        </w:trPr>
        <w:tc>
          <w:tcPr>
            <w:tcW w:w="13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18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40" w:hRule="atLeast"/>
          <w:jc w:val="center"/>
        </w:trPr>
        <w:tc>
          <w:tcPr>
            <w:tcW w:w="13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18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40" w:hRule="atLeast"/>
          <w:jc w:val="center"/>
        </w:trPr>
        <w:tc>
          <w:tcPr>
            <w:tcW w:w="13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18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40" w:hRule="atLeast"/>
          <w:jc w:val="center"/>
        </w:trPr>
        <w:tc>
          <w:tcPr>
            <w:tcW w:w="1332"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183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40" w:hRule="atLeast"/>
          <w:jc w:val="center"/>
        </w:trPr>
        <w:tc>
          <w:tcPr>
            <w:tcW w:w="133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18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3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eastAsia="zh-CN"/>
              </w:rPr>
              <w:t>配合检查</w:t>
            </w:r>
          </w:p>
        </w:tc>
        <w:tc>
          <w:tcPr>
            <w:tcW w:w="18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18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sz w:val="20"/>
                <w:szCs w:val="20"/>
                <w:shd w:val="clear" w:color="auto" w:fill="auto"/>
                <w:lang w:val="en-US" w:eastAsia="zh-CN"/>
              </w:rPr>
              <w:t>3</w:t>
            </w:r>
          </w:p>
        </w:tc>
      </w:tr>
      <w:tr>
        <w:trPr>
          <w:trHeight w:val="340"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围堵、滞留执法人员</w:t>
            </w:r>
          </w:p>
        </w:tc>
        <w:tc>
          <w:tcPr>
            <w:tcW w:w="18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40" w:hRule="atLeast"/>
          <w:jc w:val="center"/>
        </w:trPr>
        <w:tc>
          <w:tcPr>
            <w:tcW w:w="133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8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暴力抗法</w:t>
            </w:r>
          </w:p>
        </w:tc>
        <w:tc>
          <w:tcPr>
            <w:tcW w:w="18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28" w:type="dxa"/>
            <w:gridSpan w:val="2"/>
            <w:vAlign w:val="center"/>
          </w:tcPr>
          <w:p>
            <w:pPr>
              <w:shd w:val="clear" w:color="auto" w:fill="auto"/>
              <w:snapToGrid w:val="0"/>
              <w:spacing w:before="0" w:beforeAutospacing="0" w:after="0" w:afterAutospacing="0" w:line="320" w:lineRule="exact"/>
              <w:ind w:left="0" w:right="0" w:firstLine="0"/>
              <w:jc w:val="both"/>
              <w:rPr>
                <w:rFonts w:hint="default" w:ascii="Times New Roman" w:hAnsi="Times New Roman" w:cs="Times New Roman"/>
                <w:color w:val="auto"/>
                <w:sz w:val="20"/>
                <w:szCs w:val="20"/>
                <w:shd w:val="clear" w:color="auto" w:fill="auto"/>
                <w:lang w:val="en-US"/>
              </w:rPr>
            </w:pPr>
          </w:p>
        </w:tc>
      </w:tr>
    </w:tbl>
    <w:p>
      <w:pPr>
        <w:widowControl/>
        <w:shd w:val="clear" w:color="auto" w:fill="auto"/>
        <w:ind w:left="420"/>
        <w:jc w:val="center"/>
        <w:outlineLvl w:val="9"/>
        <w:rPr>
          <w:rFonts w:hint="default" w:ascii="Times New Roman" w:hAnsi="Times New Roman" w:eastAsia="FangSong_GB2312" w:cs="Times New Roman"/>
          <w:b/>
          <w:bCs/>
          <w:color w:val="auto"/>
          <w:sz w:val="32"/>
          <w:szCs w:val="32"/>
          <w:shd w:val="clear" w:color="auto" w:fill="auto"/>
        </w:rPr>
      </w:pPr>
    </w:p>
    <w:p>
      <w:pPr>
        <w:widowControl/>
        <w:shd w:val="clear" w:color="auto" w:fill="auto"/>
        <w:ind w:left="420"/>
        <w:jc w:val="center"/>
        <w:outlineLvl w:val="9"/>
        <w:rPr>
          <w:rFonts w:hint="default" w:ascii="Times New Roman" w:hAnsi="Times New Roman" w:eastAsia="FangSong_GB2312" w:cs="Times New Roman"/>
          <w:b/>
          <w:bCs/>
          <w:color w:val="auto"/>
          <w:sz w:val="32"/>
          <w:szCs w:val="32"/>
          <w:shd w:val="clear" w:color="auto" w:fill="auto"/>
        </w:rPr>
      </w:pPr>
    </w:p>
    <w:p>
      <w:pPr>
        <w:widowControl/>
        <w:shd w:val="clear" w:color="auto" w:fill="auto"/>
        <w:ind w:left="420"/>
        <w:jc w:val="center"/>
        <w:outlineLvl w:val="9"/>
        <w:rPr>
          <w:rFonts w:hint="default" w:ascii="Times New Roman" w:hAnsi="Times New Roman" w:eastAsia="FangSong_GB2312" w:cs="Times New Roman"/>
          <w:b/>
          <w:bCs/>
          <w:color w:val="auto"/>
          <w:sz w:val="32"/>
          <w:szCs w:val="32"/>
          <w:shd w:val="clear" w:color="auto" w:fill="auto"/>
        </w:rPr>
      </w:pPr>
    </w:p>
    <w:p>
      <w:pPr>
        <w:widowControl/>
        <w:shd w:val="clear" w:color="auto" w:fill="auto"/>
        <w:ind w:left="420"/>
        <w:jc w:val="center"/>
        <w:outlineLvl w:val="9"/>
        <w:rPr>
          <w:rFonts w:hint="default" w:ascii="Times New Roman" w:hAnsi="Times New Roman" w:eastAsia="FangSong_GB2312" w:cs="Times New Roman"/>
          <w:b/>
          <w:bCs/>
          <w:color w:val="auto"/>
          <w:sz w:val="32"/>
          <w:szCs w:val="32"/>
          <w:shd w:val="clear" w:color="auto" w:fill="auto"/>
        </w:rPr>
      </w:pPr>
    </w:p>
    <w:p>
      <w:pPr>
        <w:widowControl/>
        <w:shd w:val="clear" w:color="auto" w:fill="auto"/>
        <w:ind w:left="420"/>
        <w:jc w:val="center"/>
        <w:outlineLvl w:val="9"/>
        <w:rPr>
          <w:rFonts w:hint="default" w:ascii="Times New Roman" w:hAnsi="Times New Roman" w:eastAsia="FangSong_GB2312" w:cs="Times New Roman"/>
          <w:b/>
          <w:bCs/>
          <w:color w:val="auto"/>
          <w:sz w:val="32"/>
          <w:szCs w:val="32"/>
          <w:shd w:val="clear" w:color="auto" w:fill="auto"/>
        </w:rPr>
      </w:pPr>
    </w:p>
    <w:p>
      <w:pPr>
        <w:widowControl/>
        <w:shd w:val="clear" w:color="auto" w:fill="auto"/>
        <w:ind w:left="420"/>
        <w:jc w:val="center"/>
        <w:outlineLvl w:val="9"/>
        <w:rPr>
          <w:rFonts w:hint="default" w:ascii="Times New Roman" w:hAnsi="Times New Roman" w:eastAsia="FangSong_GB2312" w:cs="Times New Roman"/>
          <w:b/>
          <w:bCs/>
          <w:color w:val="auto"/>
          <w:sz w:val="32"/>
          <w:szCs w:val="32"/>
          <w:shd w:val="clear" w:color="auto" w:fill="auto"/>
        </w:rPr>
      </w:pPr>
    </w:p>
    <w:p>
      <w:pPr>
        <w:widowControl/>
        <w:shd w:val="clear" w:color="auto" w:fill="auto"/>
        <w:ind w:left="420"/>
        <w:jc w:val="center"/>
        <w:outlineLvl w:val="9"/>
        <w:rPr>
          <w:rFonts w:hint="default" w:ascii="Times New Roman" w:hAnsi="Times New Roman" w:eastAsia="FangSong_GB2312" w:cs="Times New Roman"/>
          <w:b/>
          <w:bCs/>
          <w:color w:val="auto"/>
          <w:sz w:val="32"/>
          <w:szCs w:val="32"/>
          <w:shd w:val="clear" w:color="auto" w:fill="auto"/>
        </w:rPr>
      </w:pPr>
    </w:p>
    <w:p>
      <w:pPr>
        <w:widowControl/>
        <w:shd w:val="clear" w:color="auto" w:fill="auto"/>
        <w:ind w:left="420"/>
        <w:jc w:val="center"/>
        <w:outlineLvl w:val="9"/>
        <w:rPr>
          <w:rFonts w:hint="default" w:ascii="Times New Roman" w:hAnsi="Times New Roman" w:eastAsia="FangSong_GB2312" w:cs="Times New Roman"/>
          <w:b/>
          <w:bCs/>
          <w:color w:val="auto"/>
          <w:sz w:val="22"/>
          <w:szCs w:val="22"/>
          <w:shd w:val="clear" w:color="auto" w:fill="auto"/>
        </w:rPr>
      </w:pPr>
      <w:r>
        <w:rPr>
          <w:rFonts w:hint="default" w:ascii="Times New Roman" w:hAnsi="Times New Roman" w:eastAsia="FangSong_GB2312" w:cs="Times New Roman"/>
          <w:b/>
          <w:bCs/>
          <w:color w:val="auto"/>
          <w:sz w:val="32"/>
          <w:szCs w:val="32"/>
          <w:shd w:val="clear" w:color="auto" w:fill="auto"/>
        </w:rPr>
        <w:br w:type="page"/>
      </w:r>
    </w:p>
    <w:p>
      <w:pPr>
        <w:widowControl/>
        <w:numPr>
          <w:ilvl w:val="0"/>
          <w:numId w:val="14"/>
        </w:numPr>
        <w:shd w:val="clear" w:color="auto" w:fill="auto"/>
        <w:ind w:left="420"/>
        <w:jc w:val="both"/>
        <w:outlineLvl w:val="1"/>
        <w:rPr>
          <w:rFonts w:hint="default" w:ascii="Times New Roman" w:hAnsi="Times New Roman" w:eastAsia="楷体" w:cs="Times New Roman"/>
          <w:b w:val="0"/>
          <w:bCs w:val="0"/>
          <w:color w:val="auto"/>
          <w:sz w:val="32"/>
          <w:szCs w:val="32"/>
          <w:shd w:val="clear" w:color="auto" w:fill="auto"/>
        </w:rPr>
      </w:pPr>
      <w:bookmarkStart w:id="384" w:name="_Toc8694"/>
      <w:r>
        <w:rPr>
          <w:rFonts w:hint="default" w:ascii="Times New Roman" w:hAnsi="Times New Roman" w:eastAsia="楷体" w:cs="Times New Roman"/>
          <w:b w:val="0"/>
          <w:bCs w:val="0"/>
          <w:color w:val="auto"/>
          <w:sz w:val="32"/>
          <w:szCs w:val="32"/>
          <w:shd w:val="clear" w:color="auto" w:fill="auto"/>
        </w:rPr>
        <w:t>南水北调饮用水水源污染防治类</w:t>
      </w:r>
      <w:bookmarkEnd w:id="384"/>
    </w:p>
    <w:p>
      <w:pPr>
        <w:widowControl/>
        <w:numPr>
          <w:ilvl w:val="0"/>
          <w:numId w:val="15"/>
        </w:numPr>
        <w:shd w:val="clear" w:color="auto" w:fill="auto"/>
        <w:ind w:left="0" w:firstLine="640" w:firstLineChars="200"/>
        <w:jc w:val="both"/>
        <w:outlineLvl w:val="9"/>
        <w:rPr>
          <w:rFonts w:hint="default" w:ascii="Times New Roman" w:hAnsi="Times New Roman" w:eastAsia="仿宋_GB2312" w:cs="Times New Roman"/>
          <w:b w:val="0"/>
          <w:bCs w:val="0"/>
          <w:color w:val="auto"/>
          <w:sz w:val="32"/>
          <w:szCs w:val="32"/>
          <w:shd w:val="clear" w:color="auto" w:fill="auto"/>
          <w:lang w:val="en-US"/>
        </w:rPr>
      </w:pPr>
      <w:r>
        <w:rPr>
          <w:rFonts w:hint="default" w:ascii="Times New Roman" w:hAnsi="Times New Roman" w:eastAsia="仿宋_GB2312" w:cs="Times New Roman"/>
          <w:b w:val="0"/>
          <w:bCs w:val="0"/>
          <w:color w:val="auto"/>
          <w:sz w:val="32"/>
          <w:szCs w:val="32"/>
          <w:shd w:val="clear" w:color="auto" w:fill="auto"/>
          <w:lang w:val="en-US" w:eastAsia="zh-CN"/>
        </w:rPr>
        <w:t xml:space="preserve"> </w:t>
      </w:r>
      <w:r>
        <w:rPr>
          <w:rFonts w:hint="default" w:ascii="Times New Roman" w:hAnsi="Times New Roman" w:eastAsia="仿宋_GB2312" w:cs="Times New Roman"/>
          <w:b w:val="0"/>
          <w:bCs w:val="0"/>
          <w:color w:val="auto"/>
          <w:sz w:val="32"/>
          <w:szCs w:val="32"/>
          <w:shd w:val="clear" w:color="auto" w:fill="auto"/>
          <w:lang w:val="en-US"/>
        </w:rPr>
        <w:t>损毁、涂改或者擅自移动饮用水水源保护区的地理界标、警示标志的</w:t>
      </w:r>
      <w:r>
        <w:rPr>
          <w:rFonts w:hint="eastAsia" w:ascii="Times New Roman" w:hAnsi="Times New Roman" w:eastAsia="仿宋_GB2312" w:cs="Times New Roman"/>
          <w:b w:val="0"/>
          <w:bCs w:val="0"/>
          <w:color w:val="auto"/>
          <w:sz w:val="32"/>
          <w:szCs w:val="32"/>
          <w:shd w:val="clear" w:color="auto" w:fill="auto"/>
          <w:lang w:val="en-US" w:eastAsia="zh-CN"/>
        </w:rPr>
        <w:t>；</w:t>
      </w:r>
    </w:p>
    <w:p>
      <w:pPr>
        <w:widowControl/>
        <w:numPr>
          <w:ilvl w:val="0"/>
          <w:numId w:val="15"/>
        </w:numPr>
        <w:shd w:val="clear" w:color="auto" w:fill="auto"/>
        <w:ind w:left="0" w:firstLine="640" w:firstLineChars="200"/>
        <w:jc w:val="both"/>
        <w:outlineLvl w:val="9"/>
        <w:rPr>
          <w:rFonts w:hint="default" w:ascii="Times New Roman" w:hAnsi="Times New Roman" w:eastAsia="仿宋_GB2312" w:cs="Times New Roman"/>
          <w:b w:val="0"/>
          <w:bCs w:val="0"/>
          <w:color w:val="auto"/>
          <w:sz w:val="32"/>
          <w:szCs w:val="32"/>
          <w:shd w:val="clear" w:color="auto" w:fill="auto"/>
          <w:lang/>
        </w:rPr>
      </w:pPr>
      <w:r>
        <w:rPr>
          <w:rFonts w:hint="default" w:ascii="Times New Roman" w:hAnsi="Times New Roman" w:eastAsia="仿宋_GB2312" w:cs="Times New Roman"/>
          <w:b w:val="0"/>
          <w:bCs w:val="0"/>
          <w:color w:val="auto"/>
          <w:sz w:val="32"/>
          <w:szCs w:val="32"/>
          <w:shd w:val="clear" w:color="auto" w:fill="auto"/>
          <w:lang w:val="en-US" w:eastAsia="zh-CN"/>
        </w:rPr>
        <w:t xml:space="preserve"> </w:t>
      </w:r>
      <w:r>
        <w:rPr>
          <w:rFonts w:hint="default" w:ascii="Times New Roman" w:hAnsi="Times New Roman" w:eastAsia="仿宋_GB2312" w:cs="Times New Roman"/>
          <w:b w:val="0"/>
          <w:bCs w:val="0"/>
          <w:color w:val="auto"/>
          <w:sz w:val="32"/>
          <w:szCs w:val="32"/>
          <w:shd w:val="clear" w:color="auto" w:fill="auto"/>
          <w:lang/>
        </w:rPr>
        <w:t>在饮用水水源准保护区设置化工原料、危险废物和易溶性、有毒有害废弃物的暂存及转运站的的</w:t>
      </w:r>
      <w:r>
        <w:rPr>
          <w:rFonts w:hint="eastAsia" w:ascii="Times New Roman" w:hAnsi="Times New Roman" w:eastAsia="仿宋_GB2312" w:cs="Times New Roman"/>
          <w:b w:val="0"/>
          <w:bCs w:val="0"/>
          <w:color w:val="auto"/>
          <w:sz w:val="32"/>
          <w:szCs w:val="32"/>
          <w:shd w:val="clear" w:color="auto" w:fill="auto"/>
          <w:lang w:eastAsia="zh-CN"/>
        </w:rPr>
        <w:t>；</w:t>
      </w:r>
    </w:p>
    <w:p>
      <w:pPr>
        <w:widowControl/>
        <w:numPr>
          <w:ilvl w:val="0"/>
          <w:numId w:val="15"/>
        </w:numPr>
        <w:shd w:val="clear" w:color="auto" w:fill="auto"/>
        <w:ind w:left="0" w:firstLine="640" w:firstLineChars="200"/>
        <w:jc w:val="both"/>
        <w:outlineLvl w:val="9"/>
        <w:rPr>
          <w:rFonts w:hint="default" w:ascii="Times New Roman" w:hAnsi="Times New Roman" w:eastAsia="仿宋_GB2312" w:cs="Times New Roman"/>
          <w:b w:val="0"/>
          <w:bCs w:val="0"/>
          <w:color w:val="auto"/>
          <w:sz w:val="32"/>
          <w:szCs w:val="32"/>
          <w:shd w:val="clear" w:color="auto" w:fill="auto"/>
          <w:lang/>
        </w:rPr>
      </w:pPr>
      <w:r>
        <w:rPr>
          <w:rFonts w:hint="default" w:ascii="Times New Roman" w:hAnsi="Times New Roman" w:eastAsia="仿宋_GB2312" w:cs="Times New Roman"/>
          <w:b w:val="0"/>
          <w:bCs w:val="0"/>
          <w:color w:val="auto"/>
          <w:sz w:val="32"/>
          <w:szCs w:val="32"/>
          <w:shd w:val="clear" w:color="auto" w:fill="auto"/>
          <w:lang w:val="en-US" w:eastAsia="zh-CN"/>
        </w:rPr>
        <w:t xml:space="preserve"> </w:t>
      </w:r>
      <w:r>
        <w:rPr>
          <w:rFonts w:hint="default" w:ascii="Times New Roman" w:hAnsi="Times New Roman" w:eastAsia="仿宋_GB2312" w:cs="Times New Roman"/>
          <w:b w:val="0"/>
          <w:bCs w:val="0"/>
          <w:color w:val="auto"/>
          <w:sz w:val="32"/>
          <w:szCs w:val="32"/>
          <w:shd w:val="clear" w:color="auto" w:fill="auto"/>
          <w:lang/>
        </w:rPr>
        <w:t>在饮用水水源准保护区内从事网箱养殖或者组织进行旅游、垂钓或者其他可能污染饮用水水体的活动的</w:t>
      </w:r>
      <w:r>
        <w:rPr>
          <w:rFonts w:hint="eastAsia" w:ascii="Times New Roman" w:hAnsi="Times New Roman" w:eastAsia="仿宋_GB2312" w:cs="Times New Roman"/>
          <w:b w:val="0"/>
          <w:bCs w:val="0"/>
          <w:color w:val="auto"/>
          <w:sz w:val="32"/>
          <w:szCs w:val="32"/>
          <w:shd w:val="clear" w:color="auto" w:fill="auto"/>
          <w:lang w:eastAsia="zh-CN"/>
        </w:rPr>
        <w:t>；</w:t>
      </w:r>
    </w:p>
    <w:p>
      <w:pPr>
        <w:widowControl/>
        <w:numPr>
          <w:ilvl w:val="0"/>
          <w:numId w:val="15"/>
        </w:numPr>
        <w:shd w:val="clear" w:color="auto" w:fill="auto"/>
        <w:ind w:left="0" w:firstLine="640" w:firstLineChars="200"/>
        <w:jc w:val="both"/>
        <w:outlineLvl w:val="9"/>
        <w:rPr>
          <w:rFonts w:hint="default" w:ascii="Times New Roman" w:hAnsi="Times New Roman" w:eastAsia="仿宋_GB2312" w:cs="Times New Roman"/>
          <w:b w:val="0"/>
          <w:bCs w:val="0"/>
          <w:color w:val="auto"/>
          <w:sz w:val="32"/>
          <w:szCs w:val="32"/>
          <w:shd w:val="clear" w:color="auto" w:fill="auto"/>
          <w:lang/>
        </w:rPr>
      </w:pPr>
      <w:r>
        <w:rPr>
          <w:rFonts w:hint="default" w:ascii="Times New Roman" w:hAnsi="Times New Roman" w:eastAsia="仿宋_GB2312" w:cs="Times New Roman"/>
          <w:b w:val="0"/>
          <w:bCs w:val="0"/>
          <w:color w:val="auto"/>
          <w:sz w:val="32"/>
          <w:szCs w:val="32"/>
          <w:shd w:val="clear" w:color="auto" w:fill="auto"/>
          <w:lang w:val="en-US" w:eastAsia="zh-CN"/>
        </w:rPr>
        <w:t xml:space="preserve"> </w:t>
      </w:r>
      <w:r>
        <w:rPr>
          <w:rFonts w:hint="default" w:ascii="Times New Roman" w:hAnsi="Times New Roman" w:eastAsia="仿宋_GB2312" w:cs="Times New Roman"/>
          <w:b w:val="0"/>
          <w:bCs w:val="0"/>
          <w:color w:val="auto"/>
          <w:sz w:val="32"/>
          <w:szCs w:val="32"/>
          <w:shd w:val="clear" w:color="auto" w:fill="auto"/>
          <w:lang/>
        </w:rPr>
        <w:t>在饮用水水源二级保护区内从事放生、游泳、垂钓的</w:t>
      </w:r>
      <w:r>
        <w:rPr>
          <w:rFonts w:hint="eastAsia" w:ascii="Times New Roman" w:hAnsi="Times New Roman" w:eastAsia="仿宋_GB2312" w:cs="Times New Roman"/>
          <w:b w:val="0"/>
          <w:bCs w:val="0"/>
          <w:color w:val="auto"/>
          <w:sz w:val="32"/>
          <w:szCs w:val="32"/>
          <w:shd w:val="clear" w:color="auto" w:fill="auto"/>
          <w:lang w:eastAsia="zh-CN"/>
        </w:rPr>
        <w:t>；</w:t>
      </w:r>
    </w:p>
    <w:p>
      <w:pPr>
        <w:widowControl/>
        <w:numPr>
          <w:ilvl w:val="0"/>
          <w:numId w:val="15"/>
        </w:numPr>
        <w:shd w:val="clear" w:color="auto" w:fill="auto"/>
        <w:ind w:left="0" w:firstLine="640" w:firstLineChars="200"/>
        <w:jc w:val="both"/>
        <w:outlineLvl w:val="9"/>
        <w:rPr>
          <w:rFonts w:hint="default" w:ascii="Times New Roman" w:hAnsi="Times New Roman" w:eastAsia="仿宋_GB2312" w:cs="Times New Roman"/>
          <w:b w:val="0"/>
          <w:bCs w:val="0"/>
          <w:color w:val="auto"/>
          <w:sz w:val="32"/>
          <w:szCs w:val="32"/>
          <w:shd w:val="clear" w:color="auto" w:fill="auto"/>
          <w:lang/>
        </w:rPr>
      </w:pPr>
      <w:r>
        <w:rPr>
          <w:rFonts w:hint="default" w:ascii="Times New Roman" w:hAnsi="Times New Roman" w:eastAsia="仿宋_GB2312" w:cs="Times New Roman"/>
          <w:b w:val="0"/>
          <w:bCs w:val="0"/>
          <w:color w:val="auto"/>
          <w:sz w:val="32"/>
          <w:szCs w:val="32"/>
          <w:shd w:val="clear" w:color="auto" w:fill="auto"/>
          <w:lang w:val="en-US" w:eastAsia="zh-CN"/>
        </w:rPr>
        <w:t xml:space="preserve"> </w:t>
      </w:r>
      <w:r>
        <w:rPr>
          <w:rFonts w:hint="default" w:ascii="Times New Roman" w:hAnsi="Times New Roman" w:eastAsia="仿宋_GB2312" w:cs="Times New Roman"/>
          <w:b w:val="0"/>
          <w:bCs w:val="0"/>
          <w:color w:val="auto"/>
          <w:sz w:val="32"/>
          <w:szCs w:val="32"/>
          <w:shd w:val="clear" w:color="auto" w:fill="auto"/>
          <w:lang/>
        </w:rPr>
        <w:t>使用不符合国家规定防污条件的运载工具运输油类、粪便及其他有毒有害物品的</w:t>
      </w:r>
      <w:r>
        <w:rPr>
          <w:rFonts w:hint="eastAsia" w:ascii="Times New Roman" w:hAnsi="Times New Roman" w:eastAsia="仿宋_GB2312" w:cs="Times New Roman"/>
          <w:b w:val="0"/>
          <w:bCs w:val="0"/>
          <w:color w:val="auto"/>
          <w:sz w:val="32"/>
          <w:szCs w:val="32"/>
          <w:shd w:val="clear" w:color="auto" w:fill="auto"/>
          <w:lang w:eastAsia="zh-CN"/>
        </w:rPr>
        <w:t>；</w:t>
      </w:r>
    </w:p>
    <w:p>
      <w:pPr>
        <w:widowControl/>
        <w:numPr>
          <w:ilvl w:val="0"/>
          <w:numId w:val="15"/>
        </w:numPr>
        <w:shd w:val="clear" w:color="auto" w:fill="auto"/>
        <w:ind w:left="0" w:firstLine="640" w:firstLineChars="200"/>
        <w:jc w:val="both"/>
        <w:outlineLvl w:val="9"/>
        <w:rPr>
          <w:rFonts w:hint="default" w:ascii="Times New Roman" w:hAnsi="Times New Roman" w:eastAsia="仿宋_GB2312" w:cs="Times New Roman"/>
          <w:b w:val="0"/>
          <w:bCs w:val="0"/>
          <w:color w:val="auto"/>
          <w:sz w:val="32"/>
          <w:szCs w:val="32"/>
          <w:shd w:val="clear" w:color="auto" w:fill="auto"/>
          <w:lang/>
        </w:rPr>
      </w:pPr>
      <w:r>
        <w:rPr>
          <w:rFonts w:hint="default" w:ascii="Times New Roman" w:hAnsi="Times New Roman" w:eastAsia="仿宋_GB2312" w:cs="Times New Roman"/>
          <w:b w:val="0"/>
          <w:bCs w:val="0"/>
          <w:color w:val="auto"/>
          <w:sz w:val="32"/>
          <w:szCs w:val="32"/>
          <w:shd w:val="clear" w:color="auto" w:fill="auto"/>
          <w:lang w:val="en-US" w:eastAsia="zh-CN"/>
        </w:rPr>
        <w:t xml:space="preserve"> </w:t>
      </w:r>
      <w:r>
        <w:rPr>
          <w:rFonts w:hint="default" w:ascii="Times New Roman" w:hAnsi="Times New Roman" w:eastAsia="仿宋_GB2312" w:cs="Times New Roman"/>
          <w:b w:val="0"/>
          <w:bCs w:val="0"/>
          <w:color w:val="auto"/>
          <w:sz w:val="32"/>
          <w:szCs w:val="32"/>
          <w:shd w:val="clear" w:color="auto" w:fill="auto"/>
          <w:lang/>
        </w:rPr>
        <w:t>在饮用水水源一级保护区内停靠与保护水源无关的船舶的</w:t>
      </w:r>
      <w:r>
        <w:rPr>
          <w:rFonts w:hint="eastAsia" w:ascii="Times New Roman" w:hAnsi="Times New Roman" w:eastAsia="仿宋_GB2312" w:cs="Times New Roman"/>
          <w:b w:val="0"/>
          <w:bCs w:val="0"/>
          <w:color w:val="auto"/>
          <w:sz w:val="32"/>
          <w:szCs w:val="32"/>
          <w:shd w:val="clear" w:color="auto" w:fill="auto"/>
          <w:lang w:eastAsia="zh-CN"/>
        </w:rPr>
        <w:t>；</w:t>
      </w:r>
    </w:p>
    <w:p>
      <w:pPr>
        <w:widowControl/>
        <w:numPr>
          <w:ilvl w:val="0"/>
          <w:numId w:val="15"/>
        </w:numPr>
        <w:shd w:val="clear" w:color="auto" w:fill="auto"/>
        <w:ind w:left="0" w:firstLine="640" w:firstLineChars="200"/>
        <w:jc w:val="both"/>
        <w:outlineLvl w:val="9"/>
        <w:rPr>
          <w:rFonts w:hint="default" w:ascii="Times New Roman" w:hAnsi="Times New Roman" w:eastAsia="仿宋_GB2312" w:cs="Times New Roman"/>
          <w:b w:val="0"/>
          <w:bCs w:val="0"/>
          <w:color w:val="auto"/>
          <w:sz w:val="32"/>
          <w:szCs w:val="32"/>
          <w:shd w:val="clear" w:color="auto" w:fill="auto"/>
          <w:lang/>
        </w:rPr>
      </w:pPr>
      <w:r>
        <w:rPr>
          <w:rFonts w:hint="default" w:ascii="Times New Roman" w:hAnsi="Times New Roman" w:eastAsia="仿宋_GB2312" w:cs="Times New Roman"/>
          <w:b w:val="0"/>
          <w:bCs w:val="0"/>
          <w:color w:val="auto"/>
          <w:sz w:val="32"/>
          <w:szCs w:val="32"/>
          <w:shd w:val="clear" w:color="auto" w:fill="auto"/>
          <w:lang w:val="en-US" w:eastAsia="zh-CN"/>
        </w:rPr>
        <w:t xml:space="preserve"> </w:t>
      </w:r>
      <w:r>
        <w:rPr>
          <w:rFonts w:hint="default" w:ascii="Times New Roman" w:hAnsi="Times New Roman" w:eastAsia="仿宋_GB2312" w:cs="Times New Roman"/>
          <w:b w:val="0"/>
          <w:bCs w:val="0"/>
          <w:color w:val="auto"/>
          <w:sz w:val="32"/>
          <w:szCs w:val="32"/>
          <w:shd w:val="clear" w:color="auto" w:fill="auto"/>
          <w:lang/>
        </w:rPr>
        <w:t>在饮用水水源一级保护区内使用化肥的</w:t>
      </w:r>
      <w:r>
        <w:rPr>
          <w:rFonts w:hint="eastAsia" w:ascii="Times New Roman" w:hAnsi="Times New Roman" w:eastAsia="仿宋_GB2312" w:cs="Times New Roman"/>
          <w:b w:val="0"/>
          <w:bCs w:val="0"/>
          <w:color w:val="auto"/>
          <w:sz w:val="32"/>
          <w:szCs w:val="32"/>
          <w:shd w:val="clear" w:color="auto" w:fill="auto"/>
          <w:lang w:eastAsia="zh-CN"/>
        </w:rPr>
        <w:t>。</w:t>
      </w:r>
    </w:p>
    <w:p>
      <w:pPr>
        <w:widowControl/>
        <w:numPr>
          <w:numId w:val="0"/>
        </w:numPr>
        <w:shd w:val="clear" w:color="auto" w:fill="auto"/>
        <w:ind w:left="0"/>
        <w:jc w:val="both"/>
        <w:outlineLvl w:val="9"/>
        <w:rPr>
          <w:rFonts w:hint="default" w:ascii="Times New Roman" w:hAnsi="Times New Roman" w:eastAsia="宋体" w:cs="Times New Roman"/>
          <w:b w:val="0"/>
          <w:bCs w:val="0"/>
          <w:color w:val="auto"/>
          <w:sz w:val="30"/>
          <w:szCs w:val="30"/>
          <w:shd w:val="clear" w:color="auto" w:fill="auto"/>
          <w:lang/>
        </w:rPr>
      </w:pPr>
    </w:p>
    <w:p>
      <w:pPr>
        <w:widowControl/>
        <w:numPr>
          <w:numId w:val="0"/>
        </w:numPr>
        <w:shd w:val="clear" w:color="auto" w:fill="auto"/>
        <w:ind w:left="0"/>
        <w:jc w:val="both"/>
        <w:outlineLvl w:val="9"/>
        <w:rPr>
          <w:rFonts w:hint="default" w:ascii="Times New Roman" w:hAnsi="Times New Roman" w:eastAsia="宋体" w:cs="Times New Roman"/>
          <w:b w:val="0"/>
          <w:bCs w:val="0"/>
          <w:color w:val="auto"/>
          <w:sz w:val="30"/>
          <w:szCs w:val="30"/>
          <w:shd w:val="clear" w:color="auto" w:fill="auto"/>
          <w:lang/>
        </w:rPr>
      </w:pPr>
    </w:p>
    <w:p>
      <w:pPr>
        <w:widowControl/>
        <w:numPr>
          <w:numId w:val="0"/>
        </w:numPr>
        <w:shd w:val="clear" w:color="auto" w:fill="auto"/>
        <w:spacing w:line="200" w:lineRule="exact"/>
        <w:ind w:left="0"/>
        <w:jc w:val="both"/>
        <w:outlineLvl w:val="9"/>
        <w:rPr>
          <w:rFonts w:hint="default" w:ascii="Times New Roman" w:hAnsi="Times New Roman" w:eastAsia="宋体" w:cs="Times New Roman"/>
          <w:b w:val="0"/>
          <w:bCs w:val="0"/>
          <w:color w:val="auto"/>
          <w:sz w:val="30"/>
          <w:szCs w:val="30"/>
          <w:shd w:val="clear" w:color="auto" w:fill="auto"/>
          <w:lang/>
        </w:rPr>
      </w:pPr>
      <w:r>
        <w:rPr>
          <w:rFonts w:hint="default" w:ascii="Times New Roman" w:hAnsi="Times New Roman" w:eastAsia="宋体" w:cs="Times New Roman"/>
          <w:b w:val="0"/>
          <w:bCs w:val="0"/>
          <w:color w:val="auto"/>
          <w:sz w:val="30"/>
          <w:szCs w:val="30"/>
          <w:shd w:val="clear" w:color="auto" w:fill="auto"/>
          <w:lang/>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432"/>
        <w:gridCol w:w="2260"/>
      </w:tblGrid>
      <w:tr>
        <w:trPr>
          <w:trHeight w:val="386"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bookmarkStart w:id="385" w:name="_Toc29125"/>
            <w:r>
              <w:rPr>
                <w:rFonts w:hint="default" w:ascii="Times New Roman" w:hAnsi="Times New Roman" w:cs="Times New Roman"/>
                <w:b/>
                <w:bCs/>
                <w:color w:val="auto"/>
                <w:sz w:val="20"/>
                <w:szCs w:val="20"/>
                <w:shd w:val="clear" w:color="auto" w:fill="auto"/>
                <w:lang w:eastAsia="zh-CN"/>
              </w:rPr>
              <w:t>（</w:t>
            </w:r>
            <w:r>
              <w:rPr>
                <w:rFonts w:hint="default" w:ascii="Times New Roman" w:hAnsi="Times New Roman" w:cs="Times New Roman"/>
                <w:b/>
                <w:bCs/>
                <w:color w:val="auto"/>
                <w:sz w:val="20"/>
                <w:szCs w:val="20"/>
                <w:shd w:val="clear" w:color="auto" w:fill="auto"/>
                <w:lang w:val="en-US"/>
              </w:rPr>
              <w:t>八</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南水北调</w:t>
            </w:r>
            <w:r>
              <w:rPr>
                <w:rFonts w:hint="default" w:ascii="Times New Roman" w:hAnsi="Times New Roman" w:cs="Times New Roman"/>
                <w:b/>
                <w:bCs/>
                <w:color w:val="auto"/>
                <w:sz w:val="20"/>
                <w:szCs w:val="20"/>
                <w:shd w:val="clear" w:color="auto" w:fill="auto"/>
                <w:lang w:eastAsia="zh-CN"/>
              </w:rPr>
              <w:t>饮用水水源</w:t>
            </w:r>
            <w:r>
              <w:rPr>
                <w:rFonts w:hint="default" w:ascii="Times New Roman" w:hAnsi="Times New Roman" w:cs="Times New Roman"/>
                <w:b/>
                <w:bCs/>
                <w:color w:val="auto"/>
                <w:sz w:val="20"/>
                <w:szCs w:val="20"/>
                <w:shd w:val="clear" w:color="auto" w:fill="auto"/>
              </w:rPr>
              <w:t>污染防治类</w:t>
            </w:r>
          </w:p>
        </w:tc>
      </w:tr>
      <w:tr>
        <w:trPr>
          <w:trHeight w:val="386"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eastAsia="宋体" w:cs="Times New Roman"/>
                <w:color w:val="auto"/>
                <w:sz w:val="20"/>
                <w:szCs w:val="20"/>
                <w:shd w:val="clear" w:color="auto" w:fill="auto"/>
                <w:lang w:eastAsia="zh-CN"/>
              </w:rPr>
            </w:pPr>
            <w:bookmarkStart w:id="386" w:name="_Toc19849"/>
            <w:r>
              <w:rPr>
                <w:rFonts w:hint="default" w:ascii="Times New Roman" w:hAnsi="Times New Roman" w:cs="Times New Roman"/>
                <w:color w:val="auto"/>
                <w:sz w:val="20"/>
                <w:szCs w:val="20"/>
                <w:shd w:val="clear" w:color="auto" w:fill="auto"/>
                <w:lang w:val="en-US" w:eastAsia="zh-CN"/>
              </w:rPr>
              <w:t>1</w:t>
            </w:r>
            <w:bookmarkEnd w:id="386"/>
          </w:p>
        </w:tc>
      </w:tr>
      <w:tr>
        <w:trPr>
          <w:trHeight w:val="386"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cs="Times New Roman"/>
                <w:color w:val="auto"/>
                <w:sz w:val="20"/>
                <w:szCs w:val="20"/>
                <w:shd w:val="clear" w:color="auto" w:fill="auto"/>
              </w:rPr>
            </w:pPr>
            <w:bookmarkStart w:id="387" w:name="_Toc22730"/>
            <w:r>
              <w:rPr>
                <w:rFonts w:hint="default" w:ascii="Times New Roman" w:hAnsi="Times New Roman" w:cs="Times New Roman"/>
                <w:color w:val="auto"/>
                <w:sz w:val="20"/>
                <w:szCs w:val="20"/>
                <w:shd w:val="clear" w:color="auto" w:fill="auto"/>
              </w:rPr>
              <w:t>损毁、涂改或者擅自移动饮用水水源保护区的地理界标、警示标志的</w:t>
            </w:r>
            <w:bookmarkEnd w:id="387"/>
          </w:p>
        </w:tc>
      </w:tr>
      <w:tr>
        <w:trPr>
          <w:trHeight w:val="386"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《河南省南水北调饮用水水源保护条例》第</w:t>
            </w:r>
            <w:r>
              <w:rPr>
                <w:rFonts w:hint="default" w:ascii="Times New Roman" w:hAnsi="Times New Roman" w:cs="Times New Roman"/>
                <w:b/>
                <w:bCs/>
                <w:color w:val="auto"/>
                <w:sz w:val="20"/>
                <w:szCs w:val="20"/>
                <w:shd w:val="clear" w:color="auto" w:fill="auto"/>
                <w:lang w:eastAsia="zh-CN"/>
              </w:rPr>
              <w:t>十二</w:t>
            </w:r>
            <w:r>
              <w:rPr>
                <w:rFonts w:hint="default" w:ascii="Times New Roman" w:hAnsi="Times New Roman" w:cs="Times New Roman"/>
                <w:b/>
                <w:bCs/>
                <w:color w:val="auto"/>
                <w:sz w:val="20"/>
                <w:szCs w:val="20"/>
                <w:shd w:val="clear" w:color="auto" w:fill="auto"/>
              </w:rPr>
              <w:t xml:space="preserve">条第二款 </w:t>
            </w:r>
            <w:r>
              <w:rPr>
                <w:rFonts w:hint="default" w:ascii="Times New Roman" w:hAnsi="Times New Roman" w:cs="Times New Roman"/>
                <w:color w:val="auto"/>
                <w:sz w:val="20"/>
                <w:szCs w:val="20"/>
                <w:shd w:val="clear" w:color="auto" w:fill="auto"/>
              </w:rPr>
              <w:t>　任何单位和个人不得损毁、涂改或者擅自移动地理界标和警示标志。</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　第二十九条 </w:t>
            </w:r>
            <w:r>
              <w:rPr>
                <w:rFonts w:hint="default" w:ascii="Times New Roman" w:hAnsi="Times New Roman" w:cs="Times New Roman"/>
                <w:b/>
                <w:bCs/>
                <w:color w:val="auto"/>
                <w:sz w:val="20"/>
                <w:szCs w:val="20"/>
                <w:shd w:val="clear" w:color="auto" w:fill="auto"/>
                <w:lang w:eastAsia="zh-CN"/>
              </w:rPr>
              <w:t>第五项</w:t>
            </w:r>
            <w:r>
              <w:rPr>
                <w:rFonts w:hint="default" w:ascii="Times New Roman" w:hAnsi="Times New Roman" w:cs="Times New Roman"/>
                <w:b/>
                <w:bCs/>
                <w:color w:val="auto"/>
                <w:sz w:val="20"/>
                <w:szCs w:val="20"/>
                <w:shd w:val="clear" w:color="auto" w:fill="auto"/>
                <w:lang w:val="en-US" w:eastAsia="zh-CN"/>
              </w:rPr>
              <w:t xml:space="preserve"> </w:t>
            </w:r>
            <w:r>
              <w:rPr>
                <w:rFonts w:hint="default" w:ascii="Times New Roman" w:hAnsi="Times New Roman" w:cs="Times New Roman"/>
                <w:color w:val="auto"/>
                <w:sz w:val="20"/>
                <w:szCs w:val="20"/>
                <w:shd w:val="clear" w:color="auto" w:fill="auto"/>
              </w:rPr>
              <w:t>禁止危害南水北调工程设施的下列行为：</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（五）移动、覆盖、涂改、损毁标志物；</w:t>
            </w:r>
          </w:p>
        </w:tc>
      </w:tr>
      <w:tr>
        <w:trPr>
          <w:trHeight w:val="386"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《河南省南水北调饮用水水源保护条例》第六十二条 </w:t>
            </w:r>
            <w:r>
              <w:rPr>
                <w:rFonts w:hint="default" w:ascii="Times New Roman" w:hAnsi="Times New Roman" w:cs="Times New Roman"/>
                <w:b w:val="0"/>
                <w:bCs w:val="0"/>
                <w:color w:val="auto"/>
                <w:sz w:val="20"/>
                <w:szCs w:val="20"/>
                <w:shd w:val="clear" w:color="auto" w:fill="auto"/>
              </w:rPr>
              <w:t>违反本条例第十二条第二款、第二十九条第五项规定的，由所在地县级以上人民政府确定的监督管理部门责令停止违法行为，限期恢复原状；情节严重的，处二千元以上一万元以下的罚款。</w:t>
            </w:r>
          </w:p>
        </w:tc>
      </w:tr>
      <w:tr>
        <w:trPr>
          <w:trHeight w:val="386"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86"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水体类别</w:t>
            </w: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饮用水水源准保护区</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饮用水水源二级保护区内</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饮用水水源一级保护区内</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擅自移动</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涂改</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损毁</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企业规模</w:t>
            </w: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微型企业</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86"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小型企业</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86"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中型企业</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86"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大型企业</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86"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86"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86"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86"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86"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86"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r>
    </w:tbl>
    <w:p>
      <w:pPr>
        <w:shd w:val="clear" w:color="auto" w:fill="auto"/>
        <w:spacing w:line="200" w:lineRule="exact"/>
        <w:ind w:firstLine="640" w:firstLineChars="200"/>
        <w:outlineLvl w:val="9"/>
        <w:rPr>
          <w:rFonts w:ascii="Times New Roman" w:hAnsi="Times New Roman" w:eastAsia="方正楷体_GBK" w:cs="Times New Roman"/>
          <w:bCs/>
          <w:color w:val="auto"/>
          <w:sz w:val="32"/>
          <w:szCs w:val="32"/>
          <w:shd w:val="clear" w:color="auto" w:fill="auto"/>
        </w:rPr>
      </w:pPr>
    </w:p>
    <w:p>
      <w:pPr>
        <w:shd w:val="clear" w:color="auto" w:fill="auto"/>
        <w:spacing w:line="200" w:lineRule="exact"/>
        <w:ind w:firstLine="640" w:firstLineChars="200"/>
        <w:outlineLvl w:val="9"/>
        <w:rPr>
          <w:rFonts w:ascii="Times New Roman" w:hAnsi="Times New Roman" w:eastAsia="方正楷体_GBK" w:cs="Times New Roman"/>
          <w:bCs/>
          <w:color w:val="auto"/>
          <w:sz w:val="32"/>
          <w:szCs w:val="32"/>
          <w:shd w:val="clear" w:color="auto" w:fill="auto"/>
        </w:rPr>
      </w:pPr>
    </w:p>
    <w:p>
      <w:pPr>
        <w:shd w:val="clear" w:color="auto" w:fill="auto"/>
        <w:spacing w:line="200" w:lineRule="exact"/>
        <w:ind w:firstLine="640" w:firstLineChars="200"/>
        <w:outlineLvl w:val="9"/>
        <w:rPr>
          <w:rFonts w:ascii="Times New Roman" w:hAnsi="Times New Roman" w:eastAsia="方正楷体_GBK" w:cs="Times New Roman"/>
          <w:bCs/>
          <w:color w:val="auto"/>
          <w:sz w:val="32"/>
          <w:szCs w:val="32"/>
          <w:shd w:val="clear" w:color="auto" w:fill="auto"/>
        </w:rPr>
      </w:pP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432"/>
        <w:gridCol w:w="2260"/>
      </w:tblGrid>
      <w:tr>
        <w:trPr>
          <w:trHeight w:val="397"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w:t>
            </w:r>
            <w:r>
              <w:rPr>
                <w:rFonts w:hint="default" w:ascii="Times New Roman" w:hAnsi="Times New Roman" w:cs="Times New Roman"/>
                <w:b/>
                <w:bCs/>
                <w:color w:val="auto"/>
                <w:sz w:val="20"/>
                <w:szCs w:val="20"/>
                <w:shd w:val="clear" w:color="auto" w:fill="auto"/>
                <w:lang w:val="en-US"/>
              </w:rPr>
              <w:t>八</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南水北调</w:t>
            </w:r>
            <w:r>
              <w:rPr>
                <w:rFonts w:hint="default" w:ascii="Times New Roman" w:hAnsi="Times New Roman" w:cs="Times New Roman"/>
                <w:b/>
                <w:bCs/>
                <w:color w:val="auto"/>
                <w:sz w:val="20"/>
                <w:szCs w:val="20"/>
                <w:shd w:val="clear" w:color="auto" w:fill="auto"/>
                <w:lang w:eastAsia="zh-CN"/>
              </w:rPr>
              <w:t>饮用水水源</w:t>
            </w:r>
            <w:r>
              <w:rPr>
                <w:rFonts w:hint="default" w:ascii="Times New Roman" w:hAnsi="Times New Roman" w:cs="Times New Roman"/>
                <w:b/>
                <w:bCs/>
                <w:color w:val="auto"/>
                <w:sz w:val="20"/>
                <w:szCs w:val="20"/>
                <w:shd w:val="clear" w:color="auto" w:fill="auto"/>
              </w:rPr>
              <w:t>污染防治类</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cs="Times New Roman"/>
                <w:color w:val="auto"/>
                <w:sz w:val="20"/>
                <w:szCs w:val="20"/>
                <w:shd w:val="clear" w:color="auto" w:fill="auto"/>
              </w:rPr>
            </w:pPr>
            <w:bookmarkStart w:id="388" w:name="_Toc1224"/>
            <w:r>
              <w:rPr>
                <w:rFonts w:hint="default" w:ascii="Times New Roman" w:hAnsi="Times New Roman" w:cs="Times New Roman"/>
                <w:color w:val="auto"/>
                <w:sz w:val="20"/>
                <w:szCs w:val="20"/>
                <w:shd w:val="clear" w:color="auto" w:fill="auto"/>
              </w:rPr>
              <w:t>2</w:t>
            </w:r>
            <w:bookmarkEnd w:id="388"/>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firstLine="420"/>
              <w:outlineLvl w:val="0"/>
              <w:rPr>
                <w:rFonts w:hint="default" w:ascii="Times New Roman" w:hAnsi="Times New Roman" w:cs="Times New Roman"/>
                <w:color w:val="auto"/>
                <w:sz w:val="20"/>
                <w:szCs w:val="20"/>
                <w:shd w:val="clear" w:color="auto" w:fill="auto"/>
              </w:rPr>
            </w:pPr>
            <w:bookmarkStart w:id="389" w:name="_Toc28794"/>
            <w:r>
              <w:rPr>
                <w:rFonts w:hint="default" w:ascii="Times New Roman" w:hAnsi="Times New Roman" w:cs="Times New Roman"/>
                <w:color w:val="auto"/>
                <w:sz w:val="20"/>
                <w:szCs w:val="20"/>
                <w:shd w:val="clear" w:color="auto" w:fill="auto"/>
              </w:rPr>
              <w:t>在饮用水水源</w:t>
            </w:r>
            <w:r>
              <w:rPr>
                <w:rFonts w:hint="default" w:ascii="Times New Roman" w:hAnsi="Times New Roman" w:cs="Times New Roman"/>
                <w:color w:val="auto"/>
                <w:sz w:val="20"/>
                <w:szCs w:val="20"/>
                <w:shd w:val="clear" w:color="auto" w:fill="auto"/>
                <w:lang w:eastAsia="zh-CN"/>
              </w:rPr>
              <w:t>准保护区</w:t>
            </w:r>
            <w:r>
              <w:rPr>
                <w:rFonts w:hint="default" w:ascii="Times New Roman" w:hAnsi="Times New Roman" w:cs="Times New Roman"/>
                <w:color w:val="auto"/>
                <w:sz w:val="20"/>
                <w:szCs w:val="20"/>
                <w:shd w:val="clear" w:color="auto" w:fill="auto"/>
              </w:rPr>
              <w:t>设置化工原料、危险废物和易溶性、有毒有害废弃物的暂存及转运站的的</w:t>
            </w:r>
            <w:bookmarkEnd w:id="389"/>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《河南省南水北调饮用水水源保护条例》第</w:t>
            </w:r>
            <w:r>
              <w:rPr>
                <w:rFonts w:hint="default" w:ascii="Times New Roman" w:hAnsi="Times New Roman" w:cs="Times New Roman"/>
                <w:b/>
                <w:bCs/>
                <w:color w:val="auto"/>
                <w:sz w:val="20"/>
                <w:szCs w:val="20"/>
                <w:shd w:val="clear" w:color="auto" w:fill="auto"/>
                <w:lang w:eastAsia="zh-CN"/>
              </w:rPr>
              <w:t>十六</w:t>
            </w:r>
            <w:r>
              <w:rPr>
                <w:rFonts w:hint="default" w:ascii="Times New Roman" w:hAnsi="Times New Roman" w:cs="Times New Roman"/>
                <w:b/>
                <w:bCs/>
                <w:color w:val="auto"/>
                <w:sz w:val="20"/>
                <w:szCs w:val="20"/>
                <w:shd w:val="clear" w:color="auto" w:fill="auto"/>
              </w:rPr>
              <w:t>条第（</w:t>
            </w:r>
            <w:r>
              <w:rPr>
                <w:rFonts w:hint="default" w:ascii="Times New Roman" w:hAnsi="Times New Roman" w:cs="Times New Roman"/>
                <w:b/>
                <w:bCs/>
                <w:color w:val="auto"/>
                <w:sz w:val="20"/>
                <w:szCs w:val="20"/>
                <w:shd w:val="clear" w:color="auto" w:fill="auto"/>
                <w:lang w:eastAsia="zh-CN"/>
              </w:rPr>
              <w:t>二</w:t>
            </w:r>
            <w:r>
              <w:rPr>
                <w:rFonts w:hint="default" w:ascii="Times New Roman" w:hAnsi="Times New Roman" w:cs="Times New Roman"/>
                <w:b/>
                <w:bCs/>
                <w:color w:val="auto"/>
                <w:sz w:val="20"/>
                <w:szCs w:val="20"/>
                <w:shd w:val="clear" w:color="auto" w:fill="auto"/>
              </w:rPr>
              <w:t xml:space="preserve">）项 </w:t>
            </w:r>
            <w:r>
              <w:rPr>
                <w:rFonts w:hint="default" w:ascii="Times New Roman" w:hAnsi="Times New Roman" w:cs="Times New Roman"/>
                <w:color w:val="auto"/>
                <w:sz w:val="20"/>
                <w:szCs w:val="20"/>
                <w:shd w:val="clear" w:color="auto" w:fill="auto"/>
              </w:rPr>
              <w:t xml:space="preserve"> 在饮用水水源准保护区内，除第十五条禁止的行为以外，还应当禁止下列行为：</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　（二）设置化工原料、危险废物和易溶性、有毒有害废弃物的暂存及转运站；</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《河南省南水北调饮用水水源保护条例》第六十三条 </w:t>
            </w:r>
            <w:r>
              <w:rPr>
                <w:rFonts w:hint="default" w:ascii="Times New Roman" w:hAnsi="Times New Roman" w:cs="Times New Roman"/>
                <w:b w:val="0"/>
                <w:bCs w:val="0"/>
                <w:color w:val="auto"/>
                <w:sz w:val="20"/>
                <w:szCs w:val="20"/>
                <w:shd w:val="clear" w:color="auto" w:fill="auto"/>
              </w:rPr>
              <w:t>违反本条例规定，设置化工原料、危险废物和易溶性、有毒有害废弃物的暂存及转运站的，报经有批准权的人民政府批准，责令停业或者关闭，处十万元以上一百万元以下的罚款，并没收违法所得。</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86"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★建设情况</w:t>
            </w: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项目未建成的</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项目已建成，未造成水体污染的</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项目已建成投入使用或造成水体污染的</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暂存及</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转运量</w:t>
            </w: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年吞吐量100万吨</w:t>
            </w:r>
            <w:r>
              <w:rPr>
                <w:rFonts w:hint="default" w:ascii="Times New Roman" w:hAnsi="Times New Roman" w:cs="Times New Roman"/>
                <w:color w:val="auto"/>
                <w:kern w:val="0"/>
                <w:sz w:val="20"/>
                <w:szCs w:val="20"/>
                <w:shd w:val="clear" w:color="auto" w:fill="auto"/>
                <w:lang w:val="en-US"/>
              </w:rPr>
              <w:t>以下</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年吞吐量100万吨</w:t>
            </w:r>
            <w:r>
              <w:rPr>
                <w:rFonts w:hint="default"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1000万吨</w:t>
            </w:r>
            <w:r>
              <w:rPr>
                <w:rFonts w:hint="default" w:ascii="Times New Roman" w:hAnsi="Times New Roman" w:cs="Times New Roman"/>
                <w:color w:val="auto"/>
                <w:kern w:val="0"/>
                <w:sz w:val="20"/>
                <w:szCs w:val="20"/>
                <w:shd w:val="clear" w:color="auto" w:fill="auto"/>
                <w:lang w:val="en-US"/>
              </w:rPr>
              <w:t>以下</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年吞吐量1000万吨</w:t>
            </w:r>
            <w:r>
              <w:rPr>
                <w:rFonts w:hint="default"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3000万吨</w:t>
            </w:r>
            <w:r>
              <w:rPr>
                <w:rFonts w:hint="default" w:ascii="Times New Roman" w:hAnsi="Times New Roman" w:cs="Times New Roman"/>
                <w:color w:val="auto"/>
                <w:kern w:val="0"/>
                <w:sz w:val="20"/>
                <w:szCs w:val="20"/>
                <w:shd w:val="clear" w:color="auto" w:fill="auto"/>
                <w:lang w:val="en-US"/>
              </w:rPr>
              <w:t>以下</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年吞吐量3000万吨</w:t>
            </w:r>
            <w:r>
              <w:rPr>
                <w:rFonts w:hint="default" w:ascii="Times New Roman" w:hAnsi="Times New Roman" w:cs="Times New Roman"/>
                <w:color w:val="auto"/>
                <w:sz w:val="20"/>
                <w:szCs w:val="20"/>
                <w:shd w:val="clear" w:color="auto" w:fill="auto"/>
                <w:lang w:eastAsia="zh-CN"/>
              </w:rPr>
              <w:t>以上</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涉及污染物种类</w:t>
            </w: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1个</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1个以上4个</w:t>
            </w:r>
            <w:r>
              <w:rPr>
                <w:rFonts w:hint="default" w:ascii="Times New Roman" w:hAnsi="Times New Roman" w:cs="Times New Roman"/>
                <w:color w:val="auto"/>
                <w:kern w:val="0"/>
                <w:sz w:val="20"/>
                <w:szCs w:val="20"/>
                <w:shd w:val="clear" w:color="auto" w:fill="auto"/>
                <w:lang w:val="en-US"/>
              </w:rPr>
              <w:t>以下</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4个以上6个</w:t>
            </w:r>
            <w:r>
              <w:rPr>
                <w:rFonts w:hint="default" w:ascii="Times New Roman" w:hAnsi="Times New Roman" w:cs="Times New Roman"/>
                <w:color w:val="auto"/>
                <w:kern w:val="0"/>
                <w:sz w:val="20"/>
                <w:szCs w:val="20"/>
                <w:shd w:val="clear" w:color="auto" w:fill="auto"/>
                <w:lang w:val="en-US"/>
              </w:rPr>
              <w:t>以下</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6个以上</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企业规模</w:t>
            </w: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微型企业</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小型企业</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中型企业</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大型企业</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86"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260"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2</w:t>
            </w:r>
          </w:p>
        </w:tc>
      </w:tr>
      <w:tr>
        <w:trPr>
          <w:trHeight w:val="386"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86"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86"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86"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r>
    </w:tbl>
    <w:p>
      <w:pPr>
        <w:shd w:val="clear" w:color="auto" w:fill="auto"/>
        <w:spacing w:line="590" w:lineRule="exact"/>
        <w:ind w:firstLine="640" w:firstLineChars="200"/>
        <w:outlineLvl w:val="9"/>
        <w:rPr>
          <w:rFonts w:ascii="Times New Roman" w:hAnsi="Times New Roman" w:eastAsia="方正楷体_GBK" w:cs="Times New Roman"/>
          <w:bCs/>
          <w:color w:val="auto"/>
          <w:sz w:val="32"/>
          <w:szCs w:val="32"/>
          <w:shd w:val="clear" w:color="auto" w:fill="auto"/>
        </w:rPr>
      </w:pPr>
    </w:p>
    <w:p>
      <w:pPr>
        <w:shd w:val="clear" w:color="auto" w:fill="auto"/>
        <w:spacing w:line="590" w:lineRule="exact"/>
        <w:ind w:firstLine="640" w:firstLineChars="200"/>
        <w:outlineLvl w:val="9"/>
        <w:rPr>
          <w:rFonts w:ascii="Times New Roman" w:hAnsi="Times New Roman" w:eastAsia="方正楷体_GBK" w:cs="Times New Roman"/>
          <w:bCs/>
          <w:color w:val="auto"/>
          <w:sz w:val="32"/>
          <w:szCs w:val="32"/>
          <w:shd w:val="clear" w:color="auto" w:fill="auto"/>
        </w:rPr>
      </w:pPr>
    </w:p>
    <w:p>
      <w:pPr>
        <w:shd w:val="clear" w:color="auto" w:fill="auto"/>
        <w:spacing w:line="200" w:lineRule="exact"/>
        <w:ind w:firstLine="640" w:firstLineChars="200"/>
        <w:outlineLvl w:val="9"/>
        <w:rPr>
          <w:rFonts w:ascii="Times New Roman" w:hAnsi="Times New Roman" w:eastAsia="方正楷体_GBK" w:cs="Times New Roman"/>
          <w:bCs/>
          <w:color w:val="auto"/>
          <w:sz w:val="32"/>
          <w:szCs w:val="32"/>
          <w:shd w:val="clear" w:color="auto" w:fill="auto"/>
        </w:rPr>
      </w:pPr>
      <w:r>
        <w:rPr>
          <w:rFonts w:ascii="Times New Roman" w:hAnsi="Times New Roman" w:eastAsia="方正楷体_GBK" w:cs="Times New Roman"/>
          <w:bCs/>
          <w:color w:val="auto"/>
          <w:sz w:val="32"/>
          <w:szCs w:val="32"/>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182"/>
        <w:gridCol w:w="2510"/>
      </w:tblGrid>
      <w:tr>
        <w:trPr>
          <w:trHeight w:val="397" w:hRule="atLeast"/>
        </w:trPr>
        <w:tc>
          <w:tcPr>
            <w:tcW w:w="9060" w:type="dxa"/>
            <w:gridSpan w:val="3"/>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w:t>
            </w:r>
            <w:r>
              <w:rPr>
                <w:rFonts w:hint="default" w:ascii="Times New Roman" w:hAnsi="Times New Roman" w:cs="Times New Roman"/>
                <w:b/>
                <w:bCs/>
                <w:color w:val="auto"/>
                <w:sz w:val="20"/>
                <w:szCs w:val="20"/>
                <w:shd w:val="clear" w:color="auto" w:fill="auto"/>
                <w:lang w:val="en-US"/>
              </w:rPr>
              <w:t>八</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南水北调</w:t>
            </w:r>
            <w:r>
              <w:rPr>
                <w:rFonts w:hint="default" w:ascii="Times New Roman" w:hAnsi="Times New Roman" w:cs="Times New Roman"/>
                <w:b/>
                <w:bCs/>
                <w:color w:val="auto"/>
                <w:sz w:val="20"/>
                <w:szCs w:val="20"/>
                <w:shd w:val="clear" w:color="auto" w:fill="auto"/>
                <w:lang w:eastAsia="zh-CN"/>
              </w:rPr>
              <w:t>饮用水水源</w:t>
            </w:r>
            <w:r>
              <w:rPr>
                <w:rFonts w:hint="default" w:ascii="Times New Roman" w:hAnsi="Times New Roman" w:cs="Times New Roman"/>
                <w:b/>
                <w:bCs/>
                <w:color w:val="auto"/>
                <w:sz w:val="20"/>
                <w:szCs w:val="20"/>
                <w:shd w:val="clear" w:color="auto" w:fill="auto"/>
              </w:rPr>
              <w:t>污染防治类</w:t>
            </w:r>
          </w:p>
        </w:tc>
      </w:tr>
      <w:tr>
        <w:trPr>
          <w:trHeight w:val="397" w:hRule="atLeast"/>
        </w:trPr>
        <w:tc>
          <w:tcPr>
            <w:tcW w:w="1368"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ind w:left="0" w:right="0"/>
              <w:jc w:val="center"/>
              <w:outlineLvl w:val="0"/>
              <w:rPr>
                <w:rFonts w:hint="default" w:ascii="Times New Roman" w:hAnsi="Times New Roman" w:cs="Times New Roman"/>
                <w:color w:val="auto"/>
                <w:sz w:val="20"/>
                <w:szCs w:val="20"/>
                <w:shd w:val="clear" w:color="auto" w:fill="auto"/>
              </w:rPr>
            </w:pPr>
            <w:bookmarkStart w:id="390" w:name="_Toc5010"/>
            <w:r>
              <w:rPr>
                <w:rFonts w:hint="default" w:ascii="Times New Roman" w:hAnsi="Times New Roman" w:cs="Times New Roman"/>
                <w:color w:val="auto"/>
                <w:sz w:val="20"/>
                <w:szCs w:val="20"/>
                <w:shd w:val="clear" w:color="auto" w:fill="auto"/>
              </w:rPr>
              <w:t>3</w:t>
            </w:r>
            <w:bookmarkEnd w:id="390"/>
          </w:p>
        </w:tc>
      </w:tr>
      <w:tr>
        <w:trPr>
          <w:trHeight w:val="397" w:hRule="atLeast"/>
        </w:trPr>
        <w:tc>
          <w:tcPr>
            <w:tcW w:w="1368"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Lines="20" w:beforeAutospacing="0" w:after="0" w:afterAutospacing="0"/>
              <w:ind w:left="0" w:right="0" w:firstLine="420"/>
              <w:outlineLvl w:val="0"/>
              <w:rPr>
                <w:rFonts w:hint="default" w:ascii="Times New Roman" w:hAnsi="Times New Roman" w:cs="Times New Roman"/>
                <w:color w:val="auto"/>
                <w:sz w:val="20"/>
                <w:szCs w:val="20"/>
                <w:shd w:val="clear" w:color="auto" w:fill="auto"/>
              </w:rPr>
            </w:pPr>
            <w:bookmarkStart w:id="391" w:name="_Toc6192"/>
            <w:r>
              <w:rPr>
                <w:rFonts w:hint="default" w:ascii="Times New Roman" w:hAnsi="Times New Roman" w:cs="Times New Roman"/>
                <w:color w:val="auto"/>
                <w:sz w:val="20"/>
                <w:szCs w:val="20"/>
                <w:shd w:val="clear" w:color="auto" w:fill="auto"/>
              </w:rPr>
              <w:t>在饮用水水源</w:t>
            </w:r>
            <w:r>
              <w:rPr>
                <w:rFonts w:hint="default" w:ascii="Times New Roman" w:hAnsi="Times New Roman" w:cs="Times New Roman"/>
                <w:color w:val="auto"/>
                <w:sz w:val="20"/>
                <w:szCs w:val="20"/>
                <w:shd w:val="clear" w:color="auto" w:fill="auto"/>
                <w:lang w:eastAsia="zh-CN"/>
              </w:rPr>
              <w:t>准</w:t>
            </w:r>
            <w:r>
              <w:rPr>
                <w:rFonts w:hint="default" w:ascii="Times New Roman" w:hAnsi="Times New Roman" w:cs="Times New Roman"/>
                <w:color w:val="auto"/>
                <w:sz w:val="20"/>
                <w:szCs w:val="20"/>
                <w:shd w:val="clear" w:color="auto" w:fill="auto"/>
              </w:rPr>
              <w:t>保护区内从事网箱养殖或者组织进行旅游、垂钓或者其他可能污染饮用水水体的活动的</w:t>
            </w:r>
            <w:bookmarkEnd w:id="391"/>
          </w:p>
        </w:tc>
      </w:tr>
      <w:tr>
        <w:trPr>
          <w:trHeight w:val="397" w:hRule="atLeast"/>
        </w:trPr>
        <w:tc>
          <w:tcPr>
            <w:tcW w:w="1368" w:type="dxa"/>
            <w:vAlign w:val="center"/>
          </w:tcPr>
          <w:p>
            <w:pPr>
              <w:shd w:val="clear" w:color="auto" w:fill="auto"/>
              <w:snapToGrid w:val="0"/>
              <w:spacing w:before="0" w:beforeAutospacing="0" w:after="0" w:afterAutospacing="0" w:line="312" w:lineRule="auto"/>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shd w:val="clear" w:color="auto" w:fill="auto"/>
              <w:snapToGrid w:val="0"/>
              <w:spacing w:beforeLines="20" w:beforeAutospacing="0" w:after="0" w:afterAutospacing="0" w:line="288" w:lineRule="auto"/>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《河南省南水北调饮用水水源保护条例》第</w:t>
            </w:r>
            <w:r>
              <w:rPr>
                <w:rFonts w:hint="default" w:ascii="Times New Roman" w:hAnsi="Times New Roman" w:cs="Times New Roman"/>
                <w:b/>
                <w:bCs/>
                <w:color w:val="auto"/>
                <w:sz w:val="20"/>
                <w:szCs w:val="20"/>
                <w:shd w:val="clear" w:color="auto" w:fill="auto"/>
                <w:lang w:eastAsia="zh-CN"/>
              </w:rPr>
              <w:t>十六</w:t>
            </w:r>
            <w:r>
              <w:rPr>
                <w:rFonts w:hint="default" w:ascii="Times New Roman" w:hAnsi="Times New Roman" w:cs="Times New Roman"/>
                <w:b/>
                <w:bCs/>
                <w:color w:val="auto"/>
                <w:sz w:val="20"/>
                <w:szCs w:val="20"/>
                <w:shd w:val="clear" w:color="auto" w:fill="auto"/>
              </w:rPr>
              <w:t>条第</w:t>
            </w:r>
            <w:r>
              <w:rPr>
                <w:rFonts w:hint="default" w:ascii="Times New Roman" w:hAnsi="Times New Roman" w:cs="Times New Roman"/>
                <w:b/>
                <w:bCs/>
                <w:color w:val="auto"/>
                <w:sz w:val="20"/>
                <w:szCs w:val="20"/>
                <w:shd w:val="clear" w:color="auto" w:fill="auto"/>
                <w:lang w:eastAsia="zh-CN"/>
              </w:rPr>
              <w:t>三项</w:t>
            </w:r>
            <w:r>
              <w:rPr>
                <w:rFonts w:hint="default" w:ascii="Times New Roman" w:hAnsi="Times New Roman" w:cs="Times New Roman"/>
                <w:b/>
                <w:bCs/>
                <w:color w:val="auto"/>
                <w:sz w:val="20"/>
                <w:szCs w:val="20"/>
                <w:shd w:val="clear" w:color="auto" w:fill="auto"/>
                <w:lang w:val="en-US" w:eastAsia="zh-CN"/>
              </w:rPr>
              <w:t xml:space="preserve"> </w:t>
            </w:r>
            <w:r>
              <w:rPr>
                <w:rFonts w:hint="default" w:ascii="Times New Roman" w:hAnsi="Times New Roman" w:cs="Times New Roman"/>
                <w:color w:val="auto"/>
                <w:sz w:val="20"/>
                <w:szCs w:val="20"/>
                <w:shd w:val="clear" w:color="auto" w:fill="auto"/>
              </w:rPr>
              <w:t xml:space="preserve"> 在饮用水水源准保护区内，除第十五条禁止的行为以外，还应当禁止下列行为：</w:t>
            </w:r>
          </w:p>
          <w:p>
            <w:pPr>
              <w:shd w:val="clear" w:color="auto" w:fill="auto"/>
              <w:snapToGrid w:val="0"/>
              <w:spacing w:beforeLines="20" w:beforeAutospacing="0" w:after="0" w:afterAutospacing="0" w:line="288" w:lineRule="auto"/>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（三）拦汊筑坝、围网和网箱养殖；</w:t>
            </w:r>
          </w:p>
        </w:tc>
      </w:tr>
      <w:tr>
        <w:trPr>
          <w:trHeight w:val="397" w:hRule="atLeast"/>
        </w:trPr>
        <w:tc>
          <w:tcPr>
            <w:tcW w:w="1368" w:type="dxa"/>
            <w:vAlign w:val="center"/>
          </w:tcPr>
          <w:p>
            <w:pPr>
              <w:shd w:val="clear" w:color="auto" w:fill="auto"/>
              <w:snapToGrid w:val="0"/>
              <w:spacing w:before="0" w:beforeAutospacing="0" w:after="0" w:afterAutospacing="0" w:line="312" w:lineRule="auto"/>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shd w:val="clear" w:color="auto" w:fill="auto"/>
              <w:snapToGrid w:val="0"/>
              <w:spacing w:beforeLines="20" w:beforeAutospacing="0" w:after="0" w:afterAutospacing="0" w:line="288" w:lineRule="auto"/>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《河南省南水北调饮用水水源保护条例》第六十四条</w:t>
            </w:r>
            <w:r>
              <w:rPr>
                <w:rFonts w:hint="default" w:ascii="Times New Roman" w:hAnsi="Times New Roman" w:cs="Times New Roman"/>
                <w:b w:val="0"/>
                <w:bCs w:val="0"/>
                <w:color w:val="auto"/>
                <w:sz w:val="20"/>
                <w:szCs w:val="20"/>
                <w:shd w:val="clear" w:color="auto" w:fill="auto"/>
              </w:rPr>
              <w:t xml:space="preserve"> 违反本条例规定，从事拦汊筑坝、围网和网箱养殖的，责令拆除，处二万元以上十万元以下的罚款。</w:t>
            </w:r>
          </w:p>
        </w:tc>
      </w:tr>
      <w:tr>
        <w:trPr>
          <w:trHeight w:val="397" w:hRule="atLeast"/>
        </w:trPr>
        <w:tc>
          <w:tcPr>
            <w:tcW w:w="1368"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82"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10"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368"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82"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从事垂钓或者其他可能污染饮用水水体的活动的</w:t>
            </w:r>
          </w:p>
        </w:tc>
        <w:tc>
          <w:tcPr>
            <w:tcW w:w="2510"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ind w:left="0" w:right="0" w:firstLine="420" w:firstLineChars="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组织进行旅游的</w:t>
            </w:r>
          </w:p>
        </w:tc>
        <w:tc>
          <w:tcPr>
            <w:tcW w:w="2510"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ind w:left="0" w:right="0" w:firstLine="420" w:firstLineChars="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从事网箱养殖的</w:t>
            </w:r>
          </w:p>
        </w:tc>
        <w:tc>
          <w:tcPr>
            <w:tcW w:w="2510"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持续时间</w:t>
            </w:r>
          </w:p>
        </w:tc>
        <w:tc>
          <w:tcPr>
            <w:tcW w:w="5182"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5天</w:t>
            </w:r>
            <w:r>
              <w:rPr>
                <w:rFonts w:hint="default" w:ascii="Times New Roman" w:hAnsi="Times New Roman" w:cs="Times New Roman"/>
                <w:color w:val="auto"/>
                <w:sz w:val="20"/>
                <w:szCs w:val="20"/>
                <w:shd w:val="clear" w:color="auto" w:fill="auto"/>
                <w:lang w:val="en-US"/>
              </w:rPr>
              <w:t>以下</w:t>
            </w:r>
          </w:p>
        </w:tc>
        <w:tc>
          <w:tcPr>
            <w:tcW w:w="2510"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5天以上10天</w:t>
            </w:r>
            <w:r>
              <w:rPr>
                <w:rFonts w:hint="default" w:ascii="Times New Roman" w:hAnsi="Times New Roman" w:cs="Times New Roman"/>
                <w:color w:val="auto"/>
                <w:sz w:val="20"/>
                <w:szCs w:val="20"/>
                <w:shd w:val="clear" w:color="auto" w:fill="auto"/>
                <w:lang w:val="en-US"/>
              </w:rPr>
              <w:t>以下</w:t>
            </w:r>
          </w:p>
        </w:tc>
        <w:tc>
          <w:tcPr>
            <w:tcW w:w="2510"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10天以上20天</w:t>
            </w:r>
            <w:r>
              <w:rPr>
                <w:rFonts w:hint="default" w:ascii="Times New Roman" w:hAnsi="Times New Roman" w:cs="Times New Roman"/>
                <w:color w:val="auto"/>
                <w:sz w:val="20"/>
                <w:szCs w:val="20"/>
                <w:shd w:val="clear" w:color="auto" w:fill="auto"/>
                <w:lang w:val="en-US"/>
              </w:rPr>
              <w:t>以下</w:t>
            </w:r>
          </w:p>
        </w:tc>
        <w:tc>
          <w:tcPr>
            <w:tcW w:w="2510"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20天以上1个月</w:t>
            </w:r>
            <w:r>
              <w:rPr>
                <w:rFonts w:hint="default" w:ascii="Times New Roman" w:hAnsi="Times New Roman" w:cs="Times New Roman"/>
                <w:color w:val="auto"/>
                <w:sz w:val="20"/>
                <w:szCs w:val="20"/>
                <w:shd w:val="clear" w:color="auto" w:fill="auto"/>
                <w:lang w:val="en-US"/>
              </w:rPr>
              <w:t>以下</w:t>
            </w:r>
          </w:p>
        </w:tc>
        <w:tc>
          <w:tcPr>
            <w:tcW w:w="2510"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1个月以上</w:t>
            </w:r>
          </w:p>
        </w:tc>
        <w:tc>
          <w:tcPr>
            <w:tcW w:w="2510"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b/>
                <w:bCs/>
                <w:color w:val="auto"/>
                <w:kern w:val="2"/>
                <w:sz w:val="21"/>
                <w:szCs w:val="21"/>
                <w:shd w:val="clear" w:color="auto" w:fill="auto"/>
                <w:lang w:val="en-US" w:eastAsia="zh-CN" w:bidi="ar-SA"/>
              </w:rPr>
            </w:pPr>
            <w:r>
              <w:rPr>
                <w:rFonts w:hint="default" w:ascii="Times New Roman" w:hAnsi="Times New Roman" w:cs="Times New Roman"/>
                <w:b/>
                <w:bCs/>
                <w:color w:val="auto"/>
                <w:sz w:val="20"/>
                <w:szCs w:val="20"/>
                <w:shd w:val="clear" w:color="auto" w:fill="auto"/>
                <w:lang w:val="en-US" w:eastAsia="zh-CN"/>
              </w:rPr>
              <w:t>企业规模</w:t>
            </w:r>
          </w:p>
        </w:tc>
        <w:tc>
          <w:tcPr>
            <w:tcW w:w="5182"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微型企业</w:t>
            </w:r>
          </w:p>
        </w:tc>
        <w:tc>
          <w:tcPr>
            <w:tcW w:w="2510"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1</w:t>
            </w:r>
          </w:p>
        </w:tc>
      </w:tr>
      <w:tr>
        <w:trPr>
          <w:trHeight w:val="397" w:hRule="atLeast"/>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小型企业</w:t>
            </w:r>
          </w:p>
        </w:tc>
        <w:tc>
          <w:tcPr>
            <w:tcW w:w="2510"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中型企业</w:t>
            </w:r>
          </w:p>
        </w:tc>
        <w:tc>
          <w:tcPr>
            <w:tcW w:w="2510"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eastAsia="zh-CN"/>
              </w:rPr>
              <w:t>大型企业</w:t>
            </w:r>
          </w:p>
        </w:tc>
        <w:tc>
          <w:tcPr>
            <w:tcW w:w="2510" w:type="dxa"/>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改正时间</w:t>
            </w:r>
          </w:p>
        </w:tc>
        <w:tc>
          <w:tcPr>
            <w:tcW w:w="5182"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trPr>
        <w:tc>
          <w:tcPr>
            <w:tcW w:w="1368"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182"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510"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510"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68" w:type="dxa"/>
            <w:vMerge w:val="continue"/>
            <w:vAlign w:val="center"/>
          </w:tcPr>
          <w:p>
            <w:pPr>
              <w:shd w:val="clear" w:color="auto" w:fill="auto"/>
              <w:snapToGrid w:val="0"/>
              <w:spacing w:before="0" w:beforeAutospacing="0" w:after="0" w:afterAutospacing="0"/>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510"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Align w:val="center"/>
          </w:tcPr>
          <w:p>
            <w:pPr>
              <w:shd w:val="clear" w:color="auto" w:fill="auto"/>
              <w:snapToGrid w:val="0"/>
              <w:spacing w:before="0" w:beforeAutospacing="0" w:after="0" w:afterAutospacing="0"/>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p>
        </w:tc>
      </w:tr>
    </w:tbl>
    <w:p>
      <w:pPr>
        <w:shd w:val="clear" w:color="auto" w:fill="auto"/>
        <w:spacing w:line="200" w:lineRule="exact"/>
        <w:ind w:firstLine="640" w:firstLineChars="200"/>
        <w:outlineLvl w:val="9"/>
        <w:rPr>
          <w:rFonts w:ascii="Times New Roman" w:hAnsi="Times New Roman" w:eastAsia="方正楷体_GBK" w:cs="Times New Roman"/>
          <w:bCs/>
          <w:color w:val="auto"/>
          <w:sz w:val="32"/>
          <w:szCs w:val="32"/>
          <w:shd w:val="clear" w:color="auto" w:fill="auto"/>
        </w:rPr>
      </w:pP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182"/>
        <w:gridCol w:w="250"/>
        <w:gridCol w:w="2260"/>
      </w:tblGrid>
      <w:tr>
        <w:trPr>
          <w:trHeight w:val="425" w:hRule="atLeast"/>
        </w:trPr>
        <w:tc>
          <w:tcPr>
            <w:tcW w:w="9060" w:type="dxa"/>
            <w:gridSpan w:val="4"/>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w:t>
            </w:r>
            <w:r>
              <w:rPr>
                <w:rFonts w:hint="default" w:ascii="Times New Roman" w:hAnsi="Times New Roman" w:cs="Times New Roman"/>
                <w:b/>
                <w:bCs/>
                <w:color w:val="auto"/>
                <w:sz w:val="20"/>
                <w:szCs w:val="20"/>
                <w:shd w:val="clear" w:color="auto" w:fill="auto"/>
                <w:lang w:val="en-US"/>
              </w:rPr>
              <w:t>八</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南水北调</w:t>
            </w:r>
            <w:r>
              <w:rPr>
                <w:rFonts w:hint="default" w:ascii="Times New Roman" w:hAnsi="Times New Roman" w:cs="Times New Roman"/>
                <w:b/>
                <w:bCs/>
                <w:color w:val="auto"/>
                <w:sz w:val="20"/>
                <w:szCs w:val="20"/>
                <w:shd w:val="clear" w:color="auto" w:fill="auto"/>
                <w:lang w:eastAsia="zh-CN"/>
              </w:rPr>
              <w:t>饮用水水源</w:t>
            </w:r>
            <w:r>
              <w:rPr>
                <w:rFonts w:hint="default" w:ascii="Times New Roman" w:hAnsi="Times New Roman" w:cs="Times New Roman"/>
                <w:b/>
                <w:bCs/>
                <w:color w:val="auto"/>
                <w:sz w:val="20"/>
                <w:szCs w:val="20"/>
                <w:shd w:val="clear" w:color="auto" w:fill="auto"/>
              </w:rPr>
              <w:t>污染防治类</w:t>
            </w:r>
          </w:p>
        </w:tc>
      </w:tr>
      <w:tr>
        <w:trPr>
          <w:trHeight w:val="425" w:hRule="atLeast"/>
        </w:trPr>
        <w:tc>
          <w:tcPr>
            <w:tcW w:w="1368" w:type="dxa"/>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3"/>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outlineLvl w:val="0"/>
              <w:rPr>
                <w:rFonts w:hint="default" w:ascii="Times New Roman" w:hAnsi="Times New Roman" w:cs="Times New Roman"/>
                <w:color w:val="auto"/>
                <w:sz w:val="20"/>
                <w:szCs w:val="20"/>
                <w:shd w:val="clear" w:color="auto" w:fill="auto"/>
              </w:rPr>
            </w:pPr>
            <w:bookmarkStart w:id="392" w:name="_Toc8015"/>
            <w:r>
              <w:rPr>
                <w:rFonts w:hint="default" w:ascii="Times New Roman" w:hAnsi="Times New Roman" w:cs="Times New Roman"/>
                <w:color w:val="auto"/>
                <w:sz w:val="20"/>
                <w:szCs w:val="20"/>
                <w:shd w:val="clear" w:color="auto" w:fill="auto"/>
              </w:rPr>
              <w:t>4</w:t>
            </w:r>
            <w:bookmarkEnd w:id="392"/>
          </w:p>
        </w:tc>
      </w:tr>
      <w:tr>
        <w:trPr>
          <w:trHeight w:val="425" w:hRule="atLeast"/>
        </w:trPr>
        <w:tc>
          <w:tcPr>
            <w:tcW w:w="1368" w:type="dxa"/>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3"/>
            <w:vAlign w:val="center"/>
          </w:tcPr>
          <w:p>
            <w:pPr>
              <w:widowControl w:val="0"/>
              <w:shd w:val="clear" w:color="auto" w:fill="auto"/>
              <w:wordWrap/>
              <w:adjustRightInd/>
              <w:snapToGrid w:val="0"/>
              <w:spacing w:before="0" w:beforeAutospacing="0" w:after="0" w:afterAutospacing="0" w:line="330" w:lineRule="exact"/>
              <w:ind w:left="0" w:right="0" w:firstLine="420"/>
              <w:textAlignment w:val="auto"/>
              <w:outlineLvl w:val="0"/>
              <w:rPr>
                <w:rFonts w:hint="default" w:ascii="Times New Roman" w:hAnsi="Times New Roman" w:cs="Times New Roman"/>
                <w:color w:val="auto"/>
                <w:sz w:val="20"/>
                <w:szCs w:val="20"/>
                <w:shd w:val="clear" w:color="auto" w:fill="auto"/>
              </w:rPr>
            </w:pPr>
            <w:bookmarkStart w:id="393" w:name="_Toc28412"/>
            <w:r>
              <w:rPr>
                <w:rFonts w:hint="default" w:ascii="Times New Roman" w:hAnsi="Times New Roman" w:cs="Times New Roman"/>
                <w:color w:val="auto"/>
                <w:sz w:val="20"/>
                <w:szCs w:val="20"/>
                <w:shd w:val="clear" w:color="auto" w:fill="auto"/>
              </w:rPr>
              <w:t>在饮用水水源</w:t>
            </w:r>
            <w:r>
              <w:rPr>
                <w:rFonts w:hint="default" w:ascii="Times New Roman" w:hAnsi="Times New Roman" w:cs="Times New Roman"/>
                <w:color w:val="auto"/>
                <w:sz w:val="20"/>
                <w:szCs w:val="20"/>
                <w:shd w:val="clear" w:color="auto" w:fill="auto"/>
                <w:lang w:eastAsia="zh-CN"/>
              </w:rPr>
              <w:t>二级</w:t>
            </w:r>
            <w:r>
              <w:rPr>
                <w:rFonts w:hint="default" w:ascii="Times New Roman" w:hAnsi="Times New Roman" w:cs="Times New Roman"/>
                <w:color w:val="auto"/>
                <w:sz w:val="20"/>
                <w:szCs w:val="20"/>
                <w:shd w:val="clear" w:color="auto" w:fill="auto"/>
              </w:rPr>
              <w:t>保护区内从事</w:t>
            </w:r>
            <w:r>
              <w:rPr>
                <w:rFonts w:hint="default" w:ascii="Times New Roman" w:hAnsi="Times New Roman" w:cs="Times New Roman"/>
                <w:color w:val="auto"/>
                <w:sz w:val="20"/>
                <w:szCs w:val="20"/>
                <w:shd w:val="clear" w:color="auto" w:fill="auto"/>
                <w:lang w:eastAsia="zh-CN"/>
              </w:rPr>
              <w:t>放生、游泳</w:t>
            </w:r>
            <w:r>
              <w:rPr>
                <w:rFonts w:hint="default" w:ascii="Times New Roman" w:hAnsi="Times New Roman" w:cs="Times New Roman"/>
                <w:color w:val="auto"/>
                <w:sz w:val="20"/>
                <w:szCs w:val="20"/>
                <w:shd w:val="clear" w:color="auto" w:fill="auto"/>
              </w:rPr>
              <w:t>、垂钓的</w:t>
            </w:r>
            <w:bookmarkEnd w:id="393"/>
          </w:p>
        </w:tc>
      </w:tr>
      <w:tr>
        <w:trPr>
          <w:trHeight w:val="425" w:hRule="atLeast"/>
        </w:trPr>
        <w:tc>
          <w:tcPr>
            <w:tcW w:w="1368" w:type="dxa"/>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3"/>
            <w:vAlign w:val="center"/>
          </w:tcPr>
          <w:p>
            <w:pPr>
              <w:widowControl w:val="0"/>
              <w:shd w:val="clear" w:color="auto" w:fill="auto"/>
              <w:wordWrap/>
              <w:adjustRightInd/>
              <w:snapToGrid w:val="0"/>
              <w:spacing w:before="0" w:beforeAutospacing="0" w:after="0" w:afterAutospacing="0" w:line="330" w:lineRule="exact"/>
              <w:ind w:left="0" w:right="0" w:firstLine="42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《河南省南水北调饮用水水源保护条例》第</w:t>
            </w:r>
            <w:r>
              <w:rPr>
                <w:rFonts w:hint="default" w:ascii="Times New Roman" w:hAnsi="Times New Roman" w:cs="Times New Roman"/>
                <w:b/>
                <w:bCs/>
                <w:color w:val="auto"/>
                <w:sz w:val="20"/>
                <w:szCs w:val="20"/>
                <w:shd w:val="clear" w:color="auto" w:fill="auto"/>
                <w:lang w:eastAsia="zh-CN"/>
              </w:rPr>
              <w:t>十七</w:t>
            </w:r>
            <w:r>
              <w:rPr>
                <w:rFonts w:hint="default" w:ascii="Times New Roman" w:hAnsi="Times New Roman" w:cs="Times New Roman"/>
                <w:b/>
                <w:bCs/>
                <w:color w:val="auto"/>
                <w:sz w:val="20"/>
                <w:szCs w:val="20"/>
                <w:shd w:val="clear" w:color="auto" w:fill="auto"/>
              </w:rPr>
              <w:t>条第</w:t>
            </w:r>
            <w:r>
              <w:rPr>
                <w:rFonts w:hint="default" w:ascii="Times New Roman" w:hAnsi="Times New Roman" w:cs="Times New Roman"/>
                <w:b/>
                <w:bCs/>
                <w:color w:val="auto"/>
                <w:sz w:val="20"/>
                <w:szCs w:val="20"/>
                <w:shd w:val="clear" w:color="auto" w:fill="auto"/>
                <w:lang w:eastAsia="zh-CN"/>
              </w:rPr>
              <w:t>十项</w:t>
            </w:r>
            <w:r>
              <w:rPr>
                <w:rFonts w:hint="default" w:ascii="Times New Roman" w:hAnsi="Times New Roman" w:cs="Times New Roman"/>
                <w:b/>
                <w:bCs/>
                <w:color w:val="auto"/>
                <w:sz w:val="20"/>
                <w:szCs w:val="20"/>
                <w:shd w:val="clear" w:color="auto" w:fill="auto"/>
                <w:lang w:val="en-US" w:eastAsia="zh-CN"/>
              </w:rPr>
              <w:t xml:space="preserve"> </w:t>
            </w:r>
            <w:r>
              <w:rPr>
                <w:rFonts w:hint="default" w:ascii="Times New Roman" w:hAnsi="Times New Roman" w:cs="Times New Roman"/>
                <w:color w:val="auto"/>
                <w:sz w:val="20"/>
                <w:szCs w:val="20"/>
                <w:shd w:val="clear" w:color="auto" w:fill="auto"/>
              </w:rPr>
              <w:t xml:space="preserve"> 在饮用水水源二级保护区内，除准保护区禁止的行为以外，还应当禁止下列行为：</w:t>
            </w:r>
          </w:p>
          <w:p>
            <w:pPr>
              <w:widowControl w:val="0"/>
              <w:shd w:val="clear" w:color="auto" w:fill="auto"/>
              <w:wordWrap/>
              <w:adjustRightInd/>
              <w:snapToGrid w:val="0"/>
              <w:spacing w:before="0" w:beforeAutospacing="0" w:after="0" w:afterAutospacing="0" w:line="330" w:lineRule="exact"/>
              <w:ind w:left="0" w:right="0" w:firstLine="42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（十）放生、游泳、垂钓；</w:t>
            </w:r>
          </w:p>
        </w:tc>
      </w:tr>
      <w:tr>
        <w:trPr>
          <w:trHeight w:val="425" w:hRule="atLeast"/>
        </w:trPr>
        <w:tc>
          <w:tcPr>
            <w:tcW w:w="1368" w:type="dxa"/>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3"/>
            <w:vAlign w:val="center"/>
          </w:tcPr>
          <w:p>
            <w:pPr>
              <w:widowControl w:val="0"/>
              <w:shd w:val="clear" w:color="auto" w:fill="auto"/>
              <w:wordWrap/>
              <w:adjustRightInd/>
              <w:snapToGrid w:val="0"/>
              <w:spacing w:before="0" w:beforeAutospacing="0" w:after="0" w:afterAutospacing="0" w:line="330" w:lineRule="exact"/>
              <w:ind w:left="0" w:right="0" w:firstLine="420"/>
              <w:textAlignment w:val="auto"/>
              <w:rPr>
                <w:rFonts w:hint="default" w:ascii="Times New Roman" w:hAnsi="Times New Roman" w:cs="Times New Roman"/>
                <w:b w:val="0"/>
                <w:bCs w:val="0"/>
                <w:color w:val="auto"/>
                <w:sz w:val="20"/>
                <w:szCs w:val="20"/>
                <w:shd w:val="clear" w:color="auto" w:fill="auto"/>
              </w:rPr>
            </w:pPr>
            <w:r>
              <w:rPr>
                <w:rFonts w:hint="default" w:ascii="Times New Roman" w:hAnsi="Times New Roman" w:cs="Times New Roman"/>
                <w:b/>
                <w:bCs/>
                <w:color w:val="auto"/>
                <w:sz w:val="20"/>
                <w:szCs w:val="20"/>
                <w:shd w:val="clear" w:color="auto" w:fill="auto"/>
              </w:rPr>
              <w:t>《河南省南水北调饮用水水源保护条例》第六十五条</w:t>
            </w:r>
            <w:r>
              <w:rPr>
                <w:rFonts w:hint="default" w:ascii="Times New Roman" w:hAnsi="Times New Roman" w:cs="Times New Roman"/>
                <w:b w:val="0"/>
                <w:bCs w:val="0"/>
                <w:color w:val="auto"/>
                <w:sz w:val="20"/>
                <w:szCs w:val="20"/>
                <w:shd w:val="clear" w:color="auto" w:fill="auto"/>
              </w:rPr>
              <w:t xml:space="preserve"> 违反本条例规定，组织进行游泳、垂钓的，责令停止违法行为，处二万元以上十万元以下的罚款；个人进行游泳、垂钓的，责令停止违法行为，处二百元以上五百元以下的罚款。</w:t>
            </w:r>
          </w:p>
          <w:p>
            <w:pPr>
              <w:widowControl w:val="0"/>
              <w:shd w:val="clear" w:color="auto" w:fill="auto"/>
              <w:wordWrap/>
              <w:adjustRightInd/>
              <w:snapToGrid w:val="0"/>
              <w:spacing w:before="0" w:beforeAutospacing="0" w:after="0" w:afterAutospacing="0" w:line="330" w:lineRule="exact"/>
              <w:ind w:left="0" w:right="0" w:firstLine="420"/>
              <w:textAlignment w:val="auto"/>
              <w:rPr>
                <w:rFonts w:hint="default" w:ascii="Times New Roman" w:hAnsi="Times New Roman" w:cs="Times New Roman"/>
                <w:b w:val="0"/>
                <w:bCs w:val="0"/>
                <w:color w:val="auto"/>
                <w:sz w:val="20"/>
                <w:szCs w:val="20"/>
                <w:shd w:val="clear" w:color="auto" w:fill="auto"/>
              </w:rPr>
            </w:pPr>
            <w:r>
              <w:rPr>
                <w:rFonts w:hint="default" w:ascii="Times New Roman" w:hAnsi="Times New Roman" w:cs="Times New Roman"/>
                <w:b w:val="0"/>
                <w:bCs w:val="0"/>
                <w:color w:val="auto"/>
                <w:sz w:val="20"/>
                <w:szCs w:val="20"/>
                <w:shd w:val="clear" w:color="auto" w:fill="auto"/>
              </w:rPr>
              <w:t>　违反本条例规定，组织进行放生的，责令停止违法行为，处二万元以上十万元以下的罚款；个人进行放生的，责令停止违法行为，处五千元以上二万元以下的罚款。</w:t>
            </w:r>
          </w:p>
        </w:tc>
      </w:tr>
      <w:tr>
        <w:trPr>
          <w:trHeight w:val="425" w:hRule="atLeast"/>
        </w:trPr>
        <w:tc>
          <w:tcPr>
            <w:tcW w:w="1368" w:type="dxa"/>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82" w:type="dxa"/>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10" w:type="dxa"/>
            <w:gridSpan w:val="2"/>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368" w:type="dxa"/>
            <w:vMerge w:val="restart"/>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82" w:type="dxa"/>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游泳</w:t>
            </w:r>
          </w:p>
        </w:tc>
        <w:tc>
          <w:tcPr>
            <w:tcW w:w="2510" w:type="dxa"/>
            <w:gridSpan w:val="2"/>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widowControl w:val="0"/>
              <w:shd w:val="clear" w:color="auto" w:fill="auto"/>
              <w:wordWrap/>
              <w:adjustRightInd/>
              <w:snapToGrid w:val="0"/>
              <w:spacing w:before="0" w:beforeAutospacing="0" w:after="0" w:afterAutospacing="0" w:line="330" w:lineRule="exact"/>
              <w:ind w:left="0" w:right="0" w:firstLine="420"/>
              <w:jc w:val="center"/>
              <w:textAlignment w:val="auto"/>
              <w:rPr>
                <w:rFonts w:hint="default" w:ascii="Times New Roman" w:hAnsi="Times New Roman" w:cs="Times New Roman"/>
                <w:color w:val="auto"/>
                <w:sz w:val="20"/>
                <w:szCs w:val="20"/>
                <w:shd w:val="clear" w:color="auto" w:fill="auto"/>
              </w:rPr>
            </w:pPr>
          </w:p>
        </w:tc>
        <w:tc>
          <w:tcPr>
            <w:tcW w:w="5182" w:type="dxa"/>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放生</w:t>
            </w:r>
          </w:p>
        </w:tc>
        <w:tc>
          <w:tcPr>
            <w:tcW w:w="2510" w:type="dxa"/>
            <w:gridSpan w:val="2"/>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3</w:t>
            </w:r>
          </w:p>
        </w:tc>
      </w:tr>
      <w:tr>
        <w:trPr>
          <w:trHeight w:val="425" w:hRule="atLeast"/>
        </w:trPr>
        <w:tc>
          <w:tcPr>
            <w:tcW w:w="1368" w:type="dxa"/>
            <w:vMerge w:val="continue"/>
            <w:vAlign w:val="center"/>
          </w:tcPr>
          <w:p>
            <w:pPr>
              <w:widowControl w:val="0"/>
              <w:shd w:val="clear" w:color="auto" w:fill="auto"/>
              <w:wordWrap/>
              <w:adjustRightInd/>
              <w:snapToGrid w:val="0"/>
              <w:spacing w:before="0" w:beforeAutospacing="0" w:after="0" w:afterAutospacing="0" w:line="330" w:lineRule="exact"/>
              <w:ind w:left="0" w:right="0" w:firstLine="420"/>
              <w:jc w:val="center"/>
              <w:textAlignment w:val="auto"/>
              <w:rPr>
                <w:rFonts w:hint="default" w:ascii="Times New Roman" w:hAnsi="Times New Roman" w:cs="Times New Roman"/>
                <w:color w:val="auto"/>
                <w:sz w:val="20"/>
                <w:szCs w:val="20"/>
                <w:shd w:val="clear" w:color="auto" w:fill="auto"/>
              </w:rPr>
            </w:pPr>
          </w:p>
        </w:tc>
        <w:tc>
          <w:tcPr>
            <w:tcW w:w="5182" w:type="dxa"/>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垂钓</w:t>
            </w:r>
          </w:p>
        </w:tc>
        <w:tc>
          <w:tcPr>
            <w:tcW w:w="2510" w:type="dxa"/>
            <w:gridSpan w:val="2"/>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5</w:t>
            </w:r>
          </w:p>
        </w:tc>
      </w:tr>
      <w:tr>
        <w:trPr>
          <w:trHeight w:val="425" w:hRule="atLeast"/>
        </w:trPr>
        <w:tc>
          <w:tcPr>
            <w:tcW w:w="1368" w:type="dxa"/>
            <w:vMerge w:val="restart"/>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违法行为</w:t>
            </w:r>
          </w:p>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发生频次</w:t>
            </w:r>
          </w:p>
        </w:tc>
        <w:tc>
          <w:tcPr>
            <w:tcW w:w="5182" w:type="dxa"/>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1</w:t>
            </w:r>
            <w:r>
              <w:rPr>
                <w:rFonts w:hint="default" w:ascii="Times New Roman" w:hAnsi="Times New Roman" w:cs="Times New Roman"/>
                <w:color w:val="auto"/>
                <w:sz w:val="20"/>
                <w:szCs w:val="20"/>
                <w:shd w:val="clear" w:color="auto" w:fill="auto"/>
                <w:lang w:val="en-US"/>
              </w:rPr>
              <w:t>次</w:t>
            </w:r>
          </w:p>
        </w:tc>
        <w:tc>
          <w:tcPr>
            <w:tcW w:w="2510" w:type="dxa"/>
            <w:gridSpan w:val="2"/>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82" w:type="dxa"/>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2</w:t>
            </w:r>
            <w:r>
              <w:rPr>
                <w:rFonts w:hint="default" w:ascii="Times New Roman" w:hAnsi="Times New Roman" w:cs="Times New Roman"/>
                <w:color w:val="auto"/>
                <w:sz w:val="20"/>
                <w:szCs w:val="20"/>
                <w:shd w:val="clear" w:color="auto" w:fill="auto"/>
                <w:lang w:val="en-US"/>
              </w:rPr>
              <w:t>次</w:t>
            </w:r>
          </w:p>
        </w:tc>
        <w:tc>
          <w:tcPr>
            <w:tcW w:w="2510" w:type="dxa"/>
            <w:gridSpan w:val="2"/>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trPr>
        <w:tc>
          <w:tcPr>
            <w:tcW w:w="1368" w:type="dxa"/>
            <w:vMerge w:val="continue"/>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82" w:type="dxa"/>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3</w:t>
            </w:r>
            <w:r>
              <w:rPr>
                <w:rFonts w:hint="default" w:ascii="Times New Roman" w:hAnsi="Times New Roman" w:cs="Times New Roman"/>
                <w:color w:val="auto"/>
                <w:sz w:val="20"/>
                <w:szCs w:val="20"/>
                <w:shd w:val="clear" w:color="auto" w:fill="auto"/>
                <w:lang w:val="en-US"/>
              </w:rPr>
              <w:t>次</w:t>
            </w:r>
          </w:p>
        </w:tc>
        <w:tc>
          <w:tcPr>
            <w:tcW w:w="2510" w:type="dxa"/>
            <w:gridSpan w:val="2"/>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continue"/>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82" w:type="dxa"/>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4</w:t>
            </w:r>
            <w:r>
              <w:rPr>
                <w:rFonts w:hint="default" w:ascii="Times New Roman" w:hAnsi="Times New Roman" w:cs="Times New Roman"/>
                <w:color w:val="auto"/>
                <w:sz w:val="20"/>
                <w:szCs w:val="20"/>
                <w:shd w:val="clear" w:color="auto" w:fill="auto"/>
                <w:lang w:val="en-US"/>
              </w:rPr>
              <w:t>次</w:t>
            </w:r>
          </w:p>
        </w:tc>
        <w:tc>
          <w:tcPr>
            <w:tcW w:w="2510" w:type="dxa"/>
            <w:gridSpan w:val="2"/>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trPr>
        <w:tc>
          <w:tcPr>
            <w:tcW w:w="1368" w:type="dxa"/>
            <w:vMerge w:val="continue"/>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82" w:type="dxa"/>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5</w:t>
            </w:r>
            <w:r>
              <w:rPr>
                <w:rFonts w:hint="default" w:ascii="Times New Roman" w:hAnsi="Times New Roman" w:cs="Times New Roman"/>
                <w:color w:val="auto"/>
                <w:sz w:val="20"/>
                <w:szCs w:val="20"/>
                <w:shd w:val="clear" w:color="auto" w:fill="auto"/>
                <w:lang w:val="en-US"/>
              </w:rPr>
              <w:t>次以上</w:t>
            </w:r>
          </w:p>
        </w:tc>
        <w:tc>
          <w:tcPr>
            <w:tcW w:w="2510" w:type="dxa"/>
            <w:gridSpan w:val="2"/>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Merge w:val="restart"/>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eastAsia="zh-CN"/>
              </w:rPr>
              <w:t>企业规模</w:t>
            </w:r>
          </w:p>
        </w:tc>
        <w:tc>
          <w:tcPr>
            <w:tcW w:w="5182" w:type="dxa"/>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微型企业</w:t>
            </w:r>
          </w:p>
        </w:tc>
        <w:tc>
          <w:tcPr>
            <w:tcW w:w="2510" w:type="dxa"/>
            <w:gridSpan w:val="2"/>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425" w:hRule="atLeast"/>
        </w:trPr>
        <w:tc>
          <w:tcPr>
            <w:tcW w:w="1368" w:type="dxa"/>
            <w:vMerge w:val="continue"/>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182" w:type="dxa"/>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小型企业</w:t>
            </w:r>
          </w:p>
        </w:tc>
        <w:tc>
          <w:tcPr>
            <w:tcW w:w="2510" w:type="dxa"/>
            <w:gridSpan w:val="2"/>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425" w:hRule="atLeast"/>
        </w:trPr>
        <w:tc>
          <w:tcPr>
            <w:tcW w:w="1368" w:type="dxa"/>
            <w:vMerge w:val="continue"/>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182" w:type="dxa"/>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中型企业</w:t>
            </w:r>
          </w:p>
        </w:tc>
        <w:tc>
          <w:tcPr>
            <w:tcW w:w="2510" w:type="dxa"/>
            <w:gridSpan w:val="2"/>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425" w:hRule="atLeast"/>
        </w:trPr>
        <w:tc>
          <w:tcPr>
            <w:tcW w:w="1368" w:type="dxa"/>
            <w:vMerge w:val="continue"/>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182" w:type="dxa"/>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大型企业</w:t>
            </w:r>
          </w:p>
        </w:tc>
        <w:tc>
          <w:tcPr>
            <w:tcW w:w="2510" w:type="dxa"/>
            <w:gridSpan w:val="2"/>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368" w:type="dxa"/>
            <w:vMerge w:val="restart"/>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182" w:type="dxa"/>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510" w:type="dxa"/>
            <w:gridSpan w:val="2"/>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widowControl w:val="0"/>
              <w:shd w:val="clear" w:color="auto" w:fill="auto"/>
              <w:wordWrap/>
              <w:adjustRightInd/>
              <w:snapToGrid w:val="0"/>
              <w:spacing w:before="0" w:beforeAutospacing="0" w:after="0" w:afterAutospacing="0" w:line="330" w:lineRule="exact"/>
              <w:ind w:left="0" w:right="0" w:firstLine="420"/>
              <w:jc w:val="center"/>
              <w:textAlignment w:val="auto"/>
              <w:rPr>
                <w:rFonts w:hint="default" w:ascii="Times New Roman" w:hAnsi="Times New Roman" w:cs="Times New Roman"/>
                <w:color w:val="auto"/>
                <w:sz w:val="20"/>
                <w:szCs w:val="20"/>
                <w:shd w:val="clear" w:color="auto" w:fill="auto"/>
              </w:rPr>
            </w:pPr>
          </w:p>
        </w:tc>
        <w:tc>
          <w:tcPr>
            <w:tcW w:w="5182" w:type="dxa"/>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510" w:type="dxa"/>
            <w:gridSpan w:val="2"/>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68" w:type="dxa"/>
            <w:vMerge w:val="continue"/>
            <w:vAlign w:val="center"/>
          </w:tcPr>
          <w:p>
            <w:pPr>
              <w:widowControl w:val="0"/>
              <w:shd w:val="clear" w:color="auto" w:fill="auto"/>
              <w:wordWrap/>
              <w:adjustRightInd/>
              <w:snapToGrid w:val="0"/>
              <w:spacing w:before="0" w:beforeAutospacing="0" w:after="0" w:afterAutospacing="0" w:line="330" w:lineRule="exact"/>
              <w:ind w:left="0" w:right="0" w:firstLine="420"/>
              <w:jc w:val="center"/>
              <w:textAlignment w:val="auto"/>
              <w:rPr>
                <w:rFonts w:hint="default" w:ascii="Times New Roman" w:hAnsi="Times New Roman" w:cs="Times New Roman"/>
                <w:color w:val="auto"/>
                <w:sz w:val="20"/>
                <w:szCs w:val="20"/>
                <w:shd w:val="clear" w:color="auto" w:fill="auto"/>
              </w:rPr>
            </w:pPr>
          </w:p>
        </w:tc>
        <w:tc>
          <w:tcPr>
            <w:tcW w:w="5182" w:type="dxa"/>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510" w:type="dxa"/>
            <w:gridSpan w:val="2"/>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Merge w:val="restart"/>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82" w:type="dxa"/>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510" w:type="dxa"/>
            <w:gridSpan w:val="2"/>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68" w:type="dxa"/>
            <w:vMerge w:val="continue"/>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p>
        </w:tc>
        <w:tc>
          <w:tcPr>
            <w:tcW w:w="5182" w:type="dxa"/>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10" w:type="dxa"/>
            <w:gridSpan w:val="2"/>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368" w:type="dxa"/>
            <w:vMerge w:val="continue"/>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p>
        </w:tc>
        <w:tc>
          <w:tcPr>
            <w:tcW w:w="5182" w:type="dxa"/>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510" w:type="dxa"/>
            <w:gridSpan w:val="2"/>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368" w:type="dxa"/>
            <w:vMerge w:val="continue"/>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p>
        </w:tc>
        <w:tc>
          <w:tcPr>
            <w:tcW w:w="5182" w:type="dxa"/>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510" w:type="dxa"/>
            <w:gridSpan w:val="2"/>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68" w:type="dxa"/>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3"/>
            <w:vAlign w:val="center"/>
          </w:tcPr>
          <w:p>
            <w:pPr>
              <w:widowControl w:val="0"/>
              <w:shd w:val="clear" w:color="auto" w:fill="auto"/>
              <w:wordWrap/>
              <w:adjustRightInd/>
              <w:snapToGrid w:val="0"/>
              <w:spacing w:before="0" w:beforeAutospacing="0" w:after="0" w:afterAutospacing="0" w:line="330" w:lineRule="exact"/>
              <w:ind w:left="0" w:right="0"/>
              <w:jc w:val="center"/>
              <w:textAlignment w:val="auto"/>
              <w:rPr>
                <w:rFonts w:hint="default" w:ascii="Times New Roman" w:hAnsi="Times New Roman" w:cs="Times New Roman"/>
                <w:color w:val="auto"/>
                <w:sz w:val="20"/>
                <w:szCs w:val="20"/>
                <w:shd w:val="clear" w:color="auto" w:fill="auto"/>
              </w:rPr>
            </w:pPr>
          </w:p>
        </w:tc>
      </w:tr>
      <w:tr>
        <w:trPr>
          <w:trHeight w:val="397" w:hRule="atLeast"/>
        </w:trPr>
        <w:tc>
          <w:tcPr>
            <w:tcW w:w="9060" w:type="dxa"/>
            <w:gridSpan w:val="4"/>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w:t>
            </w:r>
            <w:r>
              <w:rPr>
                <w:rFonts w:hint="default" w:ascii="Times New Roman" w:hAnsi="Times New Roman" w:cs="Times New Roman"/>
                <w:b/>
                <w:bCs/>
                <w:color w:val="auto"/>
                <w:sz w:val="20"/>
                <w:szCs w:val="20"/>
                <w:shd w:val="clear" w:color="auto" w:fill="auto"/>
                <w:lang w:val="en-US"/>
              </w:rPr>
              <w:t>八</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南水北调</w:t>
            </w:r>
            <w:r>
              <w:rPr>
                <w:rFonts w:hint="default" w:ascii="Times New Roman" w:hAnsi="Times New Roman" w:cs="Times New Roman"/>
                <w:b/>
                <w:bCs/>
                <w:color w:val="auto"/>
                <w:sz w:val="20"/>
                <w:szCs w:val="20"/>
                <w:shd w:val="clear" w:color="auto" w:fill="auto"/>
                <w:lang w:eastAsia="zh-CN"/>
              </w:rPr>
              <w:t>饮用水水源</w:t>
            </w:r>
            <w:r>
              <w:rPr>
                <w:rFonts w:hint="default" w:ascii="Times New Roman" w:hAnsi="Times New Roman" w:cs="Times New Roman"/>
                <w:b/>
                <w:bCs/>
                <w:color w:val="auto"/>
                <w:sz w:val="20"/>
                <w:szCs w:val="20"/>
                <w:shd w:val="clear" w:color="auto" w:fill="auto"/>
              </w:rPr>
              <w:t>污染防治类</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3"/>
            <w:vAlign w:val="center"/>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eastAsia="宋体" w:cs="Times New Roman"/>
                <w:color w:val="auto"/>
                <w:sz w:val="20"/>
                <w:szCs w:val="20"/>
                <w:shd w:val="clear" w:color="auto" w:fill="auto"/>
                <w:lang w:eastAsia="zh-CN"/>
              </w:rPr>
            </w:pPr>
            <w:bookmarkStart w:id="394" w:name="_Toc9487"/>
            <w:r>
              <w:rPr>
                <w:rFonts w:hint="default" w:ascii="Times New Roman" w:hAnsi="Times New Roman" w:cs="Times New Roman"/>
                <w:color w:val="auto"/>
                <w:sz w:val="20"/>
                <w:szCs w:val="20"/>
                <w:shd w:val="clear" w:color="auto" w:fill="auto"/>
                <w:lang w:eastAsia="zh-CN"/>
              </w:rPr>
              <w:t>5</w:t>
            </w:r>
            <w:bookmarkEnd w:id="394"/>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3"/>
            <w:vAlign w:val="center"/>
          </w:tcPr>
          <w:p>
            <w:pPr>
              <w:shd w:val="clear" w:color="auto" w:fill="auto"/>
              <w:snapToGrid w:val="0"/>
              <w:spacing w:before="0" w:beforeAutospacing="0" w:after="0" w:afterAutospacing="0" w:line="320" w:lineRule="exact"/>
              <w:ind w:left="0" w:right="0" w:firstLine="420"/>
              <w:outlineLvl w:val="0"/>
              <w:rPr>
                <w:rFonts w:hint="default" w:ascii="Times New Roman" w:hAnsi="Times New Roman" w:cs="Times New Roman"/>
                <w:color w:val="auto"/>
                <w:sz w:val="20"/>
                <w:szCs w:val="20"/>
                <w:shd w:val="clear" w:color="auto" w:fill="auto"/>
              </w:rPr>
            </w:pPr>
            <w:bookmarkStart w:id="395" w:name="_Toc22262"/>
            <w:r>
              <w:rPr>
                <w:rFonts w:hint="default" w:ascii="Times New Roman" w:hAnsi="Times New Roman" w:cs="Times New Roman"/>
                <w:color w:val="auto"/>
                <w:sz w:val="20"/>
                <w:szCs w:val="20"/>
                <w:shd w:val="clear" w:color="auto" w:fill="auto"/>
              </w:rPr>
              <w:t>使用不符合国家规定防污条件的运载工具运输油类、粪便及其他有毒有害物品的</w:t>
            </w:r>
            <w:bookmarkEnd w:id="395"/>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3"/>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《河南省南水北调饮用水水源保护条例》第十七条</w:t>
            </w:r>
            <w:r>
              <w:rPr>
                <w:rFonts w:hint="default" w:ascii="Times New Roman" w:hAnsi="Times New Roman" w:cs="Times New Roman"/>
                <w:b/>
                <w:bCs/>
                <w:color w:val="auto"/>
                <w:sz w:val="20"/>
                <w:szCs w:val="20"/>
                <w:shd w:val="clear" w:color="auto" w:fill="auto"/>
                <w:lang w:eastAsia="zh-CN"/>
              </w:rPr>
              <w:t>第九项</w:t>
            </w:r>
            <w:r>
              <w:rPr>
                <w:rFonts w:hint="default" w:ascii="Times New Roman" w:hAnsi="Times New Roman" w:cs="Times New Roman"/>
                <w:b/>
                <w:bCs/>
                <w:color w:val="auto"/>
                <w:sz w:val="20"/>
                <w:szCs w:val="20"/>
                <w:shd w:val="clear" w:color="auto" w:fill="auto"/>
                <w:lang w:val="en-US" w:eastAsia="zh-CN"/>
              </w:rPr>
              <w:t xml:space="preserve"> </w:t>
            </w:r>
            <w:r>
              <w:rPr>
                <w:rFonts w:hint="default" w:ascii="Times New Roman" w:hAnsi="Times New Roman" w:cs="Times New Roman"/>
                <w:b/>
                <w:bCs/>
                <w:color w:val="auto"/>
                <w:sz w:val="20"/>
                <w:szCs w:val="20"/>
                <w:shd w:val="clear" w:color="auto" w:fill="auto"/>
              </w:rPr>
              <w:t xml:space="preserve"> </w:t>
            </w:r>
            <w:r>
              <w:rPr>
                <w:rFonts w:hint="default" w:ascii="Times New Roman" w:hAnsi="Times New Roman" w:cs="Times New Roman"/>
                <w:color w:val="auto"/>
                <w:sz w:val="20"/>
                <w:szCs w:val="20"/>
                <w:shd w:val="clear" w:color="auto" w:fill="auto"/>
              </w:rPr>
              <w:t>在饮用水水源二级保护区内，除准保护区禁止的行为以外，还应当禁止下列行为：</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（九）使用不符合国家规定防污条件的运载工具运输油类、粪便及其他有毒有害物品；</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3"/>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《河南省南水北调饮用水水源保护条例》　第六十六条 </w:t>
            </w:r>
            <w:r>
              <w:rPr>
                <w:rFonts w:hint="default" w:ascii="Times New Roman" w:hAnsi="Times New Roman" w:cs="Times New Roman"/>
                <w:b w:val="0"/>
                <w:bCs w:val="0"/>
                <w:color w:val="auto"/>
                <w:sz w:val="20"/>
                <w:szCs w:val="20"/>
                <w:shd w:val="clear" w:color="auto" w:fill="auto"/>
              </w:rPr>
              <w:t>违反本条例规定，使用不符合国家规定防污条件的运载工具运输油类、粪便及其他有毒有害物品的，处五千元以上二万元以下的罚款。</w:t>
            </w:r>
          </w:p>
        </w:tc>
      </w:tr>
      <w:tr>
        <w:trPr>
          <w:trHeight w:val="386"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43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eastAsia="zh-CN"/>
              </w:rPr>
              <w:t>运输污染物量</w:t>
            </w:r>
          </w:p>
        </w:tc>
        <w:tc>
          <w:tcPr>
            <w:tcW w:w="543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2吨以下</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43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2吨以上5吨以下</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2</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43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5吨以上10吨以下</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43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10吨以上20吨以下</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43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20吨以上</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5</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污染物种类</w:t>
            </w:r>
          </w:p>
        </w:tc>
        <w:tc>
          <w:tcPr>
            <w:tcW w:w="543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油类</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粪便</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有毒有害物品</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5</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企业规模</w:t>
            </w:r>
          </w:p>
        </w:tc>
        <w:tc>
          <w:tcPr>
            <w:tcW w:w="543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微型企业</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小型企业</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中型企业</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大型企业</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43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eastAsia" w:ascii="Times New Roman" w:hAnsi="Times New Roman" w:cs="Times New Roman"/>
                <w:color w:val="auto"/>
                <w:sz w:val="20"/>
                <w:szCs w:val="20"/>
                <w:shd w:val="clear" w:color="auto" w:fill="auto"/>
                <w:lang w:val="en-US" w:eastAsia="zh-CN"/>
              </w:rPr>
              <w:t>登记管理</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432" w:type="dxa"/>
            <w:gridSpan w:val="2"/>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val="en-US"/>
              </w:rPr>
            </w:pPr>
          </w:p>
        </w:tc>
        <w:tc>
          <w:tcPr>
            <w:tcW w:w="5432" w:type="dxa"/>
            <w:gridSpan w:val="2"/>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val="en-US"/>
              </w:rPr>
            </w:pPr>
          </w:p>
        </w:tc>
        <w:tc>
          <w:tcPr>
            <w:tcW w:w="5432" w:type="dxa"/>
            <w:gridSpan w:val="2"/>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val="en-US"/>
              </w:rPr>
            </w:pPr>
          </w:p>
        </w:tc>
        <w:tc>
          <w:tcPr>
            <w:tcW w:w="5432" w:type="dxa"/>
            <w:gridSpan w:val="2"/>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val="en-US"/>
              </w:rPr>
            </w:pPr>
          </w:p>
        </w:tc>
        <w:tc>
          <w:tcPr>
            <w:tcW w:w="5432" w:type="dxa"/>
            <w:gridSpan w:val="2"/>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69"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发生频次</w:t>
            </w:r>
          </w:p>
        </w:tc>
        <w:tc>
          <w:tcPr>
            <w:tcW w:w="543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1</w:t>
            </w:r>
            <w:r>
              <w:rPr>
                <w:rFonts w:hint="default" w:ascii="Times New Roman" w:hAnsi="Times New Roman" w:cs="Times New Roman"/>
                <w:color w:val="auto"/>
                <w:sz w:val="20"/>
                <w:szCs w:val="20"/>
                <w:shd w:val="clear" w:color="auto" w:fill="auto"/>
                <w:lang w:val="en-US"/>
              </w:rPr>
              <w:t>次</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r>
              <w:rPr>
                <w:rFonts w:hint="default" w:ascii="Times New Roman" w:hAnsi="Times New Roman" w:cs="Times New Roman"/>
                <w:color w:val="auto"/>
                <w:sz w:val="20"/>
                <w:szCs w:val="20"/>
                <w:shd w:val="clear" w:color="auto" w:fill="auto"/>
                <w:lang w:val="en-US"/>
              </w:rPr>
              <w:t>次</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r>
              <w:rPr>
                <w:rFonts w:hint="default" w:ascii="Times New Roman" w:hAnsi="Times New Roman" w:cs="Times New Roman"/>
                <w:color w:val="auto"/>
                <w:sz w:val="20"/>
                <w:szCs w:val="20"/>
                <w:shd w:val="clear" w:color="auto" w:fill="auto"/>
                <w:lang w:val="en-US"/>
              </w:rPr>
              <w:t>次</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4</w:t>
            </w:r>
            <w:r>
              <w:rPr>
                <w:rFonts w:hint="default" w:ascii="Times New Roman" w:hAnsi="Times New Roman" w:cs="Times New Roman"/>
                <w:color w:val="auto"/>
                <w:sz w:val="20"/>
                <w:szCs w:val="20"/>
                <w:shd w:val="clear" w:color="auto" w:fill="auto"/>
                <w:lang w:val="en-US"/>
              </w:rPr>
              <w:t>次</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5</w:t>
            </w:r>
            <w:r>
              <w:rPr>
                <w:rFonts w:hint="default" w:ascii="Times New Roman" w:hAnsi="Times New Roman" w:cs="Times New Roman"/>
                <w:color w:val="auto"/>
                <w:sz w:val="20"/>
                <w:szCs w:val="20"/>
                <w:shd w:val="clear" w:color="auto" w:fill="auto"/>
                <w:lang w:val="en-US"/>
              </w:rPr>
              <w:t>次以上</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Merge w:val="restart"/>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受处罚次数</w:t>
            </w:r>
          </w:p>
        </w:tc>
        <w:tc>
          <w:tcPr>
            <w:tcW w:w="5432" w:type="dxa"/>
            <w:gridSpan w:val="2"/>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eastAsia="宋体" w:cs="Times New Roman"/>
                <w:color w:val="auto"/>
                <w:kern w:val="2"/>
                <w:sz w:val="21"/>
                <w:szCs w:val="21"/>
                <w:shd w:val="clear" w:color="auto" w:fill="auto"/>
                <w:lang w:val="en-US" w:eastAsia="zh-CN"/>
              </w:rPr>
              <w:t>两年内未受到过同类处罚</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32" w:type="dxa"/>
            <w:gridSpan w:val="2"/>
            <w:vAlign w:val="center"/>
          </w:tcPr>
          <w:p>
            <w:pPr>
              <w:pStyle w:val="19"/>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lang w:eastAsia="zh-CN"/>
              </w:rPr>
            </w:pPr>
            <w:r>
              <w:rPr>
                <w:rFonts w:hint="default" w:ascii="Times New Roman" w:hAnsi="Times New Roman" w:eastAsia="宋体" w:cs="Times New Roman"/>
                <w:color w:val="auto"/>
                <w:kern w:val="0"/>
                <w:sz w:val="21"/>
                <w:szCs w:val="21"/>
                <w:shd w:val="clear" w:color="auto" w:fill="auto"/>
                <w:lang w:val="en-US" w:eastAsia="zh-CN"/>
              </w:rPr>
              <w:t>两年内受到同类处罚1次</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36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32" w:type="dxa"/>
            <w:gridSpan w:val="2"/>
            <w:vAlign w:val="center"/>
          </w:tcPr>
          <w:p>
            <w:pPr>
              <w:pStyle w:val="19"/>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leftChars="0" w:right="0"/>
              <w:jc w:val="center"/>
              <w:rPr>
                <w:rFonts w:hint="default" w:ascii="Times New Roman" w:hAnsi="Times New Roman" w:cs="Times New Roman"/>
                <w:color w:val="auto"/>
                <w:sz w:val="21"/>
                <w:szCs w:val="21"/>
                <w:shd w:val="clear" w:color="auto" w:fill="auto"/>
                <w:lang w:eastAsia="zh-CN"/>
              </w:rPr>
            </w:pPr>
            <w:r>
              <w:rPr>
                <w:rFonts w:hint="default" w:ascii="Times New Roman" w:hAnsi="Times New Roman" w:eastAsia="宋体" w:cs="Times New Roman"/>
                <w:color w:val="auto"/>
                <w:kern w:val="0"/>
                <w:sz w:val="21"/>
                <w:szCs w:val="21"/>
                <w:shd w:val="clear" w:color="auto" w:fill="auto"/>
                <w:lang w:val="en-US" w:eastAsia="zh-CN"/>
              </w:rPr>
              <w:t>两年内受到同类处罚2次以上</w:t>
            </w:r>
          </w:p>
        </w:tc>
        <w:tc>
          <w:tcPr>
            <w:tcW w:w="226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432" w:type="dxa"/>
            <w:gridSpan w:val="2"/>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gridSpan w:val="2"/>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gridSpan w:val="2"/>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32" w:type="dxa"/>
            <w:gridSpan w:val="2"/>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r>
    </w:tbl>
    <w:p>
      <w:pPr>
        <w:shd w:val="clear" w:color="auto" w:fill="auto"/>
        <w:spacing w:line="590" w:lineRule="exact"/>
        <w:ind w:firstLine="640" w:firstLineChars="200"/>
        <w:outlineLvl w:val="9"/>
        <w:rPr>
          <w:rFonts w:ascii="Times New Roman" w:hAnsi="Times New Roman" w:eastAsia="方正楷体_GBK" w:cs="Times New Roman"/>
          <w:bCs/>
          <w:color w:val="auto"/>
          <w:sz w:val="32"/>
          <w:szCs w:val="32"/>
          <w:shd w:val="clear" w:color="auto" w:fill="auto"/>
        </w:rPr>
      </w:pPr>
    </w:p>
    <w:p>
      <w:pPr>
        <w:shd w:val="clear" w:color="auto" w:fill="auto"/>
        <w:spacing w:line="590" w:lineRule="exact"/>
        <w:ind w:firstLine="640" w:firstLineChars="200"/>
        <w:outlineLvl w:val="9"/>
        <w:rPr>
          <w:rFonts w:ascii="Times New Roman" w:hAnsi="Times New Roman" w:eastAsia="方正楷体_GBK" w:cs="Times New Roman"/>
          <w:bCs/>
          <w:color w:val="auto"/>
          <w:sz w:val="32"/>
          <w:szCs w:val="32"/>
          <w:shd w:val="clear" w:color="auto" w:fill="auto"/>
        </w:rPr>
      </w:pPr>
    </w:p>
    <w:p>
      <w:pPr>
        <w:shd w:val="clear" w:color="auto" w:fill="auto"/>
        <w:spacing w:line="200" w:lineRule="exact"/>
        <w:ind w:firstLine="640" w:firstLineChars="200"/>
        <w:outlineLvl w:val="9"/>
        <w:rPr>
          <w:rFonts w:ascii="Times New Roman" w:hAnsi="Times New Roman" w:eastAsia="方正楷体_GBK" w:cs="Times New Roman"/>
          <w:bCs/>
          <w:color w:val="auto"/>
          <w:sz w:val="32"/>
          <w:szCs w:val="32"/>
          <w:shd w:val="clear" w:color="auto" w:fill="auto"/>
        </w:rPr>
      </w:pPr>
      <w:r>
        <w:rPr>
          <w:rFonts w:ascii="Times New Roman" w:hAnsi="Times New Roman" w:eastAsia="方正楷体_GBK" w:cs="Times New Roman"/>
          <w:bCs/>
          <w:color w:val="auto"/>
          <w:sz w:val="32"/>
          <w:szCs w:val="32"/>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182"/>
        <w:gridCol w:w="2510"/>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w:t>
            </w:r>
            <w:r>
              <w:rPr>
                <w:rFonts w:hint="default" w:ascii="Times New Roman" w:hAnsi="Times New Roman" w:cs="Times New Roman"/>
                <w:b/>
                <w:bCs/>
                <w:color w:val="auto"/>
                <w:sz w:val="20"/>
                <w:szCs w:val="20"/>
                <w:shd w:val="clear" w:color="auto" w:fill="auto"/>
                <w:lang w:val="en-US"/>
              </w:rPr>
              <w:t>八</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南水北调</w:t>
            </w:r>
            <w:r>
              <w:rPr>
                <w:rFonts w:hint="default" w:ascii="Times New Roman" w:hAnsi="Times New Roman" w:cs="Times New Roman"/>
                <w:b/>
                <w:bCs/>
                <w:color w:val="auto"/>
                <w:sz w:val="20"/>
                <w:szCs w:val="20"/>
                <w:shd w:val="clear" w:color="auto" w:fill="auto"/>
                <w:lang w:eastAsia="zh-CN"/>
              </w:rPr>
              <w:t>饮用水水源</w:t>
            </w:r>
            <w:r>
              <w:rPr>
                <w:rFonts w:hint="default" w:ascii="Times New Roman" w:hAnsi="Times New Roman" w:cs="Times New Roman"/>
                <w:b/>
                <w:bCs/>
                <w:color w:val="auto"/>
                <w:sz w:val="20"/>
                <w:szCs w:val="20"/>
                <w:shd w:val="clear" w:color="auto" w:fill="auto"/>
              </w:rPr>
              <w:t>污染防治类</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eastAsia="宋体" w:cs="Times New Roman"/>
                <w:color w:val="auto"/>
                <w:sz w:val="20"/>
                <w:szCs w:val="20"/>
                <w:shd w:val="clear" w:color="auto" w:fill="auto"/>
                <w:lang w:eastAsia="zh-CN"/>
              </w:rPr>
            </w:pPr>
            <w:bookmarkStart w:id="396" w:name="_Toc14987"/>
            <w:r>
              <w:rPr>
                <w:rFonts w:hint="default" w:ascii="Times New Roman" w:hAnsi="Times New Roman" w:cs="Times New Roman"/>
                <w:color w:val="auto"/>
                <w:sz w:val="20"/>
                <w:szCs w:val="20"/>
                <w:shd w:val="clear" w:color="auto" w:fill="auto"/>
                <w:lang w:eastAsia="zh-CN"/>
              </w:rPr>
              <w:t>6</w:t>
            </w:r>
            <w:bookmarkEnd w:id="396"/>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firstLine="420"/>
              <w:jc w:val="center"/>
              <w:outlineLvl w:val="0"/>
              <w:rPr>
                <w:rFonts w:hint="default" w:ascii="Times New Roman" w:hAnsi="Times New Roman" w:cs="Times New Roman"/>
                <w:color w:val="auto"/>
                <w:sz w:val="20"/>
                <w:szCs w:val="20"/>
                <w:shd w:val="clear" w:color="auto" w:fill="auto"/>
              </w:rPr>
            </w:pPr>
            <w:bookmarkStart w:id="397" w:name="_Toc732"/>
            <w:r>
              <w:rPr>
                <w:rFonts w:hint="default" w:ascii="Times New Roman" w:hAnsi="Times New Roman" w:cs="Times New Roman"/>
                <w:color w:val="auto"/>
                <w:sz w:val="20"/>
                <w:szCs w:val="20"/>
                <w:shd w:val="clear" w:color="auto" w:fill="auto"/>
              </w:rPr>
              <w:t>在饮用水水源一级保护区内停靠与保护水源无关的船舶的</w:t>
            </w:r>
            <w:bookmarkEnd w:id="397"/>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《河南省南水北调饮用水水源保护条例》第</w:t>
            </w:r>
            <w:r>
              <w:rPr>
                <w:rFonts w:hint="default" w:ascii="Times New Roman" w:hAnsi="Times New Roman" w:cs="Times New Roman"/>
                <w:b/>
                <w:bCs/>
                <w:color w:val="auto"/>
                <w:sz w:val="20"/>
                <w:szCs w:val="20"/>
                <w:shd w:val="clear" w:color="auto" w:fill="auto"/>
                <w:lang w:eastAsia="zh-CN"/>
              </w:rPr>
              <w:t>十九</w:t>
            </w:r>
            <w:r>
              <w:rPr>
                <w:rFonts w:hint="default" w:ascii="Times New Roman" w:hAnsi="Times New Roman" w:cs="Times New Roman"/>
                <w:b/>
                <w:bCs/>
                <w:color w:val="auto"/>
                <w:sz w:val="20"/>
                <w:szCs w:val="20"/>
                <w:shd w:val="clear" w:color="auto" w:fill="auto"/>
              </w:rPr>
              <w:t>条第</w:t>
            </w:r>
            <w:r>
              <w:rPr>
                <w:rFonts w:hint="default" w:ascii="Times New Roman" w:hAnsi="Times New Roman" w:cs="Times New Roman"/>
                <w:b/>
                <w:bCs/>
                <w:color w:val="auto"/>
                <w:sz w:val="20"/>
                <w:szCs w:val="20"/>
                <w:shd w:val="clear" w:color="auto" w:fill="auto"/>
                <w:lang w:eastAsia="zh-CN"/>
              </w:rPr>
              <w:t>二项</w:t>
            </w:r>
            <w:r>
              <w:rPr>
                <w:rFonts w:hint="default" w:ascii="Times New Roman" w:hAnsi="Times New Roman" w:cs="Times New Roman"/>
                <w:b/>
                <w:bCs/>
                <w:color w:val="auto"/>
                <w:sz w:val="20"/>
                <w:szCs w:val="20"/>
                <w:shd w:val="clear" w:color="auto" w:fill="auto"/>
                <w:lang w:val="en-US" w:eastAsia="zh-CN"/>
              </w:rPr>
              <w:t xml:space="preserve"> </w:t>
            </w:r>
            <w:r>
              <w:rPr>
                <w:rFonts w:hint="default" w:ascii="Times New Roman" w:hAnsi="Times New Roman" w:cs="Times New Roman"/>
                <w:color w:val="auto"/>
                <w:sz w:val="20"/>
                <w:szCs w:val="20"/>
                <w:shd w:val="clear" w:color="auto" w:fill="auto"/>
              </w:rPr>
              <w:t xml:space="preserve"> 在饮用水水源一级保护区内，除二级保护区禁止的行为以外，还应当禁止下列行为：</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（二）停靠与保护水源无关的船舶；</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b w:val="0"/>
                <w:bCs w:val="0"/>
                <w:color w:val="auto"/>
                <w:sz w:val="20"/>
                <w:szCs w:val="20"/>
                <w:shd w:val="clear" w:color="auto" w:fill="auto"/>
              </w:rPr>
            </w:pPr>
            <w:r>
              <w:rPr>
                <w:rFonts w:hint="default" w:ascii="Times New Roman" w:hAnsi="Times New Roman" w:cs="Times New Roman"/>
                <w:b/>
                <w:bCs/>
                <w:color w:val="auto"/>
                <w:sz w:val="20"/>
                <w:szCs w:val="20"/>
                <w:shd w:val="clear" w:color="auto" w:fill="auto"/>
              </w:rPr>
              <w:t>《河南省南水北调饮用水水源保护条例》第六十</w:t>
            </w:r>
            <w:r>
              <w:rPr>
                <w:rFonts w:hint="default" w:ascii="Times New Roman" w:hAnsi="Times New Roman" w:cs="Times New Roman"/>
                <w:b/>
                <w:bCs/>
                <w:color w:val="auto"/>
                <w:sz w:val="20"/>
                <w:szCs w:val="20"/>
                <w:shd w:val="clear" w:color="auto" w:fill="auto"/>
                <w:lang w:eastAsia="zh-CN"/>
              </w:rPr>
              <w:t>七</w:t>
            </w:r>
            <w:r>
              <w:rPr>
                <w:rFonts w:hint="default" w:ascii="Times New Roman" w:hAnsi="Times New Roman" w:cs="Times New Roman"/>
                <w:b/>
                <w:bCs/>
                <w:color w:val="auto"/>
                <w:sz w:val="20"/>
                <w:szCs w:val="20"/>
                <w:shd w:val="clear" w:color="auto" w:fill="auto"/>
              </w:rPr>
              <w:t>条</w:t>
            </w:r>
            <w:r>
              <w:rPr>
                <w:rFonts w:hint="default" w:ascii="Times New Roman" w:hAnsi="Times New Roman" w:cs="Times New Roman"/>
                <w:b/>
                <w:bCs/>
                <w:color w:val="auto"/>
                <w:sz w:val="20"/>
                <w:szCs w:val="20"/>
                <w:shd w:val="clear" w:color="auto" w:fill="auto"/>
                <w:lang w:eastAsia="zh-CN"/>
              </w:rPr>
              <w:t>第一款</w:t>
            </w:r>
            <w:r>
              <w:rPr>
                <w:rFonts w:hint="default" w:ascii="Times New Roman" w:hAnsi="Times New Roman" w:cs="Times New Roman"/>
                <w:b/>
                <w:bCs/>
                <w:color w:val="auto"/>
                <w:sz w:val="20"/>
                <w:szCs w:val="20"/>
                <w:shd w:val="clear" w:color="auto" w:fill="auto"/>
                <w:lang w:val="en-US" w:eastAsia="zh-CN"/>
              </w:rPr>
              <w:t xml:space="preserve"> </w:t>
            </w:r>
            <w:r>
              <w:rPr>
                <w:rFonts w:hint="default" w:ascii="Times New Roman" w:hAnsi="Times New Roman" w:cs="Times New Roman"/>
                <w:b w:val="0"/>
                <w:bCs w:val="0"/>
                <w:color w:val="auto"/>
                <w:sz w:val="20"/>
                <w:szCs w:val="20"/>
                <w:shd w:val="clear" w:color="auto" w:fill="auto"/>
              </w:rPr>
              <w:t xml:space="preserve"> 违反本条例第十九条第一款第二项规定的，责令驶离；拒不驶离的，处五千元以上二万元以下的罚款。</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eastAsia="zh-CN"/>
              </w:rPr>
              <w:t>停靠与保护水源无关的船舶</w:t>
            </w:r>
            <w:r>
              <w:rPr>
                <w:rFonts w:hint="default" w:ascii="Times New Roman" w:hAnsi="Times New Roman" w:cs="Times New Roman"/>
                <w:color w:val="auto"/>
                <w:sz w:val="20"/>
                <w:szCs w:val="20"/>
                <w:shd w:val="clear" w:color="auto" w:fill="auto"/>
                <w:lang w:val="en-US" w:eastAsia="zh-CN"/>
              </w:rPr>
              <w:t>1艘</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停靠与保护水源无关的船舶</w:t>
            </w:r>
            <w:r>
              <w:rPr>
                <w:rFonts w:hint="default" w:ascii="Times New Roman" w:hAnsi="Times New Roman" w:cs="Times New Roman"/>
                <w:color w:val="auto"/>
                <w:sz w:val="20"/>
                <w:szCs w:val="20"/>
                <w:shd w:val="clear" w:color="auto" w:fill="auto"/>
                <w:lang w:val="en-US" w:eastAsia="zh-CN"/>
              </w:rPr>
              <w:t>2艘</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停靠与保护水源无关的船舶</w:t>
            </w:r>
            <w:r>
              <w:rPr>
                <w:rFonts w:hint="default" w:ascii="Times New Roman" w:hAnsi="Times New Roman" w:cs="Times New Roman"/>
                <w:color w:val="auto"/>
                <w:sz w:val="20"/>
                <w:szCs w:val="20"/>
                <w:shd w:val="clear" w:color="auto" w:fill="auto"/>
                <w:lang w:val="en-US" w:eastAsia="zh-CN"/>
              </w:rPr>
              <w:t>3艘以上</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发生频次</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1</w:t>
            </w:r>
            <w:r>
              <w:rPr>
                <w:rFonts w:hint="default" w:ascii="Times New Roman" w:hAnsi="Times New Roman" w:cs="Times New Roman"/>
                <w:color w:val="auto"/>
                <w:sz w:val="20"/>
                <w:szCs w:val="20"/>
                <w:shd w:val="clear" w:color="auto" w:fill="auto"/>
                <w:lang w:val="en-US"/>
              </w:rPr>
              <w:t>次</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2</w:t>
            </w:r>
            <w:r>
              <w:rPr>
                <w:rFonts w:hint="default" w:ascii="Times New Roman" w:hAnsi="Times New Roman" w:cs="Times New Roman"/>
                <w:color w:val="auto"/>
                <w:sz w:val="20"/>
                <w:szCs w:val="20"/>
                <w:shd w:val="clear" w:color="auto" w:fill="auto"/>
                <w:lang w:val="en-US"/>
              </w:rPr>
              <w:t>次</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3</w:t>
            </w:r>
            <w:r>
              <w:rPr>
                <w:rFonts w:hint="default" w:ascii="Times New Roman" w:hAnsi="Times New Roman" w:cs="Times New Roman"/>
                <w:color w:val="auto"/>
                <w:sz w:val="20"/>
                <w:szCs w:val="20"/>
                <w:shd w:val="clear" w:color="auto" w:fill="auto"/>
                <w:lang w:val="en-US"/>
              </w:rPr>
              <w:t>次</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4</w:t>
            </w:r>
            <w:r>
              <w:rPr>
                <w:rFonts w:hint="default" w:ascii="Times New Roman" w:hAnsi="Times New Roman" w:cs="Times New Roman"/>
                <w:color w:val="auto"/>
                <w:sz w:val="20"/>
                <w:szCs w:val="20"/>
                <w:shd w:val="clear" w:color="auto" w:fill="auto"/>
                <w:lang w:val="en-US"/>
              </w:rPr>
              <w:t>次</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5</w:t>
            </w:r>
            <w:r>
              <w:rPr>
                <w:rFonts w:hint="default" w:ascii="Times New Roman" w:hAnsi="Times New Roman" w:cs="Times New Roman"/>
                <w:color w:val="auto"/>
                <w:sz w:val="20"/>
                <w:szCs w:val="20"/>
                <w:shd w:val="clear" w:color="auto" w:fill="auto"/>
                <w:lang w:val="en-US"/>
              </w:rPr>
              <w:t>次以上</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r>
    </w:tbl>
    <w:p>
      <w:pPr>
        <w:shd w:val="clear" w:color="auto" w:fill="auto"/>
        <w:spacing w:line="200" w:lineRule="exact"/>
        <w:ind w:firstLine="640" w:firstLineChars="200"/>
        <w:outlineLvl w:val="9"/>
        <w:rPr>
          <w:rFonts w:ascii="Times New Roman" w:hAnsi="Times New Roman" w:eastAsia="方正楷体_GBK" w:cs="Times New Roman"/>
          <w:bCs/>
          <w:color w:val="auto"/>
          <w:sz w:val="32"/>
          <w:szCs w:val="32"/>
          <w:shd w:val="clear" w:color="auto" w:fill="auto"/>
        </w:rPr>
      </w:pPr>
      <w:r>
        <w:rPr>
          <w:rFonts w:ascii="Times New Roman" w:hAnsi="Times New Roman" w:eastAsia="方正楷体_GBK" w:cs="Times New Roman"/>
          <w:bCs/>
          <w:color w:val="auto"/>
          <w:sz w:val="32"/>
          <w:szCs w:val="32"/>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182"/>
        <w:gridCol w:w="2510"/>
      </w:tblGrid>
      <w:tr>
        <w:trPr>
          <w:trHeight w:val="369"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w:t>
            </w:r>
            <w:r>
              <w:rPr>
                <w:rFonts w:hint="default" w:ascii="Times New Roman" w:hAnsi="Times New Roman" w:cs="Times New Roman"/>
                <w:b/>
                <w:bCs/>
                <w:color w:val="auto"/>
                <w:sz w:val="20"/>
                <w:szCs w:val="20"/>
                <w:shd w:val="clear" w:color="auto" w:fill="auto"/>
                <w:lang w:val="en-US"/>
              </w:rPr>
              <w:t>八</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南水北调</w:t>
            </w:r>
            <w:r>
              <w:rPr>
                <w:rFonts w:hint="default" w:ascii="Times New Roman" w:hAnsi="Times New Roman" w:cs="Times New Roman"/>
                <w:b/>
                <w:bCs/>
                <w:color w:val="auto"/>
                <w:sz w:val="20"/>
                <w:szCs w:val="20"/>
                <w:shd w:val="clear" w:color="auto" w:fill="auto"/>
                <w:lang w:eastAsia="zh-CN"/>
              </w:rPr>
              <w:t>饮用水水源</w:t>
            </w:r>
            <w:r>
              <w:rPr>
                <w:rFonts w:hint="default" w:ascii="Times New Roman" w:hAnsi="Times New Roman" w:cs="Times New Roman"/>
                <w:b/>
                <w:bCs/>
                <w:color w:val="auto"/>
                <w:sz w:val="20"/>
                <w:szCs w:val="20"/>
                <w:shd w:val="clear" w:color="auto" w:fill="auto"/>
              </w:rPr>
              <w:t>污染防治类</w:t>
            </w:r>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2" w:type="dxa"/>
            <w:gridSpan w:val="2"/>
            <w:vAlign w:val="center"/>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eastAsia="宋体" w:cs="Times New Roman"/>
                <w:color w:val="auto"/>
                <w:sz w:val="20"/>
                <w:szCs w:val="20"/>
                <w:shd w:val="clear" w:color="auto" w:fill="auto"/>
                <w:lang w:eastAsia="zh-CN"/>
              </w:rPr>
            </w:pPr>
            <w:bookmarkStart w:id="398" w:name="_Toc29675"/>
            <w:r>
              <w:rPr>
                <w:rFonts w:hint="default" w:ascii="Times New Roman" w:hAnsi="Times New Roman" w:cs="Times New Roman"/>
                <w:color w:val="auto"/>
                <w:sz w:val="20"/>
                <w:szCs w:val="20"/>
                <w:shd w:val="clear" w:color="auto" w:fill="auto"/>
                <w:lang w:eastAsia="zh-CN"/>
              </w:rPr>
              <w:t>7</w:t>
            </w:r>
            <w:bookmarkEnd w:id="398"/>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2" w:type="dxa"/>
            <w:gridSpan w:val="2"/>
            <w:vAlign w:val="center"/>
          </w:tcPr>
          <w:p>
            <w:pPr>
              <w:shd w:val="clear" w:color="auto" w:fill="auto"/>
              <w:snapToGrid w:val="0"/>
              <w:spacing w:before="0" w:beforeAutospacing="0" w:after="0" w:afterAutospacing="0" w:line="320" w:lineRule="exact"/>
              <w:ind w:left="0" w:right="0" w:firstLine="420"/>
              <w:jc w:val="center"/>
              <w:outlineLvl w:val="0"/>
              <w:rPr>
                <w:rFonts w:hint="default" w:ascii="Times New Roman" w:hAnsi="Times New Roman" w:cs="Times New Roman"/>
                <w:color w:val="auto"/>
                <w:sz w:val="20"/>
                <w:szCs w:val="20"/>
                <w:shd w:val="clear" w:color="auto" w:fill="auto"/>
              </w:rPr>
            </w:pPr>
            <w:bookmarkStart w:id="399" w:name="_Toc6439"/>
            <w:r>
              <w:rPr>
                <w:rFonts w:hint="default" w:ascii="Times New Roman" w:hAnsi="Times New Roman" w:cs="Times New Roman"/>
                <w:color w:val="auto"/>
                <w:sz w:val="20"/>
                <w:szCs w:val="20"/>
                <w:shd w:val="clear" w:color="auto" w:fill="auto"/>
              </w:rPr>
              <w:t>在饮用水水源一级保护区内使用化肥的</w:t>
            </w:r>
            <w:bookmarkEnd w:id="399"/>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《河南省南水北调饮用水水源保护条例》第</w:t>
            </w:r>
            <w:r>
              <w:rPr>
                <w:rFonts w:hint="default" w:ascii="Times New Roman" w:hAnsi="Times New Roman" w:cs="Times New Roman"/>
                <w:b/>
                <w:bCs/>
                <w:color w:val="auto"/>
                <w:sz w:val="20"/>
                <w:szCs w:val="20"/>
                <w:shd w:val="clear" w:color="auto" w:fill="auto"/>
                <w:lang w:eastAsia="zh-CN"/>
              </w:rPr>
              <w:t>十九</w:t>
            </w:r>
            <w:r>
              <w:rPr>
                <w:rFonts w:hint="default" w:ascii="Times New Roman" w:hAnsi="Times New Roman" w:cs="Times New Roman"/>
                <w:b/>
                <w:bCs/>
                <w:color w:val="auto"/>
                <w:sz w:val="20"/>
                <w:szCs w:val="20"/>
                <w:shd w:val="clear" w:color="auto" w:fill="auto"/>
              </w:rPr>
              <w:t>条第</w:t>
            </w:r>
            <w:r>
              <w:rPr>
                <w:rFonts w:hint="default" w:ascii="Times New Roman" w:hAnsi="Times New Roman" w:cs="Times New Roman"/>
                <w:b/>
                <w:bCs/>
                <w:color w:val="auto"/>
                <w:sz w:val="20"/>
                <w:szCs w:val="20"/>
                <w:shd w:val="clear" w:color="auto" w:fill="auto"/>
                <w:lang w:eastAsia="zh-CN"/>
              </w:rPr>
              <w:t>三项</w:t>
            </w:r>
            <w:r>
              <w:rPr>
                <w:rFonts w:hint="default" w:ascii="Times New Roman" w:hAnsi="Times New Roman" w:cs="Times New Roman"/>
                <w:b/>
                <w:bCs/>
                <w:color w:val="auto"/>
                <w:sz w:val="20"/>
                <w:szCs w:val="20"/>
                <w:shd w:val="clear" w:color="auto" w:fill="auto"/>
                <w:lang w:val="en-US" w:eastAsia="zh-CN"/>
              </w:rPr>
              <w:t xml:space="preserve"> </w:t>
            </w:r>
            <w:r>
              <w:rPr>
                <w:rFonts w:hint="default" w:ascii="Times New Roman" w:hAnsi="Times New Roman" w:cs="Times New Roman"/>
                <w:color w:val="auto"/>
                <w:sz w:val="20"/>
                <w:szCs w:val="20"/>
                <w:shd w:val="clear" w:color="auto" w:fill="auto"/>
              </w:rPr>
              <w:t xml:space="preserve"> 在饮用水水源一级保护区内，除二级保护区禁止的行为以外，还应当禁止下列行为：</w:t>
            </w:r>
          </w:p>
          <w:p>
            <w:pPr>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（三）使用化肥；</w:t>
            </w:r>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2" w:type="dxa"/>
            <w:gridSpan w:val="2"/>
            <w:vAlign w:val="center"/>
          </w:tcPr>
          <w:p>
            <w:pPr>
              <w:shd w:val="clear" w:color="auto" w:fill="auto"/>
              <w:snapToGrid w:val="0"/>
              <w:spacing w:before="0" w:beforeAutospacing="0" w:after="0" w:afterAutospacing="0" w:line="320" w:lineRule="exact"/>
              <w:ind w:left="0" w:right="0" w:firstLine="420"/>
              <w:rPr>
                <w:rFonts w:hint="default" w:ascii="Times New Roman" w:hAnsi="Times New Roman" w:cs="Times New Roman"/>
                <w:b w:val="0"/>
                <w:bCs w:val="0"/>
                <w:color w:val="auto"/>
                <w:sz w:val="20"/>
                <w:szCs w:val="20"/>
                <w:shd w:val="clear" w:color="auto" w:fill="auto"/>
              </w:rPr>
            </w:pPr>
            <w:r>
              <w:rPr>
                <w:rFonts w:hint="default" w:ascii="Times New Roman" w:hAnsi="Times New Roman" w:cs="Times New Roman"/>
                <w:b/>
                <w:bCs/>
                <w:color w:val="auto"/>
                <w:sz w:val="20"/>
                <w:szCs w:val="20"/>
                <w:shd w:val="clear" w:color="auto" w:fill="auto"/>
              </w:rPr>
              <w:t>《河南省南水北调饮用水水源保护条例》第六十</w:t>
            </w:r>
            <w:r>
              <w:rPr>
                <w:rFonts w:hint="default" w:ascii="Times New Roman" w:hAnsi="Times New Roman" w:cs="Times New Roman"/>
                <w:b/>
                <w:bCs/>
                <w:color w:val="auto"/>
                <w:sz w:val="20"/>
                <w:szCs w:val="20"/>
                <w:shd w:val="clear" w:color="auto" w:fill="auto"/>
                <w:lang w:eastAsia="zh-CN"/>
              </w:rPr>
              <w:t>七</w:t>
            </w:r>
            <w:r>
              <w:rPr>
                <w:rFonts w:hint="default" w:ascii="Times New Roman" w:hAnsi="Times New Roman" w:cs="Times New Roman"/>
                <w:b/>
                <w:bCs/>
                <w:color w:val="auto"/>
                <w:sz w:val="20"/>
                <w:szCs w:val="20"/>
                <w:shd w:val="clear" w:color="auto" w:fill="auto"/>
              </w:rPr>
              <w:t>条</w:t>
            </w:r>
            <w:r>
              <w:rPr>
                <w:rFonts w:hint="default" w:ascii="Times New Roman" w:hAnsi="Times New Roman" w:cs="Times New Roman"/>
                <w:b/>
                <w:bCs/>
                <w:color w:val="auto"/>
                <w:sz w:val="20"/>
                <w:szCs w:val="20"/>
                <w:shd w:val="clear" w:color="auto" w:fill="auto"/>
                <w:lang w:eastAsia="zh-CN"/>
              </w:rPr>
              <w:t>第二款</w:t>
            </w:r>
            <w:r>
              <w:rPr>
                <w:rFonts w:hint="default" w:ascii="Times New Roman" w:hAnsi="Times New Roman" w:cs="Times New Roman"/>
                <w:b/>
                <w:bCs/>
                <w:color w:val="auto"/>
                <w:sz w:val="20"/>
                <w:szCs w:val="20"/>
                <w:shd w:val="clear" w:color="auto" w:fill="auto"/>
                <w:lang w:val="en-US" w:eastAsia="zh-CN"/>
              </w:rPr>
              <w:t xml:space="preserve"> </w:t>
            </w:r>
            <w:r>
              <w:rPr>
                <w:rFonts w:hint="default" w:ascii="Times New Roman" w:hAnsi="Times New Roman" w:cs="Times New Roman"/>
                <w:b w:val="0"/>
                <w:bCs w:val="0"/>
                <w:color w:val="auto"/>
                <w:sz w:val="20"/>
                <w:szCs w:val="20"/>
                <w:shd w:val="clear" w:color="auto" w:fill="auto"/>
              </w:rPr>
              <w:t xml:space="preserve"> 违反本条例第十九条第一款第三项规定的，责令改正，对个人处二百元以上五百元以下的罚款，对单位处二万元以上五万元以下的罚款。</w:t>
            </w:r>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eastAsia="zh-CN"/>
              </w:rPr>
              <w:t>使用化肥</w:t>
            </w:r>
            <w:r>
              <w:rPr>
                <w:rFonts w:hint="default" w:ascii="Times New Roman" w:hAnsi="Times New Roman" w:cs="Times New Roman"/>
                <w:color w:val="auto"/>
                <w:sz w:val="20"/>
                <w:szCs w:val="20"/>
                <w:shd w:val="clear" w:color="auto" w:fill="auto"/>
                <w:lang w:val="en-US" w:eastAsia="zh-CN"/>
              </w:rPr>
              <w:t>50公斤</w:t>
            </w:r>
            <w:r>
              <w:rPr>
                <w:rFonts w:hint="default" w:ascii="Times New Roman" w:hAnsi="Times New Roman" w:cs="Times New Roman"/>
                <w:color w:val="auto"/>
                <w:sz w:val="20"/>
                <w:szCs w:val="20"/>
                <w:shd w:val="clear" w:color="auto" w:fill="auto"/>
                <w:lang w:val="en-US"/>
              </w:rPr>
              <w:t>以下</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使用化肥</w:t>
            </w:r>
            <w:r>
              <w:rPr>
                <w:rFonts w:hint="default" w:ascii="Times New Roman" w:hAnsi="Times New Roman" w:cs="Times New Roman"/>
                <w:color w:val="auto"/>
                <w:sz w:val="20"/>
                <w:szCs w:val="20"/>
                <w:shd w:val="clear" w:color="auto" w:fill="auto"/>
                <w:lang w:val="en-US" w:eastAsia="zh-CN"/>
              </w:rPr>
              <w:t>50公斤以上100</w:t>
            </w:r>
            <w:r>
              <w:rPr>
                <w:rFonts w:hint="default" w:ascii="Times New Roman" w:hAnsi="Times New Roman" w:cs="Times New Roman"/>
                <w:color w:val="auto"/>
                <w:sz w:val="20"/>
                <w:szCs w:val="20"/>
                <w:shd w:val="clear" w:color="auto" w:fill="auto"/>
                <w:lang w:val="en-US"/>
              </w:rPr>
              <w:t>以下</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eastAsia="zh-CN"/>
              </w:rPr>
              <w:t>使用化肥</w:t>
            </w:r>
            <w:r>
              <w:rPr>
                <w:rFonts w:hint="default" w:ascii="Times New Roman" w:hAnsi="Times New Roman" w:cs="Times New Roman"/>
                <w:color w:val="auto"/>
                <w:sz w:val="20"/>
                <w:szCs w:val="20"/>
                <w:shd w:val="clear" w:color="auto" w:fill="auto"/>
                <w:lang w:val="en-US" w:eastAsia="zh-CN"/>
              </w:rPr>
              <w:t>100公斤以上200公斤</w:t>
            </w:r>
            <w:r>
              <w:rPr>
                <w:rFonts w:hint="default" w:ascii="Times New Roman" w:hAnsi="Times New Roman" w:cs="Times New Roman"/>
                <w:color w:val="auto"/>
                <w:sz w:val="20"/>
                <w:szCs w:val="20"/>
                <w:shd w:val="clear" w:color="auto" w:fill="auto"/>
                <w:lang w:val="en-US"/>
              </w:rPr>
              <w:t>以下</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使用化肥</w:t>
            </w:r>
            <w:r>
              <w:rPr>
                <w:rFonts w:hint="default" w:ascii="Times New Roman" w:hAnsi="Times New Roman" w:cs="Times New Roman"/>
                <w:color w:val="auto"/>
                <w:sz w:val="20"/>
                <w:szCs w:val="20"/>
                <w:shd w:val="clear" w:color="auto" w:fill="auto"/>
                <w:lang w:val="en-US" w:eastAsia="zh-CN"/>
              </w:rPr>
              <w:t>200公斤以上300公斤</w:t>
            </w:r>
            <w:r>
              <w:rPr>
                <w:rFonts w:hint="default" w:ascii="Times New Roman" w:hAnsi="Times New Roman" w:cs="Times New Roman"/>
                <w:color w:val="auto"/>
                <w:sz w:val="20"/>
                <w:szCs w:val="20"/>
                <w:shd w:val="clear" w:color="auto" w:fill="auto"/>
                <w:lang w:val="en-US"/>
              </w:rPr>
              <w:t>以下</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使用化肥</w:t>
            </w:r>
            <w:r>
              <w:rPr>
                <w:rFonts w:hint="default" w:ascii="Times New Roman" w:hAnsi="Times New Roman" w:cs="Times New Roman"/>
                <w:color w:val="auto"/>
                <w:sz w:val="20"/>
                <w:szCs w:val="20"/>
                <w:shd w:val="clear" w:color="auto" w:fill="auto"/>
                <w:lang w:val="en-US" w:eastAsia="zh-CN"/>
              </w:rPr>
              <w:t>300公斤以上</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5</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eastAsia="zh-CN"/>
              </w:rPr>
              <w:t>企业规模</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i w:val="0"/>
                <w:iCs w:val="0"/>
                <w:caps w:val="0"/>
                <w:color w:val="auto"/>
                <w:spacing w:val="0"/>
                <w:sz w:val="19"/>
                <w:szCs w:val="19"/>
                <w:shd w:val="clear" w:color="auto" w:fill="auto"/>
              </w:rPr>
              <w:t>微型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Style w:val="14"/>
                <w:rFonts w:ascii="Times New Roman" w:hAnsi="Times New Roman" w:eastAsia="宋体" w:cs="Times New Roman"/>
                <w:i w:val="0"/>
                <w:iCs w:val="0"/>
                <w:caps w:val="0"/>
                <w:color w:val="auto"/>
                <w:spacing w:val="0"/>
                <w:sz w:val="19"/>
                <w:szCs w:val="19"/>
                <w:shd w:val="clear" w:color="auto" w:fill="auto"/>
              </w:rPr>
              <w:t>小型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Style w:val="14"/>
                <w:rFonts w:ascii="Times New Roman" w:hAnsi="Times New Roman" w:eastAsia="宋体" w:cs="Times New Roman"/>
                <w:i w:val="0"/>
                <w:iCs w:val="0"/>
                <w:caps w:val="0"/>
                <w:color w:val="auto"/>
                <w:spacing w:val="0"/>
                <w:sz w:val="19"/>
                <w:szCs w:val="19"/>
                <w:shd w:val="clear" w:color="auto" w:fill="auto"/>
              </w:rPr>
              <w:t>中型</w:t>
            </w:r>
            <w:r>
              <w:rPr>
                <w:rFonts w:hint="default" w:ascii="Times New Roman" w:hAnsi="Times New Roman" w:cs="Times New Roman"/>
                <w:i w:val="0"/>
                <w:iCs w:val="0"/>
                <w:caps w:val="0"/>
                <w:color w:val="auto"/>
                <w:spacing w:val="0"/>
                <w:sz w:val="19"/>
                <w:szCs w:val="19"/>
                <w:shd w:val="clear" w:color="auto" w:fill="auto"/>
                <w:lang w:eastAsia="zh-CN"/>
              </w:rPr>
              <w:t>企业</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182" w:type="dxa"/>
            <w:vAlign w:val="center"/>
          </w:tcPr>
          <w:p>
            <w:pPr>
              <w:shd w:val="clear" w:color="auto" w:fill="auto"/>
              <w:snapToGrid w:val="0"/>
              <w:spacing w:before="0" w:beforeAutospacing="0" w:after="0" w:afterAutospacing="0" w:line="320" w:lineRule="exact"/>
              <w:ind w:left="0" w:right="0" w:firstLine="2090" w:firstLineChars="1100"/>
              <w:jc w:val="both"/>
              <w:rPr>
                <w:rFonts w:hint="default" w:ascii="Times New Roman" w:hAnsi="Times New Roman" w:cs="Times New Roman"/>
                <w:color w:val="auto"/>
                <w:sz w:val="20"/>
                <w:szCs w:val="20"/>
                <w:shd w:val="clear" w:color="auto" w:fill="auto"/>
              </w:rPr>
            </w:pPr>
            <w:r>
              <w:rPr>
                <w:rStyle w:val="14"/>
                <w:rFonts w:hint="default" w:ascii="Times New Roman" w:hAnsi="Times New Roman" w:eastAsia="宋体" w:cs="Times New Roman"/>
                <w:i w:val="0"/>
                <w:iCs w:val="0"/>
                <w:caps w:val="0"/>
                <w:color w:val="auto"/>
                <w:spacing w:val="0"/>
                <w:sz w:val="19"/>
                <w:szCs w:val="19"/>
                <w:shd w:val="clear" w:color="auto" w:fill="auto"/>
                <w:lang w:eastAsia="zh-CN"/>
              </w:rPr>
              <w:t>大型企业</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登记管理</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重点管理</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发生频次</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1</w:t>
            </w:r>
            <w:r>
              <w:rPr>
                <w:rFonts w:hint="default" w:ascii="Times New Roman" w:hAnsi="Times New Roman" w:cs="Times New Roman"/>
                <w:color w:val="auto"/>
                <w:sz w:val="20"/>
                <w:szCs w:val="20"/>
                <w:shd w:val="clear" w:color="auto" w:fill="auto"/>
                <w:lang w:val="en-US"/>
              </w:rPr>
              <w:t>次</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2</w:t>
            </w:r>
            <w:r>
              <w:rPr>
                <w:rFonts w:hint="default" w:ascii="Times New Roman" w:hAnsi="Times New Roman" w:cs="Times New Roman"/>
                <w:color w:val="auto"/>
                <w:sz w:val="20"/>
                <w:szCs w:val="20"/>
                <w:shd w:val="clear" w:color="auto" w:fill="auto"/>
                <w:lang w:val="en-US"/>
              </w:rPr>
              <w:t>次</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3</w:t>
            </w:r>
            <w:r>
              <w:rPr>
                <w:rFonts w:hint="default" w:ascii="Times New Roman" w:hAnsi="Times New Roman" w:cs="Times New Roman"/>
                <w:color w:val="auto"/>
                <w:sz w:val="20"/>
                <w:szCs w:val="20"/>
                <w:shd w:val="clear" w:color="auto" w:fill="auto"/>
                <w:lang w:val="en-US"/>
              </w:rPr>
              <w:t>次</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4</w:t>
            </w:r>
            <w:r>
              <w:rPr>
                <w:rFonts w:hint="default" w:ascii="Times New Roman" w:hAnsi="Times New Roman" w:cs="Times New Roman"/>
                <w:color w:val="auto"/>
                <w:sz w:val="20"/>
                <w:szCs w:val="20"/>
                <w:shd w:val="clear" w:color="auto" w:fill="auto"/>
                <w:lang w:val="en-US"/>
              </w:rPr>
              <w:t>次</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5</w:t>
            </w:r>
            <w:r>
              <w:rPr>
                <w:rFonts w:hint="default" w:ascii="Times New Roman" w:hAnsi="Times New Roman" w:cs="Times New Roman"/>
                <w:color w:val="auto"/>
                <w:sz w:val="20"/>
                <w:szCs w:val="20"/>
                <w:shd w:val="clear" w:color="auto" w:fill="auto"/>
                <w:lang w:val="en-US"/>
              </w:rPr>
              <w:t>次以上</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51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6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36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8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51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r>
    </w:tbl>
    <w:p>
      <w:pPr>
        <w:shd w:val="clear" w:color="auto" w:fill="auto"/>
        <w:snapToGrid w:val="0"/>
        <w:spacing w:line="590" w:lineRule="exact"/>
        <w:ind w:firstLine="640" w:firstLineChars="200"/>
        <w:jc w:val="left"/>
        <w:outlineLvl w:val="1"/>
        <w:rPr>
          <w:rFonts w:hint="default" w:ascii="Times New Roman" w:hAnsi="Times New Roman" w:eastAsia="楷体" w:cs="Times New Roman"/>
          <w:b w:val="0"/>
          <w:bCs w:val="0"/>
          <w:color w:val="auto"/>
          <w:sz w:val="32"/>
          <w:szCs w:val="32"/>
          <w:shd w:val="clear" w:color="auto" w:fill="auto"/>
        </w:rPr>
      </w:pPr>
      <w:bookmarkStart w:id="400" w:name="_Toc31979"/>
      <w:r>
        <w:rPr>
          <w:rFonts w:hint="eastAsia" w:ascii="Times New Roman" w:hAnsi="Times New Roman" w:eastAsia="楷体" w:cs="Times New Roman"/>
          <w:b w:val="0"/>
          <w:bCs w:val="0"/>
          <w:color w:val="auto"/>
          <w:sz w:val="32"/>
          <w:szCs w:val="32"/>
          <w:shd w:val="clear" w:color="auto" w:fill="auto"/>
          <w:lang w:val="en-US" w:eastAsia="zh-CN"/>
        </w:rPr>
        <w:t>（</w:t>
      </w:r>
      <w:r>
        <w:rPr>
          <w:rFonts w:hint="default" w:ascii="Times New Roman" w:hAnsi="Times New Roman" w:eastAsia="楷体" w:cs="Times New Roman"/>
          <w:b w:val="0"/>
          <w:bCs w:val="0"/>
          <w:color w:val="auto"/>
          <w:sz w:val="32"/>
          <w:szCs w:val="32"/>
          <w:shd w:val="clear" w:color="auto" w:fill="auto"/>
          <w:lang w:val="en-US" w:eastAsia="zh-CN"/>
        </w:rPr>
        <w:t>九</w:t>
      </w:r>
      <w:r>
        <w:rPr>
          <w:rFonts w:hint="eastAsia" w:ascii="Times New Roman" w:hAnsi="Times New Roman" w:eastAsia="楷体" w:cs="Times New Roman"/>
          <w:b w:val="0"/>
          <w:bCs w:val="0"/>
          <w:color w:val="auto"/>
          <w:sz w:val="32"/>
          <w:szCs w:val="32"/>
          <w:shd w:val="clear" w:color="auto" w:fill="auto"/>
          <w:lang w:val="en-US" w:eastAsia="zh-CN"/>
        </w:rPr>
        <w:t>）</w:t>
      </w:r>
      <w:bookmarkStart w:id="401" w:name="_Toc24711"/>
      <w:r>
        <w:rPr>
          <w:rFonts w:hint="default" w:ascii="Times New Roman" w:hAnsi="Times New Roman" w:eastAsia="楷体" w:cs="Times New Roman"/>
          <w:b w:val="0"/>
          <w:bCs w:val="0"/>
          <w:color w:val="auto"/>
          <w:sz w:val="32"/>
          <w:szCs w:val="32"/>
          <w:shd w:val="clear" w:color="auto" w:fill="auto"/>
        </w:rPr>
        <w:t>排污许可管理类</w:t>
      </w:r>
      <w:bookmarkEnd w:id="400"/>
      <w:bookmarkEnd w:id="401"/>
    </w:p>
    <w:p>
      <w:pPr>
        <w:shd w:val="clear" w:color="auto" w:fill="auto"/>
        <w:spacing w:line="590" w:lineRule="exact"/>
        <w:ind w:firstLine="640" w:firstLineChars="200"/>
        <w:outlineLvl w:val="9"/>
        <w:rPr>
          <w:rFonts w:hint="eastAsia" w:ascii="Times New Roman" w:hAnsi="Times New Roman" w:eastAsia="仿宋_GB2312" w:cs="Times New Roman"/>
          <w:color w:val="auto"/>
          <w:sz w:val="32"/>
          <w:szCs w:val="32"/>
          <w:shd w:val="clear" w:color="auto" w:fill="auto"/>
        </w:rPr>
      </w:pPr>
      <w:r>
        <w:rPr>
          <w:rFonts w:hint="default" w:ascii="Times New Roman" w:hAnsi="Times New Roman" w:eastAsia="仿宋_GB2312" w:cs="Times New Roman"/>
          <w:bCs/>
          <w:color w:val="auto"/>
          <w:sz w:val="32"/>
          <w:szCs w:val="32"/>
          <w:shd w:val="clear" w:color="auto" w:fill="auto"/>
          <w:lang w:val="en-US" w:eastAsia="zh-CN"/>
        </w:rPr>
        <w:t xml:space="preserve">1. </w:t>
      </w:r>
      <w:r>
        <w:rPr>
          <w:rFonts w:hint="default" w:ascii="Times New Roman" w:hAnsi="Times New Roman" w:eastAsia="仿宋_GB2312" w:cs="Times New Roman"/>
          <w:color w:val="auto"/>
          <w:sz w:val="32"/>
          <w:szCs w:val="32"/>
          <w:shd w:val="clear" w:color="auto" w:fill="auto"/>
        </w:rPr>
        <w:t>未取得排污许可证排放污染物的</w:t>
      </w:r>
      <w:r>
        <w:rPr>
          <w:rFonts w:hint="eastAsia" w:ascii="Times New Roman" w:hAnsi="Times New Roman" w:eastAsia="仿宋_GB2312" w:cs="Times New Roman"/>
          <w:color w:val="auto"/>
          <w:sz w:val="32"/>
          <w:szCs w:val="32"/>
          <w:shd w:val="clear" w:color="auto" w:fill="auto"/>
          <w:lang w:eastAsia="zh-CN"/>
        </w:rPr>
        <w:t>；</w:t>
      </w:r>
    </w:p>
    <w:p>
      <w:pPr>
        <w:shd w:val="clear" w:color="auto" w:fill="auto"/>
        <w:spacing w:line="590" w:lineRule="exact"/>
        <w:ind w:firstLine="640" w:firstLineChars="200"/>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2. 排污许可证有效期届满未申请延续或者延续申请未经批准排放污染物的</w:t>
      </w:r>
      <w:r>
        <w:rPr>
          <w:rFonts w:hint="eastAsia" w:ascii="Times New Roman" w:hAnsi="Times New Roman" w:eastAsia="仿宋_GB2312" w:cs="Times New Roman"/>
          <w:color w:val="auto"/>
          <w:sz w:val="32"/>
          <w:szCs w:val="32"/>
          <w:shd w:val="clear" w:color="auto" w:fill="auto"/>
          <w:lang w:val="en-US" w:eastAsia="zh-CN"/>
        </w:rPr>
        <w:t>；</w:t>
      </w:r>
    </w:p>
    <w:p>
      <w:pPr>
        <w:shd w:val="clear" w:color="auto" w:fill="auto"/>
        <w:spacing w:line="590" w:lineRule="exact"/>
        <w:ind w:firstLine="640" w:firstLineChars="200"/>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3. 被依法撤销、注销、吊销排污许可证后排放污染物的</w:t>
      </w:r>
      <w:r>
        <w:rPr>
          <w:rFonts w:hint="eastAsia" w:ascii="Times New Roman" w:hAnsi="Times New Roman" w:eastAsia="仿宋_GB2312" w:cs="Times New Roman"/>
          <w:color w:val="auto"/>
          <w:sz w:val="32"/>
          <w:szCs w:val="32"/>
          <w:shd w:val="clear" w:color="auto" w:fill="auto"/>
          <w:lang w:val="en-US" w:eastAsia="zh-CN"/>
        </w:rPr>
        <w:t>；</w:t>
      </w:r>
    </w:p>
    <w:p>
      <w:pPr>
        <w:shd w:val="clear" w:color="auto" w:fill="auto"/>
        <w:spacing w:line="590" w:lineRule="exact"/>
        <w:ind w:firstLine="640" w:firstLineChars="200"/>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4. 依法应当重新申请取得排污许可证，未重新申请取得排污许可证排放污染物的</w:t>
      </w:r>
      <w:r>
        <w:rPr>
          <w:rFonts w:hint="eastAsia" w:ascii="Times New Roman" w:hAnsi="Times New Roman" w:eastAsia="仿宋_GB2312" w:cs="Times New Roman"/>
          <w:color w:val="auto"/>
          <w:sz w:val="32"/>
          <w:szCs w:val="32"/>
          <w:shd w:val="clear" w:color="auto" w:fill="auto"/>
          <w:lang w:val="en-US" w:eastAsia="zh-CN"/>
        </w:rPr>
        <w:t>；</w:t>
      </w:r>
    </w:p>
    <w:p>
      <w:pPr>
        <w:shd w:val="clear" w:color="auto" w:fill="auto"/>
        <w:spacing w:line="590" w:lineRule="exact"/>
        <w:ind w:firstLine="640" w:firstLineChars="200"/>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5. 超过许可排放浓度、许可排放量排放污染物的</w:t>
      </w:r>
      <w:r>
        <w:rPr>
          <w:rFonts w:hint="eastAsia" w:ascii="Times New Roman" w:hAnsi="Times New Roman" w:eastAsia="仿宋_GB2312" w:cs="Times New Roman"/>
          <w:color w:val="auto"/>
          <w:sz w:val="32"/>
          <w:szCs w:val="32"/>
          <w:shd w:val="clear" w:color="auto" w:fill="auto"/>
          <w:lang w:val="en-US" w:eastAsia="zh-CN"/>
        </w:rPr>
        <w:t>；</w:t>
      </w:r>
    </w:p>
    <w:p>
      <w:pPr>
        <w:shd w:val="clear" w:color="auto" w:fill="auto"/>
        <w:spacing w:line="590" w:lineRule="exact"/>
        <w:ind w:firstLine="640" w:firstLineChars="200"/>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6. 通过暗管、渗井、渗坑、灌注或者篡改、伪造监测数据，或者不正常运行污染防治设施等逃避监管的方式违法排放污染物的</w:t>
      </w:r>
      <w:r>
        <w:rPr>
          <w:rFonts w:hint="eastAsia" w:ascii="Times New Roman" w:hAnsi="Times New Roman" w:eastAsia="仿宋_GB2312" w:cs="Times New Roman"/>
          <w:color w:val="auto"/>
          <w:sz w:val="32"/>
          <w:szCs w:val="32"/>
          <w:shd w:val="clear" w:color="auto" w:fill="auto"/>
          <w:lang w:val="en-US" w:eastAsia="zh-CN"/>
        </w:rPr>
        <w:t>；</w:t>
      </w:r>
    </w:p>
    <w:p>
      <w:pPr>
        <w:shd w:val="clear" w:color="auto" w:fill="auto"/>
        <w:spacing w:line="590" w:lineRule="exact"/>
        <w:ind w:firstLine="640" w:firstLineChars="200"/>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7. 未按照排污许可证规定控制大气污染物无组织排放的</w:t>
      </w:r>
      <w:r>
        <w:rPr>
          <w:rFonts w:hint="eastAsia" w:ascii="Times New Roman" w:hAnsi="Times New Roman" w:eastAsia="仿宋_GB2312" w:cs="Times New Roman"/>
          <w:color w:val="auto"/>
          <w:sz w:val="32"/>
          <w:szCs w:val="32"/>
          <w:shd w:val="clear" w:color="auto" w:fill="auto"/>
          <w:lang w:val="en-US" w:eastAsia="zh-CN"/>
        </w:rPr>
        <w:t>；</w:t>
      </w:r>
    </w:p>
    <w:p>
      <w:pPr>
        <w:shd w:val="clear" w:color="auto" w:fill="auto"/>
        <w:spacing w:line="590" w:lineRule="exact"/>
        <w:ind w:firstLine="640" w:firstLineChars="200"/>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8. 特殊时段未按照排污许可证规定停止或者限制排放污染物的</w:t>
      </w:r>
      <w:r>
        <w:rPr>
          <w:rFonts w:hint="eastAsia" w:ascii="Times New Roman" w:hAnsi="Times New Roman" w:eastAsia="仿宋_GB2312" w:cs="Times New Roman"/>
          <w:color w:val="auto"/>
          <w:sz w:val="32"/>
          <w:szCs w:val="32"/>
          <w:shd w:val="clear" w:color="auto" w:fill="auto"/>
          <w:lang w:val="en-US" w:eastAsia="zh-CN"/>
        </w:rPr>
        <w:t>；</w:t>
      </w:r>
    </w:p>
    <w:p>
      <w:pPr>
        <w:shd w:val="clear" w:color="auto" w:fill="auto"/>
        <w:spacing w:line="590" w:lineRule="exact"/>
        <w:ind w:firstLine="640" w:firstLineChars="200"/>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9. 污染物排放口位置或者数量不符合排污许可证规定的</w:t>
      </w:r>
      <w:r>
        <w:rPr>
          <w:rFonts w:hint="eastAsia" w:ascii="Times New Roman" w:hAnsi="Times New Roman" w:eastAsia="仿宋_GB2312" w:cs="Times New Roman"/>
          <w:color w:val="auto"/>
          <w:sz w:val="32"/>
          <w:szCs w:val="32"/>
          <w:shd w:val="clear" w:color="auto" w:fill="auto"/>
          <w:lang w:val="en-US" w:eastAsia="zh-CN"/>
        </w:rPr>
        <w:t>；</w:t>
      </w:r>
    </w:p>
    <w:p>
      <w:pPr>
        <w:shd w:val="clear" w:color="auto" w:fill="auto"/>
        <w:spacing w:line="590" w:lineRule="exact"/>
        <w:ind w:firstLine="640" w:firstLineChars="200"/>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10. 污染物排放方式或排放去向不符合排污许可证规定的</w:t>
      </w:r>
      <w:r>
        <w:rPr>
          <w:rFonts w:hint="eastAsia" w:ascii="Times New Roman" w:hAnsi="Times New Roman" w:eastAsia="仿宋_GB2312" w:cs="Times New Roman"/>
          <w:color w:val="auto"/>
          <w:sz w:val="32"/>
          <w:szCs w:val="32"/>
          <w:shd w:val="clear" w:color="auto" w:fill="auto"/>
          <w:lang w:val="en-US" w:eastAsia="zh-CN"/>
        </w:rPr>
        <w:t>；</w:t>
      </w:r>
    </w:p>
    <w:p>
      <w:pPr>
        <w:shd w:val="clear" w:color="auto" w:fill="auto"/>
        <w:spacing w:line="590" w:lineRule="exact"/>
        <w:ind w:firstLine="640" w:firstLineChars="200"/>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11. 损毁或者擅自移动、改变污染物排放自动监测设备的</w:t>
      </w:r>
      <w:r>
        <w:rPr>
          <w:rFonts w:hint="eastAsia" w:ascii="Times New Roman" w:hAnsi="Times New Roman" w:eastAsia="仿宋_GB2312" w:cs="Times New Roman"/>
          <w:color w:val="auto"/>
          <w:sz w:val="32"/>
          <w:szCs w:val="32"/>
          <w:shd w:val="clear" w:color="auto" w:fill="auto"/>
          <w:lang w:val="en-US" w:eastAsia="zh-CN"/>
        </w:rPr>
        <w:t>；</w:t>
      </w:r>
    </w:p>
    <w:p>
      <w:pPr>
        <w:shd w:val="clear" w:color="auto" w:fill="auto"/>
        <w:spacing w:line="590" w:lineRule="exact"/>
        <w:ind w:firstLine="640" w:firstLineChars="200"/>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12. 未按照排污许可证规定安装、使用污染物排放自动监测设备并与生态环境主管部门的监控设备联网，或者未保证污染物排放自动监测设备正常运行的</w:t>
      </w:r>
      <w:r>
        <w:rPr>
          <w:rFonts w:hint="eastAsia" w:ascii="Times New Roman" w:hAnsi="Times New Roman" w:eastAsia="仿宋_GB2312" w:cs="Times New Roman"/>
          <w:color w:val="auto"/>
          <w:sz w:val="32"/>
          <w:szCs w:val="32"/>
          <w:shd w:val="clear" w:color="auto" w:fill="auto"/>
          <w:lang w:val="en-US" w:eastAsia="zh-CN"/>
        </w:rPr>
        <w:t>；</w:t>
      </w:r>
    </w:p>
    <w:p>
      <w:pPr>
        <w:shd w:val="clear" w:color="auto" w:fill="auto"/>
        <w:spacing w:line="590" w:lineRule="exact"/>
        <w:ind w:firstLine="640" w:firstLineChars="200"/>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13. 未按照排污许可证规定制定自行监测方案并开展自行监测；未按照排污许可证规定保存原始监测记录的</w:t>
      </w:r>
      <w:r>
        <w:rPr>
          <w:rFonts w:hint="eastAsia" w:ascii="Times New Roman" w:hAnsi="Times New Roman" w:eastAsia="仿宋_GB2312" w:cs="Times New Roman"/>
          <w:color w:val="auto"/>
          <w:sz w:val="32"/>
          <w:szCs w:val="32"/>
          <w:shd w:val="clear" w:color="auto" w:fill="auto"/>
          <w:lang w:val="en-US" w:eastAsia="zh-CN"/>
        </w:rPr>
        <w:t>；</w:t>
      </w:r>
    </w:p>
    <w:p>
      <w:pPr>
        <w:shd w:val="clear" w:color="auto" w:fill="auto"/>
        <w:spacing w:line="590" w:lineRule="exact"/>
        <w:ind w:firstLine="640" w:firstLineChars="200"/>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14. 未按照排污许可证规定公开或者不如实公开污染物排放信息的</w:t>
      </w:r>
      <w:r>
        <w:rPr>
          <w:rFonts w:hint="eastAsia" w:ascii="Times New Roman" w:hAnsi="Times New Roman" w:eastAsia="仿宋_GB2312" w:cs="Times New Roman"/>
          <w:color w:val="auto"/>
          <w:sz w:val="32"/>
          <w:szCs w:val="32"/>
          <w:shd w:val="clear" w:color="auto" w:fill="auto"/>
          <w:lang w:val="en-US" w:eastAsia="zh-CN"/>
        </w:rPr>
        <w:t>；</w:t>
      </w:r>
    </w:p>
    <w:p>
      <w:pPr>
        <w:shd w:val="clear" w:color="auto" w:fill="auto"/>
        <w:spacing w:line="590" w:lineRule="exact"/>
        <w:ind w:firstLine="640" w:firstLineChars="200"/>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15. 发现污染物排放自动监测设备传输数据异常或者污染物排放超过污染物排放标准等异常情况不报告的</w:t>
      </w:r>
      <w:r>
        <w:rPr>
          <w:rFonts w:hint="eastAsia" w:ascii="Times New Roman" w:hAnsi="Times New Roman" w:eastAsia="仿宋_GB2312" w:cs="Times New Roman"/>
          <w:color w:val="auto"/>
          <w:sz w:val="32"/>
          <w:szCs w:val="32"/>
          <w:shd w:val="clear" w:color="auto" w:fill="auto"/>
          <w:lang w:val="en-US" w:eastAsia="zh-CN"/>
        </w:rPr>
        <w:t>；</w:t>
      </w:r>
    </w:p>
    <w:p>
      <w:pPr>
        <w:shd w:val="clear" w:color="auto" w:fill="auto"/>
        <w:spacing w:line="590" w:lineRule="exact"/>
        <w:ind w:firstLine="640" w:firstLineChars="200"/>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16. 未建立环境管理台账记录制度，或者未按照排污许可证规定记录的</w:t>
      </w:r>
      <w:r>
        <w:rPr>
          <w:rFonts w:hint="eastAsia" w:ascii="Times New Roman" w:hAnsi="Times New Roman" w:eastAsia="仿宋_GB2312" w:cs="Times New Roman"/>
          <w:color w:val="auto"/>
          <w:sz w:val="32"/>
          <w:szCs w:val="32"/>
          <w:shd w:val="clear" w:color="auto" w:fill="auto"/>
          <w:lang w:val="en-US" w:eastAsia="zh-CN"/>
        </w:rPr>
        <w:t>；</w:t>
      </w:r>
    </w:p>
    <w:p>
      <w:pPr>
        <w:shd w:val="clear" w:color="auto" w:fill="auto"/>
        <w:spacing w:line="590" w:lineRule="exact"/>
        <w:ind w:firstLine="640" w:firstLineChars="200"/>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17. 未如实记录主要生产设施及污染防治设施运行情况或者污染物排放浓度、排放量的</w:t>
      </w:r>
      <w:r>
        <w:rPr>
          <w:rFonts w:hint="eastAsia" w:ascii="Times New Roman" w:hAnsi="Times New Roman" w:eastAsia="仿宋_GB2312" w:cs="Times New Roman"/>
          <w:color w:val="auto"/>
          <w:sz w:val="32"/>
          <w:szCs w:val="32"/>
          <w:shd w:val="clear" w:color="auto" w:fill="auto"/>
          <w:lang w:val="en-US" w:eastAsia="zh-CN"/>
        </w:rPr>
        <w:t>；</w:t>
      </w:r>
    </w:p>
    <w:p>
      <w:pPr>
        <w:shd w:val="clear" w:color="auto" w:fill="auto"/>
        <w:spacing w:line="590" w:lineRule="exact"/>
        <w:ind w:firstLine="640" w:firstLineChars="200"/>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18. 未按照排污许可证规定提交排污许可证执行报告的</w:t>
      </w:r>
      <w:r>
        <w:rPr>
          <w:rFonts w:hint="eastAsia" w:ascii="Times New Roman" w:hAnsi="Times New Roman" w:eastAsia="仿宋_GB2312" w:cs="Times New Roman"/>
          <w:color w:val="auto"/>
          <w:sz w:val="32"/>
          <w:szCs w:val="32"/>
          <w:shd w:val="clear" w:color="auto" w:fill="auto"/>
          <w:lang w:val="en-US" w:eastAsia="zh-CN"/>
        </w:rPr>
        <w:t>；</w:t>
      </w:r>
    </w:p>
    <w:p>
      <w:pPr>
        <w:shd w:val="clear" w:color="auto" w:fill="auto"/>
        <w:spacing w:line="590" w:lineRule="exact"/>
        <w:ind w:firstLine="640" w:firstLineChars="200"/>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19. 未如实报告污染物排放行为或者污染物排放浓度、排放量的</w:t>
      </w:r>
      <w:r>
        <w:rPr>
          <w:rFonts w:hint="eastAsia" w:ascii="Times New Roman" w:hAnsi="Times New Roman" w:eastAsia="仿宋_GB2312" w:cs="Times New Roman"/>
          <w:color w:val="auto"/>
          <w:sz w:val="32"/>
          <w:szCs w:val="32"/>
          <w:shd w:val="clear" w:color="auto" w:fill="auto"/>
          <w:lang w:val="en-US" w:eastAsia="zh-CN"/>
        </w:rPr>
        <w:t>；</w:t>
      </w:r>
    </w:p>
    <w:p>
      <w:pPr>
        <w:shd w:val="clear" w:color="auto" w:fill="auto"/>
        <w:spacing w:line="590" w:lineRule="exact"/>
        <w:ind w:firstLine="640" w:firstLineChars="200"/>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20. 排污单位拒不配合生态环境主管部门监督检查，或者在接受监督检查时弄虚作假的</w:t>
      </w:r>
      <w:r>
        <w:rPr>
          <w:rFonts w:hint="eastAsia" w:ascii="Times New Roman" w:hAnsi="Times New Roman" w:eastAsia="仿宋_GB2312" w:cs="Times New Roman"/>
          <w:color w:val="auto"/>
          <w:sz w:val="32"/>
          <w:szCs w:val="32"/>
          <w:shd w:val="clear" w:color="auto" w:fill="auto"/>
          <w:lang w:val="en-US" w:eastAsia="zh-CN"/>
        </w:rPr>
        <w:t>；</w:t>
      </w:r>
    </w:p>
    <w:p>
      <w:pPr>
        <w:shd w:val="clear" w:color="auto" w:fill="auto"/>
        <w:spacing w:line="590" w:lineRule="exact"/>
        <w:ind w:firstLine="640" w:firstLineChars="200"/>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21. 排污单位以欺骗、贿赂等不正当手段申请取得排污许可证的</w:t>
      </w:r>
      <w:r>
        <w:rPr>
          <w:rFonts w:hint="eastAsia" w:ascii="Times New Roman" w:hAnsi="Times New Roman" w:eastAsia="仿宋_GB2312" w:cs="Times New Roman"/>
          <w:color w:val="auto"/>
          <w:sz w:val="32"/>
          <w:szCs w:val="32"/>
          <w:shd w:val="clear" w:color="auto" w:fill="auto"/>
          <w:lang w:val="en-US" w:eastAsia="zh-CN"/>
        </w:rPr>
        <w:t>；</w:t>
      </w:r>
    </w:p>
    <w:p>
      <w:pPr>
        <w:shd w:val="clear" w:color="auto" w:fill="auto"/>
        <w:spacing w:line="590" w:lineRule="exact"/>
        <w:ind w:firstLine="640" w:firstLineChars="200"/>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22. 伪造、变造、转让排污许可证的</w:t>
      </w:r>
      <w:r>
        <w:rPr>
          <w:rFonts w:hint="eastAsia" w:ascii="Times New Roman" w:hAnsi="Times New Roman" w:eastAsia="仿宋_GB2312" w:cs="Times New Roman"/>
          <w:color w:val="auto"/>
          <w:sz w:val="32"/>
          <w:szCs w:val="32"/>
          <w:shd w:val="clear" w:color="auto" w:fill="auto"/>
          <w:lang w:val="en-US" w:eastAsia="zh-CN"/>
        </w:rPr>
        <w:t>；</w:t>
      </w:r>
    </w:p>
    <w:p>
      <w:pPr>
        <w:shd w:val="clear" w:color="auto" w:fill="auto"/>
        <w:spacing w:line="590" w:lineRule="exact"/>
        <w:ind w:firstLine="640" w:firstLineChars="200"/>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23. 需要填报排污登记表，但未填报排污信息的</w:t>
      </w:r>
      <w:r>
        <w:rPr>
          <w:rFonts w:hint="eastAsia" w:ascii="Times New Roman" w:hAnsi="Times New Roman" w:eastAsia="仿宋_GB2312" w:cs="Times New Roman"/>
          <w:color w:val="auto"/>
          <w:sz w:val="32"/>
          <w:szCs w:val="32"/>
          <w:shd w:val="clear" w:color="auto" w:fill="auto"/>
          <w:lang w:val="en-US" w:eastAsia="zh-CN"/>
        </w:rPr>
        <w:t>。</w:t>
      </w:r>
    </w:p>
    <w:p>
      <w:pPr>
        <w:shd w:val="clear" w:color="auto" w:fill="auto"/>
        <w:spacing w:line="590" w:lineRule="exact"/>
        <w:ind w:firstLine="640" w:firstLineChars="200"/>
        <w:outlineLvl w:val="9"/>
        <w:rPr>
          <w:rFonts w:hint="default" w:ascii="Times New Roman" w:hAnsi="Times New Roman" w:eastAsia="方正仿宋_GBK" w:cs="Times New Roman"/>
          <w:color w:val="auto"/>
          <w:sz w:val="32"/>
          <w:szCs w:val="32"/>
          <w:shd w:val="clear" w:color="auto" w:fill="auto"/>
          <w:lang w:val="en-US" w:eastAsia="zh-CN"/>
        </w:rPr>
      </w:pPr>
    </w:p>
    <w:p>
      <w:pPr>
        <w:shd w:val="clear" w:color="auto" w:fill="auto"/>
        <w:spacing w:line="590" w:lineRule="exact"/>
        <w:ind w:firstLine="640" w:firstLineChars="200"/>
        <w:outlineLvl w:val="9"/>
        <w:rPr>
          <w:rFonts w:hint="default" w:ascii="Times New Roman" w:hAnsi="Times New Roman" w:eastAsia="方正仿宋_GBK" w:cs="Times New Roman"/>
          <w:color w:val="auto"/>
          <w:sz w:val="32"/>
          <w:szCs w:val="32"/>
          <w:shd w:val="clear" w:color="auto" w:fill="auto"/>
          <w:lang w:val="en-US" w:eastAsia="zh-CN"/>
        </w:rPr>
      </w:pPr>
    </w:p>
    <w:p>
      <w:pPr>
        <w:shd w:val="clear" w:color="auto" w:fill="auto"/>
        <w:spacing w:line="590" w:lineRule="exact"/>
        <w:ind w:firstLine="640" w:firstLineChars="200"/>
        <w:outlineLvl w:val="9"/>
        <w:rPr>
          <w:rFonts w:hint="default" w:ascii="Times New Roman" w:hAnsi="Times New Roman" w:eastAsia="方正仿宋_GBK" w:cs="Times New Roman"/>
          <w:color w:val="auto"/>
          <w:sz w:val="32"/>
          <w:szCs w:val="32"/>
          <w:shd w:val="clear" w:color="auto" w:fill="auto"/>
          <w:lang w:val="en-US" w:eastAsia="zh-CN"/>
        </w:rPr>
      </w:pPr>
    </w:p>
    <w:p>
      <w:pPr>
        <w:shd w:val="clear" w:color="auto" w:fill="auto"/>
        <w:spacing w:line="240" w:lineRule="auto"/>
        <w:ind w:firstLine="640" w:firstLineChars="200"/>
        <w:outlineLvl w:val="9"/>
        <w:rPr>
          <w:rFonts w:hint="default" w:ascii="Calibri" w:hAnsi="Calibri" w:eastAsia="宋体" w:cs="Calibri"/>
          <w:sz w:val="10"/>
          <w:szCs w:val="10"/>
          <w:shd w:val="clear" w:color="auto" w:fill="auto"/>
          <w:lang w:val="en-US" w:eastAsia="zh-CN"/>
        </w:rPr>
      </w:pPr>
      <w:r>
        <w:rPr>
          <w:rFonts w:hint="default" w:ascii="Times New Roman" w:hAnsi="Times New Roman" w:eastAsia="方正仿宋_GBK" w:cs="Times New Roman"/>
          <w:color w:val="auto"/>
          <w:sz w:val="32"/>
          <w:szCs w:val="32"/>
          <w:shd w:val="clear" w:color="auto" w:fill="auto"/>
          <w:lang w:val="en-US" w:eastAsia="zh-CN"/>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5265"/>
        <w:gridCol w:w="2419"/>
      </w:tblGrid>
      <w:tr>
        <w:trPr>
          <w:trHeight w:val="340" w:hRule="atLeast"/>
          <w:jc w:val="center"/>
        </w:trPr>
        <w:tc>
          <w:tcPr>
            <w:tcW w:w="9060" w:type="dxa"/>
            <w:gridSpan w:val="3"/>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eastAsia"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九</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排污许可管理类</w:t>
            </w:r>
          </w:p>
        </w:tc>
      </w:tr>
      <w:tr>
        <w:trPr>
          <w:trHeight w:val="340" w:hRule="atLeast"/>
          <w:jc w:val="center"/>
        </w:trPr>
        <w:tc>
          <w:tcPr>
            <w:tcW w:w="137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84" w:type="dxa"/>
            <w:gridSpan w:val="2"/>
            <w:vAlign w:val="center"/>
          </w:tcPr>
          <w:p>
            <w:pPr>
              <w:shd w:val="clear" w:color="auto" w:fill="auto"/>
              <w:wordWrap/>
              <w:adjustRightInd/>
              <w:snapToGrid w:val="0"/>
              <w:spacing w:before="0" w:beforeAutospacing="0" w:after="0" w:afterAutospacing="0" w:line="300" w:lineRule="exact"/>
              <w:ind w:left="0" w:right="0"/>
              <w:jc w:val="center"/>
              <w:textAlignment w:val="auto"/>
              <w:outlineLvl w:val="0"/>
              <w:rPr>
                <w:rFonts w:hint="default" w:ascii="Times New Roman" w:hAnsi="Times New Roman" w:cs="Times New Roman"/>
                <w:color w:val="auto"/>
                <w:sz w:val="20"/>
                <w:szCs w:val="20"/>
                <w:shd w:val="clear" w:color="auto" w:fill="auto"/>
              </w:rPr>
            </w:pPr>
            <w:bookmarkStart w:id="402" w:name="_Toc24867"/>
            <w:r>
              <w:rPr>
                <w:rFonts w:hint="default" w:ascii="Times New Roman" w:hAnsi="Times New Roman" w:cs="Times New Roman"/>
                <w:color w:val="auto"/>
                <w:sz w:val="20"/>
                <w:szCs w:val="20"/>
                <w:shd w:val="clear" w:color="auto" w:fill="auto"/>
              </w:rPr>
              <w:t>1</w:t>
            </w:r>
            <w:bookmarkEnd w:id="402"/>
          </w:p>
        </w:tc>
      </w:tr>
      <w:tr>
        <w:trPr>
          <w:trHeight w:val="340" w:hRule="atLeast"/>
          <w:jc w:val="center"/>
        </w:trPr>
        <w:tc>
          <w:tcPr>
            <w:tcW w:w="137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84" w:type="dxa"/>
            <w:gridSpan w:val="2"/>
            <w:vAlign w:val="center"/>
          </w:tcPr>
          <w:p>
            <w:pPr>
              <w:shd w:val="clear" w:color="auto" w:fill="auto"/>
              <w:wordWrap/>
              <w:adjustRightInd/>
              <w:snapToGrid w:val="0"/>
              <w:spacing w:before="0" w:beforeAutospacing="0" w:after="0" w:afterAutospacing="0" w:line="300" w:lineRule="exact"/>
              <w:ind w:left="0" w:right="0"/>
              <w:jc w:val="center"/>
              <w:textAlignment w:val="auto"/>
              <w:outlineLvl w:val="0"/>
              <w:rPr>
                <w:rFonts w:hint="default" w:ascii="Times New Roman" w:hAnsi="Times New Roman" w:cs="Times New Roman"/>
                <w:color w:val="auto"/>
                <w:sz w:val="20"/>
                <w:szCs w:val="20"/>
                <w:shd w:val="clear" w:color="auto" w:fill="auto"/>
              </w:rPr>
            </w:pPr>
            <w:bookmarkStart w:id="403" w:name="_Toc10274"/>
            <w:r>
              <w:rPr>
                <w:rFonts w:hint="default" w:ascii="Times New Roman" w:hAnsi="Times New Roman" w:cs="Times New Roman"/>
                <w:color w:val="auto"/>
                <w:sz w:val="20"/>
                <w:szCs w:val="20"/>
                <w:shd w:val="clear" w:color="auto" w:fill="auto"/>
              </w:rPr>
              <w:t>未取得排污许可证排放污染物的</w:t>
            </w:r>
            <w:bookmarkEnd w:id="403"/>
          </w:p>
        </w:tc>
      </w:tr>
      <w:tr>
        <w:trPr>
          <w:trHeight w:val="340" w:hRule="atLeast"/>
          <w:jc w:val="center"/>
        </w:trPr>
        <w:tc>
          <w:tcPr>
            <w:tcW w:w="137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84" w:type="dxa"/>
            <w:gridSpan w:val="2"/>
            <w:vAlign w:val="top"/>
          </w:tcPr>
          <w:p>
            <w:pPr>
              <w:pStyle w:val="19"/>
              <w:shd w:val="clear" w:color="auto" w:fill="auto"/>
              <w:wordWrap/>
              <w:adjustRightInd/>
              <w:snapToGrid w:val="0"/>
              <w:spacing w:before="0" w:beforeAutospacing="0" w:after="0" w:afterAutospacing="0" w:line="300" w:lineRule="exact"/>
              <w:ind w:left="0" w:right="0" w:firstLine="422" w:firstLineChars="20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《排污许可管理条例》 第二条第一款 </w:t>
            </w:r>
            <w:r>
              <w:rPr>
                <w:rFonts w:hint="default" w:ascii="Times New Roman" w:hAnsi="Times New Roman" w:cs="Times New Roman"/>
                <w:color w:val="auto"/>
                <w:sz w:val="21"/>
                <w:szCs w:val="21"/>
                <w:shd w:val="clear" w:color="auto" w:fill="auto"/>
              </w:rPr>
              <w:t>依照法律规定实行排污许可管理的企业事业单位和其他生产经营者（以下称排污单位），应当依照本条例规定申请取得排污许可证；未取得排污许可证的，不得排放污染物。</w:t>
            </w:r>
          </w:p>
        </w:tc>
      </w:tr>
      <w:tr>
        <w:trPr>
          <w:trHeight w:val="1237" w:hRule="atLeast"/>
          <w:jc w:val="center"/>
        </w:trPr>
        <w:tc>
          <w:tcPr>
            <w:tcW w:w="137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84" w:type="dxa"/>
            <w:gridSpan w:val="2"/>
            <w:vAlign w:val="top"/>
          </w:tcPr>
          <w:p>
            <w:pPr>
              <w:pStyle w:val="19"/>
              <w:shd w:val="clear" w:color="auto" w:fill="auto"/>
              <w:wordWrap/>
              <w:adjustRightInd/>
              <w:snapToGrid w:val="0"/>
              <w:spacing w:before="0" w:beforeAutospacing="0" w:after="0" w:afterAutospacing="0" w:line="300" w:lineRule="exact"/>
              <w:ind w:left="0" w:right="0" w:firstLine="422" w:firstLineChars="20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《排污许可管理条例》第三十三条第一项 </w:t>
            </w:r>
            <w:r>
              <w:rPr>
                <w:rFonts w:hint="default" w:ascii="Times New Roman" w:hAnsi="Times New Roman" w:cs="Times New Roman"/>
                <w:color w:val="auto"/>
                <w:sz w:val="21"/>
                <w:szCs w:val="21"/>
                <w:shd w:val="clear" w:color="auto" w:fill="auto"/>
              </w:rPr>
              <w:t>违反本条例规定，排污单位有下列行为之一的，由生态环境主管部门责令改正或者限制生产、停产整治，处20万元以上100万元以下的罚款；情节严重的，报经有批准权的人民政府批准，责令停业、关闭：</w:t>
            </w:r>
          </w:p>
          <w:p>
            <w:pPr>
              <w:pStyle w:val="19"/>
              <w:shd w:val="clear" w:color="auto" w:fill="auto"/>
              <w:wordWrap/>
              <w:adjustRightInd/>
              <w:snapToGrid w:val="0"/>
              <w:spacing w:before="0" w:beforeAutospacing="0" w:after="0" w:afterAutospacing="0" w:line="30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（一）未取得排污许可证排放污染物；</w:t>
            </w:r>
          </w:p>
        </w:tc>
      </w:tr>
      <w:tr>
        <w:trPr>
          <w:trHeight w:val="442" w:hRule="atLeast"/>
          <w:jc w:val="center"/>
        </w:trPr>
        <w:tc>
          <w:tcPr>
            <w:tcW w:w="137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2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41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42" w:hRule="atLeast"/>
          <w:jc w:val="center"/>
        </w:trPr>
        <w:tc>
          <w:tcPr>
            <w:tcW w:w="1376"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★排污单位</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管理类别</w:t>
            </w:r>
          </w:p>
        </w:tc>
        <w:tc>
          <w:tcPr>
            <w:tcW w:w="52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简化管理</w:t>
            </w:r>
          </w:p>
        </w:tc>
        <w:tc>
          <w:tcPr>
            <w:tcW w:w="241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442"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2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重点管理</w:t>
            </w:r>
          </w:p>
        </w:tc>
        <w:tc>
          <w:tcPr>
            <w:tcW w:w="241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442" w:hRule="atLeast"/>
          <w:jc w:val="center"/>
        </w:trPr>
        <w:tc>
          <w:tcPr>
            <w:tcW w:w="1376"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bookmarkStart w:id="404" w:name="_Hlk75088716"/>
            <w:r>
              <w:rPr>
                <w:rFonts w:hint="default" w:ascii="Times New Roman" w:hAnsi="Times New Roman" w:cs="Times New Roman"/>
                <w:b/>
                <w:bCs/>
                <w:color w:val="auto"/>
                <w:sz w:val="20"/>
                <w:szCs w:val="20"/>
                <w:shd w:val="clear" w:color="auto" w:fill="auto"/>
              </w:rPr>
              <w:t>污染物类别</w:t>
            </w:r>
          </w:p>
        </w:tc>
        <w:tc>
          <w:tcPr>
            <w:tcW w:w="52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 xml:space="preserve">汽车修理废气/畜禽养殖废气/机械、生活废水 </w:t>
            </w:r>
            <w:r>
              <w:rPr>
                <w:rFonts w:hint="eastAsia" w:ascii="Times New Roman" w:hAnsi="Times New Roman" w:cs="Times New Roman"/>
                <w:color w:val="auto"/>
                <w:sz w:val="20"/>
                <w:szCs w:val="20"/>
                <w:shd w:val="clear" w:color="auto" w:fill="auto"/>
                <w:lang w:val="en-US" w:eastAsia="zh-CN"/>
              </w:rPr>
              <w:t>/规模以下畜禽养殖废水</w:t>
            </w:r>
          </w:p>
        </w:tc>
        <w:tc>
          <w:tcPr>
            <w:tcW w:w="241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2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农业生产、工业扬尘废气/</w:t>
            </w:r>
            <w:r>
              <w:rPr>
                <w:rFonts w:hint="default"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rPr>
              <w:t>燃煤锅炉废气</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rPr>
              <w:t xml:space="preserve">服务业废水 </w:t>
            </w:r>
            <w:r>
              <w:rPr>
                <w:rFonts w:hint="eastAsia" w:ascii="Times New Roman" w:hAnsi="Times New Roman" w:cs="Times New Roman"/>
                <w:color w:val="auto"/>
                <w:sz w:val="20"/>
                <w:szCs w:val="20"/>
                <w:shd w:val="clear" w:color="auto" w:fill="auto"/>
                <w:lang w:val="en-US" w:eastAsia="zh-CN"/>
              </w:rPr>
              <w:t>/规模化畜禽养殖废水</w:t>
            </w:r>
          </w:p>
        </w:tc>
        <w:tc>
          <w:tcPr>
            <w:tcW w:w="241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42"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2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一般工业废气/含恶臭污染物的废气/医疗废气/实验室废气/一般工业废水/第</w:t>
            </w:r>
            <w:r>
              <w:rPr>
                <w:rFonts w:hint="default" w:ascii="Times New Roman" w:hAnsi="Times New Roman" w:eastAsia="宋体" w:cs="Times New Roman"/>
                <w:color w:val="auto"/>
                <w:sz w:val="20"/>
                <w:szCs w:val="20"/>
                <w:shd w:val="clear" w:color="auto" w:fill="auto"/>
              </w:rPr>
              <w:t>Ⅰ</w:t>
            </w:r>
            <w:r>
              <w:rPr>
                <w:rFonts w:hint="default" w:ascii="Times New Roman" w:hAnsi="Times New Roman" w:cs="Times New Roman"/>
                <w:color w:val="auto"/>
                <w:sz w:val="20"/>
                <w:szCs w:val="20"/>
                <w:shd w:val="clear" w:color="auto" w:fill="auto"/>
              </w:rPr>
              <w:t>类一般工业固体废物</w:t>
            </w:r>
          </w:p>
        </w:tc>
        <w:tc>
          <w:tcPr>
            <w:tcW w:w="241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2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火电、钢铁、石化、水泥、炼焦、有色、化工废气、烟尘/含其他有毒有害物质的废水、医疗废水</w:t>
            </w:r>
          </w:p>
        </w:tc>
        <w:tc>
          <w:tcPr>
            <w:tcW w:w="241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42"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2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含有毒有害物质的废气/含一类污染物或重金属、病原体、放射性物质的废水/危险废物/Ⅱ类一般工业固体废物</w:t>
            </w:r>
          </w:p>
        </w:tc>
        <w:tc>
          <w:tcPr>
            <w:tcW w:w="241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5</w:t>
            </w:r>
            <w:bookmarkEnd w:id="404"/>
          </w:p>
        </w:tc>
      </w:tr>
      <w:tr>
        <w:trPr>
          <w:trHeight w:val="442" w:hRule="atLeast"/>
          <w:jc w:val="center"/>
        </w:trPr>
        <w:tc>
          <w:tcPr>
            <w:tcW w:w="1376"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地点</w:t>
            </w:r>
          </w:p>
        </w:tc>
        <w:tc>
          <w:tcPr>
            <w:tcW w:w="5265" w:type="dxa"/>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w:t>
            </w:r>
            <w:r>
              <w:rPr>
                <w:rFonts w:hint="default" w:ascii="Times New Roman" w:hAnsi="Times New Roman" w:cs="Times New Roman"/>
                <w:color w:val="auto"/>
                <w:sz w:val="20"/>
                <w:szCs w:val="20"/>
                <w:shd w:val="clear" w:color="auto" w:fill="auto"/>
                <w:lang w:val="en-US"/>
              </w:rPr>
              <w:t>区</w:t>
            </w:r>
            <w:r>
              <w:rPr>
                <w:rFonts w:hint="default" w:ascii="Times New Roman" w:hAnsi="Times New Roman" w:cs="Times New Roman"/>
                <w:color w:val="auto"/>
                <w:sz w:val="20"/>
                <w:szCs w:val="20"/>
                <w:shd w:val="clear" w:color="auto" w:fill="auto"/>
              </w:rPr>
              <w:t>划</w:t>
            </w:r>
          </w:p>
        </w:tc>
        <w:tc>
          <w:tcPr>
            <w:tcW w:w="2419" w:type="dxa"/>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sz w:val="20"/>
                <w:szCs w:val="20"/>
                <w:shd w:val="clear" w:color="auto" w:fill="auto"/>
                <w:lang w:val="en-US" w:eastAsia="zh-CN"/>
              </w:rPr>
              <w:t>1</w:t>
            </w:r>
          </w:p>
        </w:tc>
      </w:tr>
      <w:tr>
        <w:trPr>
          <w:trHeight w:val="442"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265" w:type="dxa"/>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w:t>
            </w:r>
            <w:r>
              <w:rPr>
                <w:rFonts w:hint="default" w:ascii="Times New Roman" w:hAnsi="Times New Roman" w:cs="Times New Roman"/>
                <w:color w:val="auto"/>
                <w:sz w:val="20"/>
                <w:szCs w:val="20"/>
                <w:shd w:val="clear" w:color="auto" w:fill="auto"/>
                <w:lang w:val="en-US"/>
              </w:rPr>
              <w:t>区</w:t>
            </w:r>
            <w:r>
              <w:rPr>
                <w:rFonts w:hint="default" w:ascii="Times New Roman" w:hAnsi="Times New Roman" w:cs="Times New Roman"/>
                <w:color w:val="auto"/>
                <w:sz w:val="20"/>
                <w:szCs w:val="20"/>
                <w:shd w:val="clear" w:color="auto" w:fill="auto"/>
              </w:rPr>
              <w:t>划，但位于居住区、商业交通居民混合区、文化区、工业区和农村地区</w:t>
            </w:r>
          </w:p>
        </w:tc>
        <w:tc>
          <w:tcPr>
            <w:tcW w:w="2419" w:type="dxa"/>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42"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265" w:type="dxa"/>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w:t>
            </w:r>
            <w:r>
              <w:rPr>
                <w:rFonts w:hint="default" w:ascii="Times New Roman" w:hAnsi="Times New Roman" w:cs="Times New Roman"/>
                <w:color w:val="auto"/>
                <w:sz w:val="20"/>
                <w:szCs w:val="20"/>
                <w:shd w:val="clear" w:color="auto" w:fill="auto"/>
                <w:lang w:val="en-US"/>
              </w:rPr>
              <w:t>区</w:t>
            </w:r>
            <w:r>
              <w:rPr>
                <w:rFonts w:hint="default" w:ascii="Times New Roman" w:hAnsi="Times New Roman" w:cs="Times New Roman"/>
                <w:color w:val="auto"/>
                <w:sz w:val="20"/>
                <w:szCs w:val="20"/>
                <w:shd w:val="clear" w:color="auto" w:fill="auto"/>
              </w:rPr>
              <w:t>划，但位于自然保护区、风景名胜区和其他需要特殊保护的区域</w:t>
            </w:r>
          </w:p>
        </w:tc>
        <w:tc>
          <w:tcPr>
            <w:tcW w:w="2419" w:type="dxa"/>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442" w:hRule="atLeast"/>
          <w:jc w:val="center"/>
        </w:trPr>
        <w:tc>
          <w:tcPr>
            <w:tcW w:w="1376"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污染防治设施建设情况</w:t>
            </w:r>
          </w:p>
        </w:tc>
        <w:tc>
          <w:tcPr>
            <w:tcW w:w="52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配套污染防治设施已建成的</w:t>
            </w:r>
          </w:p>
        </w:tc>
        <w:tc>
          <w:tcPr>
            <w:tcW w:w="241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2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配套污染防治设施正在建设的</w:t>
            </w:r>
          </w:p>
        </w:tc>
        <w:tc>
          <w:tcPr>
            <w:tcW w:w="241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2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配套污染防治设施尚未建设的</w:t>
            </w:r>
          </w:p>
        </w:tc>
        <w:tc>
          <w:tcPr>
            <w:tcW w:w="241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42" w:hRule="atLeast"/>
          <w:jc w:val="center"/>
        </w:trPr>
        <w:tc>
          <w:tcPr>
            <w:tcW w:w="1376"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持续时间</w:t>
            </w:r>
          </w:p>
        </w:tc>
        <w:tc>
          <w:tcPr>
            <w:tcW w:w="52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1个月以下的</w:t>
            </w:r>
          </w:p>
        </w:tc>
        <w:tc>
          <w:tcPr>
            <w:tcW w:w="241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2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1个月以上3个月以下的</w:t>
            </w:r>
          </w:p>
        </w:tc>
        <w:tc>
          <w:tcPr>
            <w:tcW w:w="241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42"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2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3个月以上6个月以下的</w:t>
            </w:r>
          </w:p>
        </w:tc>
        <w:tc>
          <w:tcPr>
            <w:tcW w:w="241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2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6个月以上1年以下的</w:t>
            </w:r>
          </w:p>
        </w:tc>
        <w:tc>
          <w:tcPr>
            <w:tcW w:w="241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42"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265"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1年以上的</w:t>
            </w:r>
          </w:p>
        </w:tc>
        <w:tc>
          <w:tcPr>
            <w:tcW w:w="2419"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42" w:hRule="atLeast"/>
          <w:jc w:val="center"/>
        </w:trPr>
        <w:tc>
          <w:tcPr>
            <w:tcW w:w="13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2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4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2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4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42"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2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4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2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4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42" w:hRule="atLeast"/>
          <w:jc w:val="center"/>
        </w:trPr>
        <w:tc>
          <w:tcPr>
            <w:tcW w:w="13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2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41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41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42"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41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442"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41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442" w:hRule="atLeast"/>
          <w:jc w:val="center"/>
        </w:trPr>
        <w:tc>
          <w:tcPr>
            <w:tcW w:w="1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84"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r>
    </w:tbl>
    <w:p>
      <w:pPr>
        <w:shd w:val="clear" w:color="auto" w:fill="auto"/>
        <w:spacing w:line="590" w:lineRule="exact"/>
        <w:ind w:firstLine="640" w:firstLineChars="200"/>
        <w:outlineLvl w:val="9"/>
        <w:rPr>
          <w:rFonts w:hint="default" w:ascii="Times New Roman" w:hAnsi="Times New Roman" w:eastAsia="方正仿宋_GBK" w:cs="Times New Roman"/>
          <w:color w:val="auto"/>
          <w:sz w:val="32"/>
          <w:szCs w:val="32"/>
          <w:shd w:val="clear" w:color="auto" w:fill="auto"/>
          <w:lang w:val="en-US" w:eastAsia="zh-CN"/>
        </w:rPr>
      </w:pPr>
    </w:p>
    <w:p>
      <w:pPr>
        <w:shd w:val="clear" w:color="auto" w:fill="auto"/>
        <w:spacing w:line="590" w:lineRule="exact"/>
        <w:ind w:firstLine="640" w:firstLineChars="200"/>
        <w:outlineLvl w:val="9"/>
        <w:rPr>
          <w:rFonts w:hint="default" w:ascii="Times New Roman" w:hAnsi="Times New Roman" w:eastAsia="方正仿宋_GBK" w:cs="Times New Roman"/>
          <w:color w:val="auto"/>
          <w:sz w:val="32"/>
          <w:szCs w:val="32"/>
          <w:shd w:val="clear" w:color="auto" w:fill="auto"/>
          <w:lang w:val="en-US" w:eastAsia="zh-CN"/>
        </w:rPr>
      </w:pPr>
    </w:p>
    <w:p>
      <w:pPr>
        <w:shd w:val="clear" w:color="auto" w:fill="auto"/>
        <w:spacing w:line="590" w:lineRule="exact"/>
        <w:ind w:firstLine="640" w:firstLineChars="200"/>
        <w:outlineLvl w:val="9"/>
        <w:rPr>
          <w:rFonts w:hint="default" w:ascii="Times New Roman" w:hAnsi="Times New Roman" w:eastAsia="方正仿宋_GBK" w:cs="Times New Roman"/>
          <w:color w:val="auto"/>
          <w:sz w:val="32"/>
          <w:szCs w:val="32"/>
          <w:shd w:val="clear" w:color="auto" w:fill="auto"/>
          <w:lang w:val="en-US" w:eastAsia="zh-CN"/>
        </w:rPr>
      </w:pPr>
    </w:p>
    <w:p>
      <w:pPr>
        <w:shd w:val="clear" w:color="auto" w:fill="auto"/>
        <w:spacing w:line="200" w:lineRule="exact"/>
        <w:ind w:firstLine="640" w:firstLineChars="200"/>
        <w:outlineLvl w:val="9"/>
        <w:rPr>
          <w:rFonts w:hint="default" w:ascii="Times New Roman" w:hAnsi="Times New Roman" w:eastAsia="方正楷体_GBK" w:cs="Times New Roman"/>
          <w:bCs/>
          <w:color w:val="auto"/>
          <w:sz w:val="32"/>
          <w:szCs w:val="32"/>
          <w:shd w:val="clear" w:color="auto" w:fill="auto"/>
          <w:lang w:val="en-US" w:eastAsia="zh-CN"/>
        </w:rPr>
      </w:pPr>
      <w:r>
        <w:rPr>
          <w:rFonts w:hint="default" w:ascii="Times New Roman" w:hAnsi="Times New Roman" w:eastAsia="方正仿宋_GBK" w:cs="Times New Roman"/>
          <w:color w:val="auto"/>
          <w:sz w:val="32"/>
          <w:szCs w:val="32"/>
          <w:shd w:val="clear" w:color="auto" w:fill="auto"/>
          <w:lang w:val="en-US" w:eastAsia="zh-CN"/>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5450"/>
        <w:gridCol w:w="2234"/>
      </w:tblGrid>
      <w:tr>
        <w:trPr>
          <w:trHeight w:val="340" w:hRule="atLeast"/>
          <w:jc w:val="center"/>
        </w:trPr>
        <w:tc>
          <w:tcPr>
            <w:tcW w:w="9060" w:type="dxa"/>
            <w:gridSpan w:val="3"/>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九）</w:t>
            </w:r>
            <w:r>
              <w:rPr>
                <w:rFonts w:hint="default" w:ascii="Times New Roman" w:hAnsi="Times New Roman" w:cs="Times New Roman"/>
                <w:b/>
                <w:bCs/>
                <w:color w:val="auto"/>
                <w:sz w:val="20"/>
                <w:szCs w:val="20"/>
                <w:shd w:val="clear" w:color="auto" w:fill="auto"/>
              </w:rPr>
              <w:t>排污许可管理类</w:t>
            </w:r>
          </w:p>
        </w:tc>
      </w:tr>
      <w:tr>
        <w:trPr>
          <w:trHeight w:val="340" w:hRule="atLeast"/>
          <w:jc w:val="center"/>
        </w:trPr>
        <w:tc>
          <w:tcPr>
            <w:tcW w:w="137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84" w:type="dxa"/>
            <w:gridSpan w:val="2"/>
            <w:vAlign w:val="center"/>
          </w:tcPr>
          <w:p>
            <w:pPr>
              <w:shd w:val="clear" w:color="auto" w:fill="auto"/>
              <w:wordWrap/>
              <w:adjustRightInd/>
              <w:snapToGrid w:val="0"/>
              <w:spacing w:before="0" w:beforeAutospacing="0" w:after="0" w:afterAutospacing="0" w:line="300" w:lineRule="exact"/>
              <w:ind w:left="0" w:right="0"/>
              <w:jc w:val="center"/>
              <w:textAlignment w:val="auto"/>
              <w:outlineLvl w:val="0"/>
              <w:rPr>
                <w:rFonts w:hint="default" w:ascii="Times New Roman" w:hAnsi="Times New Roman" w:cs="Times New Roman"/>
                <w:color w:val="auto"/>
                <w:sz w:val="20"/>
                <w:szCs w:val="20"/>
                <w:shd w:val="clear" w:color="auto" w:fill="auto"/>
              </w:rPr>
            </w:pPr>
            <w:bookmarkStart w:id="405" w:name="_Toc20894"/>
            <w:r>
              <w:rPr>
                <w:rFonts w:hint="default" w:ascii="Times New Roman" w:hAnsi="Times New Roman" w:cs="Times New Roman"/>
                <w:color w:val="auto"/>
                <w:sz w:val="20"/>
                <w:szCs w:val="20"/>
                <w:shd w:val="clear" w:color="auto" w:fill="auto"/>
              </w:rPr>
              <w:t>2</w:t>
            </w:r>
            <w:bookmarkEnd w:id="405"/>
          </w:p>
        </w:tc>
      </w:tr>
      <w:tr>
        <w:trPr>
          <w:trHeight w:val="340" w:hRule="atLeast"/>
          <w:jc w:val="center"/>
        </w:trPr>
        <w:tc>
          <w:tcPr>
            <w:tcW w:w="137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84" w:type="dxa"/>
            <w:gridSpan w:val="2"/>
            <w:vAlign w:val="top"/>
          </w:tcPr>
          <w:p>
            <w:pPr>
              <w:pStyle w:val="18"/>
              <w:shd w:val="clear" w:color="auto" w:fill="auto"/>
              <w:wordWrap/>
              <w:adjustRightInd/>
              <w:snapToGrid w:val="0"/>
              <w:spacing w:before="0" w:beforeAutospacing="0" w:after="0" w:afterAutospacing="0" w:line="300" w:lineRule="exact"/>
              <w:ind w:left="0" w:right="0"/>
              <w:jc w:val="center"/>
              <w:textAlignment w:val="auto"/>
              <w:outlineLvl w:val="0"/>
              <w:rPr>
                <w:rFonts w:hint="default" w:ascii="Times New Roman" w:hAnsi="Times New Roman" w:eastAsia="宋体" w:cs="Times New Roman"/>
                <w:color w:val="auto"/>
                <w:sz w:val="21"/>
                <w:szCs w:val="21"/>
                <w:shd w:val="clear" w:color="auto" w:fill="auto"/>
                <w:lang w:eastAsia="zh-CN"/>
              </w:rPr>
            </w:pPr>
            <w:bookmarkStart w:id="406" w:name="_Toc3439"/>
            <w:r>
              <w:rPr>
                <w:rFonts w:hint="default" w:ascii="Times New Roman" w:hAnsi="Times New Roman" w:cs="Times New Roman"/>
                <w:color w:val="auto"/>
                <w:kern w:val="2"/>
                <w:sz w:val="21"/>
                <w:szCs w:val="21"/>
                <w:shd w:val="clear" w:color="auto" w:fill="auto"/>
              </w:rPr>
              <w:t>排污许可证有效期届满未申请延续或者延续申请未经批准排放污染物</w:t>
            </w:r>
            <w:r>
              <w:rPr>
                <w:rFonts w:hint="default" w:ascii="Times New Roman" w:hAnsi="Times New Roman" w:cs="Times New Roman"/>
                <w:color w:val="auto"/>
                <w:kern w:val="2"/>
                <w:sz w:val="21"/>
                <w:szCs w:val="21"/>
                <w:shd w:val="clear" w:color="auto" w:fill="auto"/>
                <w:lang w:eastAsia="zh-CN"/>
              </w:rPr>
              <w:t>的</w:t>
            </w:r>
            <w:bookmarkEnd w:id="406"/>
          </w:p>
        </w:tc>
      </w:tr>
      <w:tr>
        <w:trPr>
          <w:trHeight w:val="340" w:hRule="atLeast"/>
          <w:jc w:val="center"/>
        </w:trPr>
        <w:tc>
          <w:tcPr>
            <w:tcW w:w="137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84" w:type="dxa"/>
            <w:gridSpan w:val="2"/>
            <w:vAlign w:val="top"/>
          </w:tcPr>
          <w:p>
            <w:pPr>
              <w:shd w:val="clear" w:color="auto" w:fill="auto"/>
              <w:wordWrap/>
              <w:adjustRightInd/>
              <w:spacing w:before="0" w:beforeAutospacing="0" w:after="0" w:afterAutospacing="0" w:line="300" w:lineRule="exact"/>
              <w:ind w:left="0" w:right="0"/>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《排污许可管理条例》第二条第一款</w:t>
            </w:r>
            <w:r>
              <w:rPr>
                <w:rFonts w:hint="default" w:ascii="Times New Roman" w:hAnsi="Times New Roman" w:cs="Times New Roman"/>
                <w:color w:val="auto"/>
                <w:sz w:val="21"/>
                <w:szCs w:val="21"/>
                <w:shd w:val="clear" w:color="auto" w:fill="auto"/>
              </w:rPr>
              <w:t xml:space="preserve"> 依照法律规定实行排污许可管理的企业事业单位和其他生产经营者（以下称排污单位），应当依照本条例规定申请取得排污许可证；未取得排污许可证的，不得排放污染物。</w:t>
            </w:r>
          </w:p>
          <w:p>
            <w:pPr>
              <w:shd w:val="clear" w:color="auto" w:fill="auto"/>
              <w:wordWrap/>
              <w:adjustRightInd/>
              <w:spacing w:before="0" w:beforeAutospacing="0" w:after="0" w:afterAutospacing="0" w:line="300" w:lineRule="exact"/>
              <w:ind w:left="0" w:right="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《排污许可管理条例》第十四条第二款</w:t>
            </w:r>
            <w:r>
              <w:rPr>
                <w:rFonts w:hint="default" w:ascii="Times New Roman" w:hAnsi="Times New Roman" w:cs="Times New Roman"/>
                <w:color w:val="auto"/>
                <w:sz w:val="21"/>
                <w:szCs w:val="21"/>
                <w:shd w:val="clear" w:color="auto" w:fill="auto"/>
              </w:rPr>
              <w:t xml:space="preserve"> 排污许可证有效期届满，排污单位需要继续排放污染物的，应当于排污许可证有效期届满60日前向审批部门提出申请。审批部门应当自受理申请之日起20日内完成审查；对符合条件的予以延续，对不符合条件的不予延续并书面说明理由。</w:t>
            </w:r>
          </w:p>
        </w:tc>
      </w:tr>
      <w:tr>
        <w:trPr>
          <w:trHeight w:val="1237" w:hRule="atLeast"/>
          <w:jc w:val="center"/>
        </w:trPr>
        <w:tc>
          <w:tcPr>
            <w:tcW w:w="137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84" w:type="dxa"/>
            <w:gridSpan w:val="2"/>
            <w:vAlign w:val="top"/>
          </w:tcPr>
          <w:p>
            <w:pPr>
              <w:pStyle w:val="18"/>
              <w:shd w:val="clear" w:color="auto" w:fill="auto"/>
              <w:wordWrap/>
              <w:adjustRightInd/>
              <w:snapToGrid w:val="0"/>
              <w:spacing w:before="0" w:beforeAutospacing="0" w:after="0" w:afterAutospacing="0" w:line="30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《排污许可管理条例》第三十三条第二项　</w:t>
            </w:r>
            <w:r>
              <w:rPr>
                <w:rFonts w:hint="default" w:ascii="Times New Roman" w:hAnsi="Times New Roman" w:cs="Times New Roman"/>
                <w:color w:val="auto"/>
                <w:sz w:val="21"/>
                <w:szCs w:val="21"/>
                <w:shd w:val="clear" w:color="auto" w:fill="auto"/>
              </w:rPr>
              <w:t>违反本条例规定，排污单位有下列行为之一的，由生态环境主管部门责令改正或者限制生产、停产整治，处20万元以上100万元以下的罚款；情节严重的，报经有批准权的人民政府批准，责令停业、关闭：</w:t>
            </w:r>
          </w:p>
          <w:p>
            <w:pPr>
              <w:pStyle w:val="18"/>
              <w:shd w:val="clear" w:color="auto" w:fill="auto"/>
              <w:wordWrap/>
              <w:adjustRightInd/>
              <w:snapToGrid w:val="0"/>
              <w:spacing w:before="0" w:beforeAutospacing="0" w:after="0" w:afterAutospacing="0" w:line="30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（二）排污许可证有效期届满未申请延续或者延续申请未经批准排放污染物；</w:t>
            </w:r>
          </w:p>
        </w:tc>
      </w:tr>
      <w:tr>
        <w:trPr>
          <w:trHeight w:val="340" w:hRule="atLeast"/>
          <w:jc w:val="center"/>
        </w:trPr>
        <w:tc>
          <w:tcPr>
            <w:tcW w:w="137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45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23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40" w:hRule="atLeast"/>
          <w:jc w:val="center"/>
        </w:trPr>
        <w:tc>
          <w:tcPr>
            <w:tcW w:w="1376"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★排污单位</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管理类别</w:t>
            </w:r>
          </w:p>
        </w:tc>
        <w:tc>
          <w:tcPr>
            <w:tcW w:w="545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简化管理</w:t>
            </w:r>
          </w:p>
        </w:tc>
        <w:tc>
          <w:tcPr>
            <w:tcW w:w="223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40"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5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重点管理</w:t>
            </w:r>
          </w:p>
        </w:tc>
        <w:tc>
          <w:tcPr>
            <w:tcW w:w="223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40" w:hRule="atLeast"/>
          <w:jc w:val="center"/>
        </w:trPr>
        <w:tc>
          <w:tcPr>
            <w:tcW w:w="1376"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污染物类别</w:t>
            </w:r>
          </w:p>
        </w:tc>
        <w:tc>
          <w:tcPr>
            <w:tcW w:w="545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 xml:space="preserve">汽车修理废气/畜禽养殖废气/机械、生活废水 </w:t>
            </w:r>
            <w:r>
              <w:rPr>
                <w:rFonts w:hint="eastAsia" w:ascii="Times New Roman" w:hAnsi="Times New Roman" w:cs="Times New Roman"/>
                <w:color w:val="auto"/>
                <w:sz w:val="20"/>
                <w:szCs w:val="20"/>
                <w:shd w:val="clear" w:color="auto" w:fill="auto"/>
                <w:lang w:val="en-US" w:eastAsia="zh-CN"/>
              </w:rPr>
              <w:t>/规模以下畜禽养殖废水</w:t>
            </w:r>
          </w:p>
        </w:tc>
        <w:tc>
          <w:tcPr>
            <w:tcW w:w="223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5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 xml:space="preserve">农业生产、工业扬尘废气/燃煤锅炉废气/服务业废水 </w:t>
            </w:r>
            <w:r>
              <w:rPr>
                <w:rFonts w:hint="eastAsia" w:ascii="Times New Roman" w:hAnsi="Times New Roman" w:cs="Times New Roman"/>
                <w:color w:val="auto"/>
                <w:sz w:val="20"/>
                <w:szCs w:val="20"/>
                <w:shd w:val="clear" w:color="auto" w:fill="auto"/>
                <w:lang w:val="en-US" w:eastAsia="zh-CN"/>
              </w:rPr>
              <w:t>/规模化畜禽养殖废水</w:t>
            </w:r>
          </w:p>
        </w:tc>
        <w:tc>
          <w:tcPr>
            <w:tcW w:w="223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07"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5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一般工业废气/含恶臭污染物的废气/医疗废气/实验室废气/一般工业废水/第</w:t>
            </w:r>
            <w:r>
              <w:rPr>
                <w:rFonts w:hint="default" w:ascii="Times New Roman" w:hAnsi="Times New Roman" w:eastAsia="宋体" w:cs="Times New Roman"/>
                <w:color w:val="auto"/>
                <w:sz w:val="20"/>
                <w:szCs w:val="20"/>
                <w:shd w:val="clear" w:color="auto" w:fill="auto"/>
              </w:rPr>
              <w:t>Ⅰ</w:t>
            </w:r>
            <w:r>
              <w:rPr>
                <w:rFonts w:hint="default" w:ascii="Times New Roman" w:hAnsi="Times New Roman" w:cs="Times New Roman"/>
                <w:color w:val="auto"/>
                <w:sz w:val="20"/>
                <w:szCs w:val="20"/>
                <w:shd w:val="clear" w:color="auto" w:fill="auto"/>
              </w:rPr>
              <w:t>类一般工业固体废物</w:t>
            </w:r>
          </w:p>
        </w:tc>
        <w:tc>
          <w:tcPr>
            <w:tcW w:w="223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03"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5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火电、钢铁、石化、水泥、炼焦、有色、化工废气、烟尘/含其他有毒有害物质的废水、医疗废水</w:t>
            </w:r>
          </w:p>
        </w:tc>
        <w:tc>
          <w:tcPr>
            <w:tcW w:w="223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40"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5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含有毒有害物质的废气/含一类污染物或重金属、病原体、放射性物质的废水/危险废物/Ⅱ类一般工业固体废物</w:t>
            </w:r>
          </w:p>
        </w:tc>
        <w:tc>
          <w:tcPr>
            <w:tcW w:w="223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76"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地点</w:t>
            </w:r>
          </w:p>
        </w:tc>
        <w:tc>
          <w:tcPr>
            <w:tcW w:w="5450" w:type="dxa"/>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w:t>
            </w:r>
            <w:r>
              <w:rPr>
                <w:rFonts w:hint="default" w:ascii="Times New Roman" w:hAnsi="Times New Roman" w:cs="Times New Roman"/>
                <w:color w:val="auto"/>
                <w:sz w:val="20"/>
                <w:szCs w:val="20"/>
                <w:shd w:val="clear" w:color="auto" w:fill="auto"/>
                <w:lang w:val="en-US"/>
              </w:rPr>
              <w:t>区</w:t>
            </w:r>
            <w:r>
              <w:rPr>
                <w:rFonts w:hint="default" w:ascii="Times New Roman" w:hAnsi="Times New Roman" w:cs="Times New Roman"/>
                <w:color w:val="auto"/>
                <w:sz w:val="20"/>
                <w:szCs w:val="20"/>
                <w:shd w:val="clear" w:color="auto" w:fill="auto"/>
              </w:rPr>
              <w:t>划</w:t>
            </w:r>
          </w:p>
        </w:tc>
        <w:tc>
          <w:tcPr>
            <w:tcW w:w="2234" w:type="dxa"/>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sz w:val="20"/>
                <w:szCs w:val="20"/>
                <w:shd w:val="clear" w:color="auto" w:fill="auto"/>
                <w:lang w:val="en-US" w:eastAsia="zh-CN"/>
              </w:rPr>
              <w:t>1</w:t>
            </w:r>
          </w:p>
        </w:tc>
      </w:tr>
      <w:tr>
        <w:trPr>
          <w:trHeight w:val="340"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50" w:type="dxa"/>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w:t>
            </w:r>
            <w:r>
              <w:rPr>
                <w:rFonts w:hint="default" w:ascii="Times New Roman" w:hAnsi="Times New Roman" w:cs="Times New Roman"/>
                <w:color w:val="auto"/>
                <w:sz w:val="20"/>
                <w:szCs w:val="20"/>
                <w:shd w:val="clear" w:color="auto" w:fill="auto"/>
                <w:lang w:val="en-US"/>
              </w:rPr>
              <w:t>区</w:t>
            </w:r>
            <w:r>
              <w:rPr>
                <w:rFonts w:hint="default" w:ascii="Times New Roman" w:hAnsi="Times New Roman" w:cs="Times New Roman"/>
                <w:color w:val="auto"/>
                <w:sz w:val="20"/>
                <w:szCs w:val="20"/>
                <w:shd w:val="clear" w:color="auto" w:fill="auto"/>
              </w:rPr>
              <w:t>划，但位于居住区、商业交通居民混合区、文化区、工业区和农村地区</w:t>
            </w:r>
          </w:p>
        </w:tc>
        <w:tc>
          <w:tcPr>
            <w:tcW w:w="2234" w:type="dxa"/>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40"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50" w:type="dxa"/>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w:t>
            </w:r>
            <w:r>
              <w:rPr>
                <w:rFonts w:hint="default" w:ascii="Times New Roman" w:hAnsi="Times New Roman" w:cs="Times New Roman"/>
                <w:color w:val="auto"/>
                <w:sz w:val="20"/>
                <w:szCs w:val="20"/>
                <w:shd w:val="clear" w:color="auto" w:fill="auto"/>
                <w:lang w:val="en-US"/>
              </w:rPr>
              <w:t>区</w:t>
            </w:r>
            <w:r>
              <w:rPr>
                <w:rFonts w:hint="default" w:ascii="Times New Roman" w:hAnsi="Times New Roman" w:cs="Times New Roman"/>
                <w:color w:val="auto"/>
                <w:sz w:val="20"/>
                <w:szCs w:val="20"/>
                <w:shd w:val="clear" w:color="auto" w:fill="auto"/>
              </w:rPr>
              <w:t>划，但位于自然保护区、风景名胜区和其他需要特殊保护的区域</w:t>
            </w:r>
          </w:p>
        </w:tc>
        <w:tc>
          <w:tcPr>
            <w:tcW w:w="2234" w:type="dxa"/>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40" w:hRule="atLeast"/>
          <w:jc w:val="center"/>
        </w:trPr>
        <w:tc>
          <w:tcPr>
            <w:tcW w:w="1376"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污染防治设施建设情况</w:t>
            </w:r>
          </w:p>
        </w:tc>
        <w:tc>
          <w:tcPr>
            <w:tcW w:w="545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配套污染防治设施已建成的</w:t>
            </w:r>
          </w:p>
        </w:tc>
        <w:tc>
          <w:tcPr>
            <w:tcW w:w="223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5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配套污染防治设施正在建设的</w:t>
            </w:r>
          </w:p>
        </w:tc>
        <w:tc>
          <w:tcPr>
            <w:tcW w:w="223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5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配套污染防治设施尚未建设的</w:t>
            </w:r>
          </w:p>
        </w:tc>
        <w:tc>
          <w:tcPr>
            <w:tcW w:w="223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39" w:hRule="atLeast"/>
          <w:jc w:val="center"/>
        </w:trPr>
        <w:tc>
          <w:tcPr>
            <w:tcW w:w="1376"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持续时间</w:t>
            </w:r>
          </w:p>
        </w:tc>
        <w:tc>
          <w:tcPr>
            <w:tcW w:w="545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超过</w:t>
            </w:r>
            <w:r>
              <w:rPr>
                <w:rFonts w:hint="default" w:ascii="Times New Roman" w:hAnsi="Times New Roman" w:cs="Times New Roman"/>
                <w:color w:val="auto"/>
                <w:sz w:val="20"/>
                <w:szCs w:val="20"/>
                <w:shd w:val="clear" w:color="auto" w:fill="auto"/>
                <w:lang w:val="en-US" w:eastAsia="zh-CN"/>
              </w:rPr>
              <w:t>申请</w:t>
            </w:r>
            <w:r>
              <w:rPr>
                <w:rFonts w:hint="default" w:ascii="Times New Roman" w:hAnsi="Times New Roman" w:cs="Times New Roman"/>
                <w:color w:val="auto"/>
                <w:sz w:val="20"/>
                <w:szCs w:val="20"/>
                <w:shd w:val="clear" w:color="auto" w:fill="auto"/>
              </w:rPr>
              <w:t>时限1个月</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23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5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超过</w:t>
            </w:r>
            <w:r>
              <w:rPr>
                <w:rFonts w:hint="default" w:ascii="Times New Roman" w:hAnsi="Times New Roman" w:cs="Times New Roman"/>
                <w:color w:val="auto"/>
                <w:sz w:val="20"/>
                <w:szCs w:val="20"/>
                <w:shd w:val="clear" w:color="auto" w:fill="auto"/>
                <w:lang w:val="en-US" w:eastAsia="zh-CN"/>
              </w:rPr>
              <w:t>申请</w:t>
            </w:r>
            <w:r>
              <w:rPr>
                <w:rFonts w:hint="default" w:ascii="Times New Roman" w:hAnsi="Times New Roman" w:cs="Times New Roman"/>
                <w:color w:val="auto"/>
                <w:sz w:val="20"/>
                <w:szCs w:val="20"/>
                <w:shd w:val="clear" w:color="auto" w:fill="auto"/>
              </w:rPr>
              <w:t>时限1个月以上3个月以下的</w:t>
            </w:r>
          </w:p>
        </w:tc>
        <w:tc>
          <w:tcPr>
            <w:tcW w:w="223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40"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5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超过</w:t>
            </w:r>
            <w:r>
              <w:rPr>
                <w:rFonts w:hint="default" w:ascii="Times New Roman" w:hAnsi="Times New Roman" w:cs="Times New Roman"/>
                <w:color w:val="auto"/>
                <w:sz w:val="20"/>
                <w:szCs w:val="20"/>
                <w:shd w:val="clear" w:color="auto" w:fill="auto"/>
                <w:lang w:val="en-US" w:eastAsia="zh-CN"/>
              </w:rPr>
              <w:t>申请</w:t>
            </w:r>
            <w:r>
              <w:rPr>
                <w:rFonts w:hint="default" w:ascii="Times New Roman" w:hAnsi="Times New Roman" w:cs="Times New Roman"/>
                <w:color w:val="auto"/>
                <w:sz w:val="20"/>
                <w:szCs w:val="20"/>
                <w:shd w:val="clear" w:color="auto" w:fill="auto"/>
              </w:rPr>
              <w:t>时限3个月以上6个月以下的</w:t>
            </w:r>
          </w:p>
        </w:tc>
        <w:tc>
          <w:tcPr>
            <w:tcW w:w="223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5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超过</w:t>
            </w:r>
            <w:r>
              <w:rPr>
                <w:rFonts w:hint="default" w:ascii="Times New Roman" w:hAnsi="Times New Roman" w:cs="Times New Roman"/>
                <w:color w:val="auto"/>
                <w:sz w:val="20"/>
                <w:szCs w:val="20"/>
                <w:shd w:val="clear" w:color="auto" w:fill="auto"/>
                <w:lang w:val="en-US" w:eastAsia="zh-CN"/>
              </w:rPr>
              <w:t>申请</w:t>
            </w:r>
            <w:r>
              <w:rPr>
                <w:rFonts w:hint="default" w:ascii="Times New Roman" w:hAnsi="Times New Roman" w:cs="Times New Roman"/>
                <w:color w:val="auto"/>
                <w:sz w:val="20"/>
                <w:szCs w:val="20"/>
                <w:shd w:val="clear" w:color="auto" w:fill="auto"/>
              </w:rPr>
              <w:t>时限6个月以上1年以下的</w:t>
            </w:r>
          </w:p>
        </w:tc>
        <w:tc>
          <w:tcPr>
            <w:tcW w:w="223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40"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45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超过</w:t>
            </w:r>
            <w:r>
              <w:rPr>
                <w:rFonts w:hint="default" w:ascii="Times New Roman" w:hAnsi="Times New Roman" w:cs="Times New Roman"/>
                <w:color w:val="auto"/>
                <w:sz w:val="20"/>
                <w:szCs w:val="20"/>
                <w:shd w:val="clear" w:color="auto" w:fill="auto"/>
                <w:lang w:val="en-US" w:eastAsia="zh-CN"/>
              </w:rPr>
              <w:t>申请</w:t>
            </w:r>
            <w:r>
              <w:rPr>
                <w:rFonts w:hint="default" w:ascii="Times New Roman" w:hAnsi="Times New Roman" w:cs="Times New Roman"/>
                <w:color w:val="auto"/>
                <w:sz w:val="20"/>
                <w:szCs w:val="20"/>
                <w:shd w:val="clear" w:color="auto" w:fill="auto"/>
              </w:rPr>
              <w:t>时限1年以上的</w:t>
            </w:r>
          </w:p>
        </w:tc>
        <w:tc>
          <w:tcPr>
            <w:tcW w:w="223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4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2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4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2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4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4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2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45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23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40" w:hRule="atLeast"/>
          <w:jc w:val="center"/>
        </w:trPr>
        <w:tc>
          <w:tcPr>
            <w:tcW w:w="13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45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2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5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2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4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5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2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4</w:t>
            </w:r>
          </w:p>
        </w:tc>
      </w:tr>
      <w:tr>
        <w:trPr>
          <w:trHeight w:val="34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5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23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84"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r>
    </w:tbl>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r>
        <w:rPr>
          <w:rFonts w:ascii="Times New Roman" w:hAnsi="Times New Roman" w:cs="Times New Roman"/>
          <w:color w:val="auto"/>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5154"/>
        <w:gridCol w:w="2530"/>
      </w:tblGrid>
      <w:tr>
        <w:trPr>
          <w:trHeight w:val="340" w:hRule="atLeast"/>
          <w:jc w:val="center"/>
        </w:trPr>
        <w:tc>
          <w:tcPr>
            <w:tcW w:w="9060" w:type="dxa"/>
            <w:gridSpan w:val="3"/>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九</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排污许可管理类</w:t>
            </w:r>
          </w:p>
        </w:tc>
      </w:tr>
      <w:tr>
        <w:trPr>
          <w:trHeight w:val="340" w:hRule="atLeast"/>
          <w:jc w:val="center"/>
        </w:trPr>
        <w:tc>
          <w:tcPr>
            <w:tcW w:w="137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84" w:type="dxa"/>
            <w:gridSpan w:val="2"/>
            <w:vAlign w:val="center"/>
          </w:tcPr>
          <w:p>
            <w:pPr>
              <w:shd w:val="clear" w:color="auto" w:fill="auto"/>
              <w:wordWrap/>
              <w:adjustRightInd/>
              <w:snapToGrid w:val="0"/>
              <w:spacing w:before="0" w:beforeAutospacing="0" w:after="0" w:afterAutospacing="0" w:line="300" w:lineRule="exact"/>
              <w:ind w:left="0" w:right="0"/>
              <w:jc w:val="center"/>
              <w:textAlignment w:val="auto"/>
              <w:outlineLvl w:val="0"/>
              <w:rPr>
                <w:rFonts w:hint="default" w:ascii="Times New Roman" w:hAnsi="Times New Roman" w:cs="Times New Roman"/>
                <w:color w:val="auto"/>
                <w:sz w:val="20"/>
                <w:szCs w:val="20"/>
                <w:shd w:val="clear" w:color="auto" w:fill="auto"/>
              </w:rPr>
            </w:pPr>
            <w:bookmarkStart w:id="407" w:name="_Toc22047"/>
            <w:r>
              <w:rPr>
                <w:rFonts w:hint="default" w:ascii="Times New Roman" w:hAnsi="Times New Roman" w:cs="Times New Roman"/>
                <w:color w:val="auto"/>
                <w:sz w:val="20"/>
                <w:szCs w:val="20"/>
                <w:shd w:val="clear" w:color="auto" w:fill="auto"/>
              </w:rPr>
              <w:t>3</w:t>
            </w:r>
            <w:bookmarkEnd w:id="407"/>
          </w:p>
        </w:tc>
      </w:tr>
      <w:tr>
        <w:trPr>
          <w:trHeight w:val="340" w:hRule="atLeast"/>
          <w:jc w:val="center"/>
        </w:trPr>
        <w:tc>
          <w:tcPr>
            <w:tcW w:w="137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84" w:type="dxa"/>
            <w:gridSpan w:val="2"/>
            <w:vAlign w:val="center"/>
          </w:tcPr>
          <w:p>
            <w:pPr>
              <w:shd w:val="clear" w:color="auto" w:fill="auto"/>
              <w:wordWrap/>
              <w:adjustRightInd/>
              <w:snapToGrid w:val="0"/>
              <w:spacing w:before="0" w:beforeAutospacing="0" w:after="0" w:afterAutospacing="0" w:line="300" w:lineRule="exact"/>
              <w:ind w:left="0" w:right="0"/>
              <w:jc w:val="center"/>
              <w:textAlignment w:val="auto"/>
              <w:outlineLvl w:val="0"/>
              <w:rPr>
                <w:rFonts w:hint="default" w:ascii="Times New Roman" w:hAnsi="Times New Roman" w:eastAsia="宋体" w:cs="Times New Roman"/>
                <w:color w:val="auto"/>
                <w:sz w:val="20"/>
                <w:szCs w:val="20"/>
                <w:shd w:val="clear" w:color="auto" w:fill="auto"/>
                <w:lang w:eastAsia="zh-CN"/>
              </w:rPr>
            </w:pPr>
            <w:bookmarkStart w:id="408" w:name="_Toc22742"/>
            <w:r>
              <w:rPr>
                <w:rFonts w:hint="default" w:ascii="Times New Roman" w:hAnsi="Times New Roman" w:cs="Times New Roman"/>
                <w:color w:val="auto"/>
                <w:sz w:val="20"/>
                <w:szCs w:val="20"/>
                <w:shd w:val="clear" w:color="auto" w:fill="auto"/>
              </w:rPr>
              <w:t>被依法撤销、注销、吊销排污许可证后排放污染物</w:t>
            </w:r>
            <w:r>
              <w:rPr>
                <w:rFonts w:hint="default" w:ascii="Times New Roman" w:hAnsi="Times New Roman" w:cs="Times New Roman"/>
                <w:color w:val="auto"/>
                <w:sz w:val="20"/>
                <w:szCs w:val="20"/>
                <w:shd w:val="clear" w:color="auto" w:fill="auto"/>
                <w:lang w:eastAsia="zh-CN"/>
              </w:rPr>
              <w:t>的</w:t>
            </w:r>
            <w:bookmarkEnd w:id="408"/>
          </w:p>
        </w:tc>
      </w:tr>
      <w:tr>
        <w:trPr>
          <w:trHeight w:val="340" w:hRule="atLeast"/>
          <w:jc w:val="center"/>
        </w:trPr>
        <w:tc>
          <w:tcPr>
            <w:tcW w:w="137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84" w:type="dxa"/>
            <w:gridSpan w:val="2"/>
            <w:vAlign w:val="top"/>
          </w:tcPr>
          <w:p>
            <w:pPr>
              <w:pStyle w:val="19"/>
              <w:shd w:val="clear" w:color="auto" w:fill="auto"/>
              <w:wordWrap/>
              <w:adjustRightInd/>
              <w:snapToGrid w:val="0"/>
              <w:spacing w:before="0" w:beforeAutospacing="0" w:after="0" w:afterAutospacing="0" w:line="300" w:lineRule="exact"/>
              <w:ind w:left="0" w:right="0" w:firstLine="422" w:firstLineChars="20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《排污许可管理条例》 第二条第一款 </w:t>
            </w:r>
            <w:r>
              <w:rPr>
                <w:rFonts w:hint="default" w:ascii="Times New Roman" w:hAnsi="Times New Roman" w:cs="Times New Roman"/>
                <w:color w:val="auto"/>
                <w:sz w:val="21"/>
                <w:szCs w:val="21"/>
                <w:shd w:val="clear" w:color="auto" w:fill="auto"/>
              </w:rPr>
              <w:t>依照法律规定实行排污许可管理的企业事业单位和其他生产经营者（以下称排污单位），应当依照本条例规定申请取得排污许可证；未取得排污许可证的，不得排放污染物。</w:t>
            </w:r>
          </w:p>
        </w:tc>
      </w:tr>
      <w:tr>
        <w:trPr>
          <w:trHeight w:val="1237" w:hRule="atLeast"/>
          <w:jc w:val="center"/>
        </w:trPr>
        <w:tc>
          <w:tcPr>
            <w:tcW w:w="137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84" w:type="dxa"/>
            <w:gridSpan w:val="2"/>
            <w:vAlign w:val="top"/>
          </w:tcPr>
          <w:p>
            <w:pPr>
              <w:pStyle w:val="19"/>
              <w:shd w:val="clear" w:color="auto" w:fill="auto"/>
              <w:wordWrap/>
              <w:adjustRightInd/>
              <w:snapToGrid w:val="0"/>
              <w:spacing w:before="0" w:beforeAutospacing="0" w:after="0" w:afterAutospacing="0" w:line="30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《排污许可管理条例》第三十三条第三项 </w:t>
            </w:r>
            <w:r>
              <w:rPr>
                <w:rFonts w:hint="default" w:ascii="Times New Roman" w:hAnsi="Times New Roman" w:cs="Times New Roman"/>
                <w:color w:val="auto"/>
                <w:sz w:val="21"/>
                <w:szCs w:val="21"/>
                <w:shd w:val="clear" w:color="auto" w:fill="auto"/>
              </w:rPr>
              <w:t>违反本条例规定，排污单位有下列行为之一的，由生态环境主管部门责令改正或者限制生产、停产整治，处20万元以上100万元以下的罚款；情节严重的，报经有批准权的人民政府批准，责令停业、关闭：</w:t>
            </w:r>
          </w:p>
          <w:p>
            <w:pPr>
              <w:pStyle w:val="19"/>
              <w:numPr>
                <w:ilvl w:val="0"/>
                <w:numId w:val="16"/>
              </w:numPr>
              <w:shd w:val="clear" w:color="auto" w:fill="auto"/>
              <w:wordWrap/>
              <w:adjustRightInd/>
              <w:snapToGrid w:val="0"/>
              <w:spacing w:before="0" w:beforeAutospacing="0" w:after="0" w:afterAutospacing="0" w:line="30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被依法撤销、注销、吊销排污许可证后排放污染物；</w:t>
            </w:r>
          </w:p>
        </w:tc>
      </w:tr>
      <w:tr>
        <w:trPr>
          <w:trHeight w:val="425" w:hRule="atLeast"/>
          <w:jc w:val="center"/>
        </w:trPr>
        <w:tc>
          <w:tcPr>
            <w:tcW w:w="137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5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jc w:val="center"/>
        </w:trPr>
        <w:tc>
          <w:tcPr>
            <w:tcW w:w="1376"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★排污单位</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管理类别</w:t>
            </w:r>
          </w:p>
        </w:tc>
        <w:tc>
          <w:tcPr>
            <w:tcW w:w="515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简化管理</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425"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重点管理</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425" w:hRule="atLeast"/>
          <w:jc w:val="center"/>
        </w:trPr>
        <w:tc>
          <w:tcPr>
            <w:tcW w:w="1376"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污染物类别</w:t>
            </w:r>
          </w:p>
        </w:tc>
        <w:tc>
          <w:tcPr>
            <w:tcW w:w="515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 xml:space="preserve">汽车修理废气/畜禽养殖废气/机械、生活废水 </w:t>
            </w:r>
            <w:r>
              <w:rPr>
                <w:rFonts w:hint="eastAsia" w:ascii="Times New Roman" w:hAnsi="Times New Roman" w:cs="Times New Roman"/>
                <w:color w:val="auto"/>
                <w:sz w:val="20"/>
                <w:szCs w:val="20"/>
                <w:shd w:val="clear" w:color="auto" w:fill="auto"/>
                <w:lang w:val="en-US" w:eastAsia="zh-CN"/>
              </w:rPr>
              <w:t>/规模以下畜禽养殖废水</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 xml:space="preserve">农业生产、工业扬尘废气/燃煤锅炉废气/服务业废水 </w:t>
            </w:r>
            <w:r>
              <w:rPr>
                <w:rFonts w:hint="eastAsia" w:ascii="Times New Roman" w:hAnsi="Times New Roman" w:cs="Times New Roman"/>
                <w:color w:val="auto"/>
                <w:sz w:val="20"/>
                <w:szCs w:val="20"/>
                <w:shd w:val="clear" w:color="auto" w:fill="auto"/>
                <w:lang w:val="en-US" w:eastAsia="zh-CN"/>
              </w:rPr>
              <w:t>/规模化畜禽养殖废水</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一般工业废气/含恶臭污染物的废气/医疗废气/实验室废气/一般工业废水/第</w:t>
            </w:r>
            <w:r>
              <w:rPr>
                <w:rFonts w:hint="default" w:ascii="Times New Roman" w:hAnsi="Times New Roman" w:eastAsia="宋体" w:cs="Times New Roman"/>
                <w:color w:val="auto"/>
                <w:sz w:val="20"/>
                <w:szCs w:val="20"/>
                <w:shd w:val="clear" w:color="auto" w:fill="auto"/>
              </w:rPr>
              <w:t>Ⅰ</w:t>
            </w:r>
            <w:r>
              <w:rPr>
                <w:rFonts w:hint="default" w:ascii="Times New Roman" w:hAnsi="Times New Roman" w:cs="Times New Roman"/>
                <w:color w:val="auto"/>
                <w:sz w:val="20"/>
                <w:szCs w:val="20"/>
                <w:shd w:val="clear" w:color="auto" w:fill="auto"/>
              </w:rPr>
              <w:t>类一般工业固体废物</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火电、钢铁、石化、水泥、炼焦、有色、化工废气、烟尘/含其他有毒有害物质的废水、医疗废水</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含有毒有害物质的废气/含一类污染物或重金属、病原体、放射性物质的废水/危险废物/Ⅱ类一般工业固体废物</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76"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地点</w:t>
            </w:r>
          </w:p>
        </w:tc>
        <w:tc>
          <w:tcPr>
            <w:tcW w:w="5154" w:type="dxa"/>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w:t>
            </w:r>
            <w:r>
              <w:rPr>
                <w:rFonts w:hint="default" w:ascii="Times New Roman" w:hAnsi="Times New Roman" w:cs="Times New Roman"/>
                <w:color w:val="auto"/>
                <w:sz w:val="20"/>
                <w:szCs w:val="20"/>
                <w:shd w:val="clear" w:color="auto" w:fill="auto"/>
                <w:lang w:val="en-US"/>
              </w:rPr>
              <w:t>区</w:t>
            </w:r>
            <w:r>
              <w:rPr>
                <w:rFonts w:hint="default" w:ascii="Times New Roman" w:hAnsi="Times New Roman" w:cs="Times New Roman"/>
                <w:color w:val="auto"/>
                <w:sz w:val="20"/>
                <w:szCs w:val="20"/>
                <w:shd w:val="clear" w:color="auto" w:fill="auto"/>
              </w:rPr>
              <w:t>划</w:t>
            </w:r>
          </w:p>
        </w:tc>
        <w:tc>
          <w:tcPr>
            <w:tcW w:w="2530" w:type="dxa"/>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sz w:val="20"/>
                <w:szCs w:val="20"/>
                <w:shd w:val="clear" w:color="auto" w:fill="auto"/>
                <w:lang w:val="en-US" w:eastAsia="zh-CN"/>
              </w:rPr>
              <w:t>1</w:t>
            </w:r>
          </w:p>
        </w:tc>
      </w:tr>
      <w:tr>
        <w:trPr>
          <w:trHeight w:val="425"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4" w:type="dxa"/>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w:t>
            </w:r>
            <w:r>
              <w:rPr>
                <w:rFonts w:hint="default" w:ascii="Times New Roman" w:hAnsi="Times New Roman" w:cs="Times New Roman"/>
                <w:color w:val="auto"/>
                <w:sz w:val="20"/>
                <w:szCs w:val="20"/>
                <w:shd w:val="clear" w:color="auto" w:fill="auto"/>
                <w:lang w:val="en-US"/>
              </w:rPr>
              <w:t>区</w:t>
            </w:r>
            <w:r>
              <w:rPr>
                <w:rFonts w:hint="default" w:ascii="Times New Roman" w:hAnsi="Times New Roman" w:cs="Times New Roman"/>
                <w:color w:val="auto"/>
                <w:sz w:val="20"/>
                <w:szCs w:val="20"/>
                <w:shd w:val="clear" w:color="auto" w:fill="auto"/>
              </w:rPr>
              <w:t>划，但位于居住区、商业交通居民混合区、文化区、工业区和农村地区</w:t>
            </w:r>
          </w:p>
        </w:tc>
        <w:tc>
          <w:tcPr>
            <w:tcW w:w="2530" w:type="dxa"/>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25"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4" w:type="dxa"/>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w:t>
            </w:r>
            <w:r>
              <w:rPr>
                <w:rFonts w:hint="default" w:ascii="Times New Roman" w:hAnsi="Times New Roman" w:cs="Times New Roman"/>
                <w:color w:val="auto"/>
                <w:sz w:val="20"/>
                <w:szCs w:val="20"/>
                <w:shd w:val="clear" w:color="auto" w:fill="auto"/>
                <w:lang w:val="en-US"/>
              </w:rPr>
              <w:t>区</w:t>
            </w:r>
            <w:r>
              <w:rPr>
                <w:rFonts w:hint="default" w:ascii="Times New Roman" w:hAnsi="Times New Roman" w:cs="Times New Roman"/>
                <w:color w:val="auto"/>
                <w:sz w:val="20"/>
                <w:szCs w:val="20"/>
                <w:shd w:val="clear" w:color="auto" w:fill="auto"/>
              </w:rPr>
              <w:t>划，但位于自然保护区、风景名胜区和其他需要特殊保护的区域</w:t>
            </w:r>
          </w:p>
        </w:tc>
        <w:tc>
          <w:tcPr>
            <w:tcW w:w="2530" w:type="dxa"/>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425" w:hRule="atLeast"/>
          <w:jc w:val="center"/>
        </w:trPr>
        <w:tc>
          <w:tcPr>
            <w:tcW w:w="1376"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污染防治设施建设情况</w:t>
            </w:r>
          </w:p>
        </w:tc>
        <w:tc>
          <w:tcPr>
            <w:tcW w:w="515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配套污染防治设施已建成的</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配套污染防治设施正在建设的</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76"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5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配套污染防治设施尚未建设的</w:t>
            </w:r>
          </w:p>
        </w:tc>
        <w:tc>
          <w:tcPr>
            <w:tcW w:w="25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76" w:type="dxa"/>
            <w:vMerge w:val="restart"/>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54"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530"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jc w:val="center"/>
        </w:trPr>
        <w:tc>
          <w:tcPr>
            <w:tcW w:w="1376"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54"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530"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jc w:val="center"/>
        </w:trPr>
        <w:tc>
          <w:tcPr>
            <w:tcW w:w="1376"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54"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530"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jc w:val="center"/>
        </w:trPr>
        <w:tc>
          <w:tcPr>
            <w:tcW w:w="1376"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54"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530"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jc w:val="center"/>
        </w:trPr>
        <w:tc>
          <w:tcPr>
            <w:tcW w:w="1376"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54"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530"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40" w:hRule="atLeast"/>
          <w:jc w:val="center"/>
        </w:trPr>
        <w:tc>
          <w:tcPr>
            <w:tcW w:w="13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1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5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1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5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4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1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5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1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5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40" w:hRule="atLeast"/>
          <w:jc w:val="center"/>
        </w:trPr>
        <w:tc>
          <w:tcPr>
            <w:tcW w:w="13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5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5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5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5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5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9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5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4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5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84"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r>
    </w:tbl>
    <w:p>
      <w:pPr>
        <w:shd w:val="clear" w:color="auto" w:fill="auto"/>
        <w:spacing w:line="590" w:lineRule="exact"/>
        <w:ind w:firstLine="640" w:firstLineChars="200"/>
        <w:outlineLvl w:val="9"/>
        <w:rPr>
          <w:rFonts w:hint="default" w:ascii="Times New Roman" w:hAnsi="Times New Roman" w:eastAsia="方正仿宋_GBK" w:cs="Times New Roman"/>
          <w:color w:val="auto"/>
          <w:sz w:val="32"/>
          <w:szCs w:val="32"/>
          <w:shd w:val="clear" w:color="auto" w:fill="auto"/>
          <w:lang w:val="en-US" w:eastAsia="zh-CN"/>
        </w:rPr>
      </w:pPr>
    </w:p>
    <w:p>
      <w:pPr>
        <w:shd w:val="clear" w:color="auto" w:fill="auto"/>
        <w:spacing w:line="590" w:lineRule="exact"/>
        <w:ind w:firstLine="640" w:firstLineChars="200"/>
        <w:outlineLvl w:val="9"/>
        <w:rPr>
          <w:rFonts w:hint="default" w:ascii="Times New Roman" w:hAnsi="Times New Roman" w:eastAsia="方正仿宋_GBK" w:cs="Times New Roman"/>
          <w:color w:val="auto"/>
          <w:sz w:val="32"/>
          <w:szCs w:val="32"/>
          <w:shd w:val="clear" w:color="auto" w:fill="auto"/>
          <w:lang w:val="en-US" w:eastAsia="zh-CN"/>
        </w:rPr>
      </w:pPr>
    </w:p>
    <w:p>
      <w:pPr>
        <w:shd w:val="clear" w:color="auto" w:fill="auto"/>
        <w:spacing w:line="590" w:lineRule="exact"/>
        <w:ind w:firstLine="640" w:firstLineChars="200"/>
        <w:outlineLvl w:val="9"/>
        <w:rPr>
          <w:rFonts w:hint="default" w:ascii="Times New Roman" w:hAnsi="Times New Roman" w:eastAsia="方正仿宋_GBK" w:cs="Times New Roman"/>
          <w:color w:val="auto"/>
          <w:sz w:val="32"/>
          <w:szCs w:val="32"/>
          <w:shd w:val="clear" w:color="auto" w:fill="auto"/>
          <w:lang w:val="en-US" w:eastAsia="zh-CN"/>
        </w:rPr>
      </w:pPr>
    </w:p>
    <w:p>
      <w:pPr>
        <w:shd w:val="clear" w:color="auto" w:fill="auto"/>
        <w:spacing w:line="590" w:lineRule="exact"/>
        <w:ind w:firstLine="640" w:firstLineChars="200"/>
        <w:outlineLvl w:val="9"/>
        <w:rPr>
          <w:rFonts w:hint="default" w:ascii="Times New Roman" w:hAnsi="Times New Roman" w:eastAsia="方正仿宋_GBK" w:cs="Times New Roman"/>
          <w:color w:val="auto"/>
          <w:sz w:val="32"/>
          <w:szCs w:val="32"/>
          <w:shd w:val="clear" w:color="auto" w:fill="auto"/>
          <w:lang w:val="en-US" w:eastAsia="zh-CN"/>
        </w:rPr>
      </w:pPr>
    </w:p>
    <w:p>
      <w:pPr>
        <w:shd w:val="clear" w:color="auto" w:fill="auto"/>
        <w:spacing w:line="590" w:lineRule="exact"/>
        <w:ind w:firstLine="640" w:firstLineChars="200"/>
        <w:outlineLvl w:val="9"/>
        <w:rPr>
          <w:rFonts w:hint="default" w:ascii="Times New Roman" w:hAnsi="Times New Roman" w:eastAsia="方正仿宋_GBK" w:cs="Times New Roman"/>
          <w:color w:val="auto"/>
          <w:sz w:val="32"/>
          <w:szCs w:val="32"/>
          <w:shd w:val="clear" w:color="auto" w:fill="auto"/>
          <w:lang w:val="en-US" w:eastAsia="zh-CN"/>
        </w:rPr>
      </w:pPr>
    </w:p>
    <w:p>
      <w:pPr>
        <w:shd w:val="clear" w:color="auto" w:fill="auto"/>
        <w:spacing w:line="200" w:lineRule="exact"/>
        <w:ind w:firstLine="640" w:firstLineChars="200"/>
        <w:outlineLvl w:val="9"/>
        <w:rPr>
          <w:rFonts w:hint="default" w:ascii="Times New Roman" w:hAnsi="Times New Roman" w:eastAsia="方正仿宋_GBK" w:cs="Times New Roman"/>
          <w:color w:val="auto"/>
          <w:sz w:val="32"/>
          <w:szCs w:val="32"/>
          <w:shd w:val="clear" w:color="auto" w:fill="auto"/>
          <w:lang w:val="en-US" w:eastAsia="zh-CN"/>
        </w:rPr>
      </w:pPr>
      <w:r>
        <w:rPr>
          <w:rFonts w:hint="default" w:ascii="Times New Roman" w:hAnsi="Times New Roman" w:eastAsia="方正仿宋_GBK" w:cs="Times New Roman"/>
          <w:color w:val="auto"/>
          <w:sz w:val="32"/>
          <w:szCs w:val="32"/>
          <w:shd w:val="clear" w:color="auto" w:fill="auto"/>
          <w:lang w:val="en-US" w:eastAsia="zh-CN"/>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5154"/>
        <w:gridCol w:w="236"/>
        <w:gridCol w:w="2294"/>
      </w:tblGrid>
      <w:tr>
        <w:trPr>
          <w:trHeight w:val="340" w:hRule="atLeast"/>
          <w:jc w:val="center"/>
        </w:trPr>
        <w:tc>
          <w:tcPr>
            <w:tcW w:w="9060" w:type="dxa"/>
            <w:gridSpan w:val="4"/>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九</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排污许可管理类</w:t>
            </w:r>
          </w:p>
        </w:tc>
      </w:tr>
      <w:tr>
        <w:trPr>
          <w:trHeight w:val="340" w:hRule="atLeast"/>
          <w:jc w:val="center"/>
        </w:trPr>
        <w:tc>
          <w:tcPr>
            <w:tcW w:w="1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84" w:type="dxa"/>
            <w:gridSpan w:val="3"/>
            <w:vAlign w:val="center"/>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cs="Times New Roman"/>
                <w:color w:val="auto"/>
                <w:sz w:val="20"/>
                <w:szCs w:val="20"/>
                <w:shd w:val="clear" w:color="auto" w:fill="auto"/>
              </w:rPr>
            </w:pPr>
            <w:bookmarkStart w:id="409" w:name="_Toc1736"/>
            <w:r>
              <w:rPr>
                <w:rFonts w:hint="default" w:ascii="Times New Roman" w:hAnsi="Times New Roman" w:cs="Times New Roman"/>
                <w:color w:val="auto"/>
                <w:sz w:val="20"/>
                <w:szCs w:val="20"/>
                <w:shd w:val="clear" w:color="auto" w:fill="auto"/>
              </w:rPr>
              <w:t>4</w:t>
            </w:r>
            <w:bookmarkEnd w:id="409"/>
          </w:p>
        </w:tc>
      </w:tr>
      <w:tr>
        <w:trPr>
          <w:trHeight w:val="340" w:hRule="atLeast"/>
          <w:jc w:val="center"/>
        </w:trPr>
        <w:tc>
          <w:tcPr>
            <w:tcW w:w="1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84" w:type="dxa"/>
            <w:gridSpan w:val="3"/>
            <w:vAlign w:val="center"/>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eastAsia="宋体" w:cs="Times New Roman"/>
                <w:color w:val="auto"/>
                <w:sz w:val="20"/>
                <w:szCs w:val="20"/>
                <w:shd w:val="clear" w:color="auto" w:fill="auto"/>
                <w:lang w:eastAsia="zh-CN"/>
              </w:rPr>
            </w:pPr>
            <w:bookmarkStart w:id="410" w:name="_Toc13661"/>
            <w:r>
              <w:rPr>
                <w:rFonts w:hint="default" w:ascii="Times New Roman" w:hAnsi="Times New Roman" w:cs="Times New Roman"/>
                <w:color w:val="auto"/>
                <w:sz w:val="20"/>
                <w:szCs w:val="20"/>
                <w:shd w:val="clear" w:color="auto" w:fill="auto"/>
              </w:rPr>
              <w:t>依法应当重新申请取得排污许可证，未重新申请取得排污许可证排放污染物</w:t>
            </w:r>
            <w:r>
              <w:rPr>
                <w:rFonts w:hint="default" w:ascii="Times New Roman" w:hAnsi="Times New Roman" w:cs="Times New Roman"/>
                <w:color w:val="auto"/>
                <w:sz w:val="20"/>
                <w:szCs w:val="20"/>
                <w:shd w:val="clear" w:color="auto" w:fill="auto"/>
                <w:lang w:eastAsia="zh-CN"/>
              </w:rPr>
              <w:t>的</w:t>
            </w:r>
            <w:bookmarkEnd w:id="410"/>
          </w:p>
        </w:tc>
      </w:tr>
      <w:tr>
        <w:trPr>
          <w:trHeight w:val="340" w:hRule="atLeast"/>
          <w:jc w:val="center"/>
        </w:trPr>
        <w:tc>
          <w:tcPr>
            <w:tcW w:w="1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84" w:type="dxa"/>
            <w:gridSpan w:val="3"/>
            <w:vAlign w:val="top"/>
          </w:tcPr>
          <w:p>
            <w:pPr>
              <w:pStyle w:val="19"/>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《排污许可管理条例》 第二条第一款</w:t>
            </w:r>
            <w:r>
              <w:rPr>
                <w:rFonts w:hint="default" w:ascii="Times New Roman" w:hAnsi="Times New Roman" w:cs="Times New Roman"/>
                <w:color w:val="auto"/>
                <w:sz w:val="21"/>
                <w:szCs w:val="21"/>
                <w:shd w:val="clear" w:color="auto" w:fill="auto"/>
              </w:rPr>
              <w:t xml:space="preserve"> 依照法律规定实行排污许可管理的企业事业单位和其他生产经营者（以下称排污单位），应当依照本条例规定申请取得排污许可证；未取得排污许可证的，不得排放污染物。</w:t>
            </w:r>
          </w:p>
          <w:p>
            <w:pPr>
              <w:pStyle w:val="19"/>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《排污许可管理条例》 第十五条 </w:t>
            </w:r>
            <w:r>
              <w:rPr>
                <w:rFonts w:hint="default" w:ascii="Times New Roman" w:hAnsi="Times New Roman" w:cs="Times New Roman"/>
                <w:color w:val="auto"/>
                <w:sz w:val="21"/>
                <w:szCs w:val="21"/>
                <w:shd w:val="clear" w:color="auto" w:fill="auto"/>
              </w:rPr>
              <w:t>在排污许可证有效期内，排污单位有下列情形之一的，应当重新申请取得排污许可证：</w:t>
            </w:r>
          </w:p>
          <w:p>
            <w:pPr>
              <w:pStyle w:val="19"/>
              <w:shd w:val="clear" w:color="auto" w:fill="auto"/>
              <w:snapToGrid w:val="0"/>
              <w:spacing w:before="0" w:beforeAutospacing="0" w:after="0" w:afterAutospacing="0" w:line="320" w:lineRule="exact"/>
              <w:ind w:left="0" w:right="0" w:firstLine="420" w:firstLineChars="20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（一）新建、改建、扩建排放污染物的项目；</w:t>
            </w:r>
          </w:p>
          <w:p>
            <w:pPr>
              <w:pStyle w:val="19"/>
              <w:shd w:val="clear" w:color="auto" w:fill="auto"/>
              <w:snapToGrid w:val="0"/>
              <w:spacing w:before="0" w:beforeAutospacing="0" w:after="0" w:afterAutospacing="0" w:line="320" w:lineRule="exact"/>
              <w:ind w:left="0" w:right="0" w:firstLine="420" w:firstLineChars="20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（二）生产经营场所、污染物排放口位置或者污染物排放方式、排放去向发生变化；</w:t>
            </w:r>
          </w:p>
          <w:p>
            <w:pPr>
              <w:pStyle w:val="19"/>
              <w:shd w:val="clear" w:color="auto" w:fill="auto"/>
              <w:snapToGrid w:val="0"/>
              <w:spacing w:before="0" w:beforeAutospacing="0" w:after="0" w:afterAutospacing="0" w:line="320" w:lineRule="exact"/>
              <w:ind w:left="0" w:right="0" w:firstLine="420" w:firstLineChars="20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（三）污染物排放口数量或者污染物排放种类、排放量、排放浓度增加。</w:t>
            </w:r>
          </w:p>
        </w:tc>
      </w:tr>
      <w:tr>
        <w:trPr>
          <w:trHeight w:val="1237" w:hRule="atLeast"/>
          <w:jc w:val="center"/>
        </w:trPr>
        <w:tc>
          <w:tcPr>
            <w:tcW w:w="1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84" w:type="dxa"/>
            <w:gridSpan w:val="3"/>
            <w:vAlign w:val="top"/>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《排污许可管理条例》第三十三条第四项 </w:t>
            </w:r>
            <w:r>
              <w:rPr>
                <w:rFonts w:hint="default" w:ascii="Times New Roman" w:hAnsi="Times New Roman" w:cs="Times New Roman"/>
                <w:color w:val="auto"/>
                <w:sz w:val="21"/>
                <w:szCs w:val="21"/>
                <w:shd w:val="clear" w:color="auto" w:fill="auto"/>
              </w:rPr>
              <w:t>违反本条例规定，排污单位有下列行为之一的，由生态环境主管部门责令改正或者限制生产、停产整治，处20万元以上100万元以下的罚款；情节严重的，报经有批准权的人民政府批准，责令停业、关闭：</w:t>
            </w:r>
          </w:p>
          <w:p>
            <w:pPr>
              <w:shd w:val="clear" w:color="auto" w:fill="auto"/>
              <w:spacing w:before="0" w:beforeAutospacing="0" w:after="0" w:afterAutospacing="0" w:line="320" w:lineRule="exact"/>
              <w:ind w:left="0" w:right="0" w:firstLine="420" w:firstLineChars="200"/>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kern w:val="0"/>
                <w:sz w:val="20"/>
                <w:szCs w:val="21"/>
                <w:shd w:val="clear" w:color="auto" w:fill="auto"/>
              </w:rPr>
              <w:t>（四）依法应当重新申请取得排污许可证，未重新申请取得排污许可证排放污染物</w:t>
            </w:r>
            <w:r>
              <w:rPr>
                <w:rFonts w:hint="default" w:ascii="Times New Roman" w:hAnsi="Times New Roman" w:cs="Times New Roman"/>
                <w:color w:val="auto"/>
                <w:kern w:val="0"/>
                <w:sz w:val="20"/>
                <w:szCs w:val="21"/>
                <w:shd w:val="clear" w:color="auto" w:fill="auto"/>
                <w:lang w:eastAsia="zh-CN"/>
              </w:rPr>
              <w:t>；</w:t>
            </w:r>
          </w:p>
        </w:tc>
      </w:tr>
      <w:tr>
        <w:trPr>
          <w:trHeight w:val="340" w:hRule="atLeast"/>
          <w:jc w:val="center"/>
        </w:trPr>
        <w:tc>
          <w:tcPr>
            <w:tcW w:w="1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390"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2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40" w:hRule="atLeast"/>
          <w:jc w:val="center"/>
        </w:trPr>
        <w:tc>
          <w:tcPr>
            <w:tcW w:w="13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★排污单位</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管理类别</w:t>
            </w:r>
          </w:p>
        </w:tc>
        <w:tc>
          <w:tcPr>
            <w:tcW w:w="5390"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简化管理</w:t>
            </w:r>
          </w:p>
        </w:tc>
        <w:tc>
          <w:tcPr>
            <w:tcW w:w="22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4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0"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重点管理</w:t>
            </w:r>
          </w:p>
        </w:tc>
        <w:tc>
          <w:tcPr>
            <w:tcW w:w="22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40" w:hRule="atLeast"/>
          <w:jc w:val="center"/>
        </w:trPr>
        <w:tc>
          <w:tcPr>
            <w:tcW w:w="13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w:t>
            </w:r>
            <w:r>
              <w:rPr>
                <w:rFonts w:hint="default" w:ascii="Times New Roman" w:hAnsi="Times New Roman" w:cs="Times New Roman"/>
                <w:b/>
                <w:bCs/>
                <w:color w:val="auto"/>
                <w:sz w:val="20"/>
                <w:szCs w:val="20"/>
                <w:shd w:val="clear" w:color="auto" w:fill="auto"/>
                <w:lang w:val="en-US"/>
              </w:rPr>
              <w:t>行为</w:t>
            </w:r>
          </w:p>
        </w:tc>
        <w:tc>
          <w:tcPr>
            <w:tcW w:w="5390"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新建、改建、扩建项目已建成</w:t>
            </w:r>
            <w:r>
              <w:rPr>
                <w:rFonts w:hint="default" w:ascii="Times New Roman" w:hAnsi="Times New Roman" w:cs="Times New Roman"/>
                <w:color w:val="auto"/>
                <w:sz w:val="20"/>
                <w:szCs w:val="20"/>
                <w:shd w:val="clear" w:color="auto" w:fill="auto"/>
                <w:lang w:eastAsia="zh-CN"/>
              </w:rPr>
              <w:t>、</w:t>
            </w:r>
            <w:r>
              <w:rPr>
                <w:rFonts w:hint="default" w:ascii="Times New Roman" w:hAnsi="Times New Roman" w:cs="Times New Roman"/>
                <w:color w:val="auto"/>
                <w:sz w:val="20"/>
                <w:szCs w:val="20"/>
                <w:shd w:val="clear" w:color="auto" w:fill="auto"/>
              </w:rPr>
              <w:t>未产生污染物</w:t>
            </w:r>
          </w:p>
        </w:tc>
        <w:tc>
          <w:tcPr>
            <w:tcW w:w="22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0"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1"/>
                <w:shd w:val="clear" w:color="auto" w:fill="auto"/>
              </w:rPr>
              <w:t>生产经营场所变更、污染物排放口位置</w:t>
            </w:r>
            <w:r>
              <w:rPr>
                <w:rFonts w:hint="default" w:ascii="Times New Roman" w:hAnsi="Times New Roman" w:cs="Times New Roman"/>
                <w:color w:val="auto"/>
                <w:sz w:val="20"/>
                <w:szCs w:val="21"/>
                <w:shd w:val="clear" w:color="auto" w:fill="auto"/>
                <w:lang w:eastAsia="zh-CN"/>
              </w:rPr>
              <w:t>发生变化</w:t>
            </w:r>
            <w:r>
              <w:rPr>
                <w:rFonts w:hint="default" w:ascii="Times New Roman" w:hAnsi="Times New Roman" w:cs="Times New Roman"/>
                <w:color w:val="auto"/>
                <w:sz w:val="20"/>
                <w:szCs w:val="21"/>
                <w:shd w:val="clear" w:color="auto" w:fill="auto"/>
                <w:lang w:val="en-US"/>
              </w:rPr>
              <w:t>或</w:t>
            </w:r>
            <w:r>
              <w:rPr>
                <w:rFonts w:hint="default" w:ascii="Times New Roman" w:hAnsi="Times New Roman" w:cs="Times New Roman"/>
                <w:color w:val="auto"/>
                <w:sz w:val="20"/>
                <w:szCs w:val="21"/>
                <w:shd w:val="clear" w:color="auto" w:fill="auto"/>
              </w:rPr>
              <w:t>污染物排放方式、排放去向发生变化</w:t>
            </w:r>
          </w:p>
        </w:tc>
        <w:tc>
          <w:tcPr>
            <w:tcW w:w="22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4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0"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1"/>
                <w:shd w:val="clear" w:color="auto" w:fill="auto"/>
              </w:rPr>
              <w:t>污染物排放口数量或者污染物排放种类、排放量、排放浓度增加</w:t>
            </w:r>
          </w:p>
        </w:tc>
        <w:tc>
          <w:tcPr>
            <w:tcW w:w="22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5</w:t>
            </w:r>
          </w:p>
        </w:tc>
      </w:tr>
      <w:tr>
        <w:trPr>
          <w:trHeight w:val="340" w:hRule="atLeast"/>
          <w:jc w:val="center"/>
        </w:trPr>
        <w:tc>
          <w:tcPr>
            <w:tcW w:w="13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污染物类别</w:t>
            </w:r>
          </w:p>
        </w:tc>
        <w:tc>
          <w:tcPr>
            <w:tcW w:w="5390"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1"/>
                <w:shd w:val="clear" w:color="auto" w:fill="auto"/>
              </w:rPr>
              <w:t>汽车修理废气/畜禽养殖废气/机械、生活废水</w:t>
            </w:r>
            <w:r>
              <w:rPr>
                <w:rFonts w:hint="eastAsia" w:ascii="Times New Roman" w:hAnsi="Times New Roman" w:cs="Times New Roman"/>
                <w:color w:val="auto"/>
                <w:sz w:val="20"/>
                <w:szCs w:val="20"/>
                <w:shd w:val="clear" w:color="auto" w:fill="auto"/>
                <w:lang w:val="en-US" w:eastAsia="zh-CN"/>
              </w:rPr>
              <w:t>/规模以下畜禽养殖废水</w:t>
            </w:r>
          </w:p>
        </w:tc>
        <w:tc>
          <w:tcPr>
            <w:tcW w:w="22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0"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1"/>
                <w:shd w:val="clear" w:color="auto" w:fill="auto"/>
              </w:rPr>
              <w:t>农业生产、工业扬尘废气/燃煤锅炉废气/服务业废水</w:t>
            </w:r>
            <w:r>
              <w:rPr>
                <w:rFonts w:hint="default" w:ascii="Times New Roman" w:hAnsi="Times New Roman" w:cs="Times New Roman"/>
                <w:color w:val="auto"/>
                <w:sz w:val="20"/>
                <w:szCs w:val="20"/>
                <w:shd w:val="clear" w:color="auto" w:fill="auto"/>
              </w:rPr>
              <w:t xml:space="preserve"> </w:t>
            </w:r>
            <w:r>
              <w:rPr>
                <w:rFonts w:hint="eastAsia" w:ascii="Times New Roman" w:hAnsi="Times New Roman" w:cs="Times New Roman"/>
                <w:color w:val="auto"/>
                <w:sz w:val="20"/>
                <w:szCs w:val="20"/>
                <w:shd w:val="clear" w:color="auto" w:fill="auto"/>
                <w:lang w:val="en-US" w:eastAsia="zh-CN"/>
              </w:rPr>
              <w:t>/规模化畜禽养殖废水</w:t>
            </w:r>
          </w:p>
        </w:tc>
        <w:tc>
          <w:tcPr>
            <w:tcW w:w="22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07"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0"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1"/>
                <w:shd w:val="clear" w:color="auto" w:fill="auto"/>
              </w:rPr>
              <w:t>一般工业废气/含恶臭污染物的废气/医疗废气/实验室废气/一般工业废水/第Ⅰ类一般工业固体废物</w:t>
            </w:r>
          </w:p>
        </w:tc>
        <w:tc>
          <w:tcPr>
            <w:tcW w:w="22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03"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0"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1"/>
                <w:shd w:val="clear" w:color="auto" w:fill="auto"/>
              </w:rPr>
              <w:t>火电、钢铁、石化、水泥、炼焦、有色、化工废气、烟尘/含其他有毒有害物质的废水、医疗废水</w:t>
            </w:r>
          </w:p>
        </w:tc>
        <w:tc>
          <w:tcPr>
            <w:tcW w:w="22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4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0"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1"/>
                <w:shd w:val="clear" w:color="auto" w:fill="auto"/>
              </w:rPr>
              <w:t>含有毒有害物质的废气/含一类污染物或重金属、病原体、放射性物质的废水/危险废物/Ⅱ类一般工业固体废物</w:t>
            </w:r>
          </w:p>
        </w:tc>
        <w:tc>
          <w:tcPr>
            <w:tcW w:w="229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地点</w:t>
            </w:r>
          </w:p>
        </w:tc>
        <w:tc>
          <w:tcPr>
            <w:tcW w:w="5390" w:type="dxa"/>
            <w:gridSpan w:val="2"/>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0"/>
                <w:shd w:val="clear" w:color="auto" w:fill="auto"/>
              </w:rPr>
              <w:t>符合环境功能</w:t>
            </w:r>
            <w:r>
              <w:rPr>
                <w:rFonts w:hint="default" w:ascii="Times New Roman" w:hAnsi="Times New Roman" w:cs="Times New Roman"/>
                <w:color w:val="auto"/>
                <w:sz w:val="20"/>
                <w:szCs w:val="20"/>
                <w:shd w:val="clear" w:color="auto" w:fill="auto"/>
                <w:lang w:val="en-US"/>
              </w:rPr>
              <w:t>区</w:t>
            </w:r>
            <w:r>
              <w:rPr>
                <w:rFonts w:hint="default" w:ascii="Times New Roman" w:hAnsi="Times New Roman" w:cs="Times New Roman"/>
                <w:color w:val="auto"/>
                <w:sz w:val="20"/>
                <w:szCs w:val="20"/>
                <w:shd w:val="clear" w:color="auto" w:fill="auto"/>
              </w:rPr>
              <w:t>划</w:t>
            </w:r>
          </w:p>
        </w:tc>
        <w:tc>
          <w:tcPr>
            <w:tcW w:w="2294" w:type="dxa"/>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sz w:val="20"/>
                <w:szCs w:val="20"/>
                <w:shd w:val="clear" w:color="auto" w:fill="auto"/>
                <w:lang w:val="en-US" w:eastAsia="zh-CN"/>
              </w:rPr>
              <w:t>1</w:t>
            </w:r>
          </w:p>
        </w:tc>
      </w:tr>
      <w:tr>
        <w:trPr>
          <w:trHeight w:val="34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0" w:type="dxa"/>
            <w:gridSpan w:val="2"/>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w:t>
            </w:r>
            <w:r>
              <w:rPr>
                <w:rFonts w:hint="default" w:ascii="Times New Roman" w:hAnsi="Times New Roman" w:cs="Times New Roman"/>
                <w:color w:val="auto"/>
                <w:sz w:val="20"/>
                <w:szCs w:val="20"/>
                <w:shd w:val="clear" w:color="auto" w:fill="auto"/>
                <w:lang w:val="en-US"/>
              </w:rPr>
              <w:t>区</w:t>
            </w:r>
            <w:r>
              <w:rPr>
                <w:rFonts w:hint="default" w:ascii="Times New Roman" w:hAnsi="Times New Roman" w:cs="Times New Roman"/>
                <w:color w:val="auto"/>
                <w:sz w:val="20"/>
                <w:szCs w:val="20"/>
                <w:shd w:val="clear" w:color="auto" w:fill="auto"/>
              </w:rPr>
              <w:t>划，但位于居住区、商业交通居民混合区、文化区、工业区和农村地区</w:t>
            </w:r>
          </w:p>
        </w:tc>
        <w:tc>
          <w:tcPr>
            <w:tcW w:w="2294" w:type="dxa"/>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4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0" w:type="dxa"/>
            <w:gridSpan w:val="2"/>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0"/>
                <w:shd w:val="clear" w:color="auto" w:fill="auto"/>
              </w:rPr>
              <w:t>不符合环境功能</w:t>
            </w:r>
            <w:r>
              <w:rPr>
                <w:rFonts w:hint="default" w:ascii="Times New Roman" w:hAnsi="Times New Roman" w:cs="Times New Roman"/>
                <w:color w:val="auto"/>
                <w:sz w:val="20"/>
                <w:szCs w:val="20"/>
                <w:shd w:val="clear" w:color="auto" w:fill="auto"/>
                <w:lang w:val="en-US"/>
              </w:rPr>
              <w:t>区</w:t>
            </w:r>
            <w:r>
              <w:rPr>
                <w:rFonts w:hint="default" w:ascii="Times New Roman" w:hAnsi="Times New Roman" w:cs="Times New Roman"/>
                <w:color w:val="auto"/>
                <w:sz w:val="20"/>
                <w:szCs w:val="20"/>
                <w:shd w:val="clear" w:color="auto" w:fill="auto"/>
              </w:rPr>
              <w:t>划，但位于自然保护区、风景名胜区和其他需要特殊保护的区域</w:t>
            </w:r>
          </w:p>
        </w:tc>
        <w:tc>
          <w:tcPr>
            <w:tcW w:w="2294" w:type="dxa"/>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40" w:hRule="atLeast"/>
          <w:jc w:val="center"/>
        </w:trPr>
        <w:tc>
          <w:tcPr>
            <w:tcW w:w="13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污染防治设施建设情况</w:t>
            </w:r>
          </w:p>
        </w:tc>
        <w:tc>
          <w:tcPr>
            <w:tcW w:w="51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配套污染防治设施已建成的</w:t>
            </w:r>
          </w:p>
        </w:tc>
        <w:tc>
          <w:tcPr>
            <w:tcW w:w="2530"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配套污染防治设施正在建设的</w:t>
            </w:r>
          </w:p>
        </w:tc>
        <w:tc>
          <w:tcPr>
            <w:tcW w:w="2530"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配套污染防治设施尚未建设的</w:t>
            </w:r>
          </w:p>
        </w:tc>
        <w:tc>
          <w:tcPr>
            <w:tcW w:w="2530"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76"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5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530" w:type="dxa"/>
            <w:gridSpan w:val="2"/>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40" w:hRule="atLeast"/>
          <w:jc w:val="center"/>
        </w:trPr>
        <w:tc>
          <w:tcPr>
            <w:tcW w:w="137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5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530" w:type="dxa"/>
            <w:gridSpan w:val="2"/>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40" w:hRule="atLeast"/>
          <w:jc w:val="center"/>
        </w:trPr>
        <w:tc>
          <w:tcPr>
            <w:tcW w:w="137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5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530" w:type="dxa"/>
            <w:gridSpan w:val="2"/>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40" w:hRule="atLeast"/>
          <w:jc w:val="center"/>
        </w:trPr>
        <w:tc>
          <w:tcPr>
            <w:tcW w:w="137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5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530" w:type="dxa"/>
            <w:gridSpan w:val="2"/>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40" w:hRule="atLeast"/>
          <w:jc w:val="center"/>
        </w:trPr>
        <w:tc>
          <w:tcPr>
            <w:tcW w:w="137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54"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530" w:type="dxa"/>
            <w:gridSpan w:val="2"/>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40" w:hRule="atLeast"/>
          <w:jc w:val="center"/>
        </w:trPr>
        <w:tc>
          <w:tcPr>
            <w:tcW w:w="13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1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530"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1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530"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4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1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530"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1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530"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40" w:hRule="atLeast"/>
          <w:jc w:val="center"/>
        </w:trPr>
        <w:tc>
          <w:tcPr>
            <w:tcW w:w="13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5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530" w:type="dxa"/>
            <w:gridSpan w:val="2"/>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30" w:type="dxa"/>
            <w:gridSpan w:val="2"/>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4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530" w:type="dxa"/>
            <w:gridSpan w:val="2"/>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40"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530" w:type="dxa"/>
            <w:gridSpan w:val="2"/>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84"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r>
    </w:tbl>
    <w:p>
      <w:pPr>
        <w:shd w:val="clear" w:color="auto" w:fill="auto"/>
        <w:spacing w:line="590" w:lineRule="exact"/>
        <w:ind w:firstLine="640" w:firstLineChars="200"/>
        <w:outlineLvl w:val="9"/>
        <w:rPr>
          <w:rFonts w:hint="default" w:ascii="Times New Roman" w:hAnsi="Times New Roman" w:eastAsia="方正仿宋_GBK" w:cs="Times New Roman"/>
          <w:color w:val="auto"/>
          <w:sz w:val="32"/>
          <w:szCs w:val="32"/>
          <w:shd w:val="clear" w:color="auto" w:fill="auto"/>
          <w:lang w:val="en-US" w:eastAsia="zh-CN"/>
        </w:rPr>
      </w:pPr>
    </w:p>
    <w:p>
      <w:pPr>
        <w:shd w:val="clear" w:color="auto" w:fill="auto"/>
        <w:spacing w:line="200" w:lineRule="exact"/>
        <w:ind w:firstLine="640" w:firstLineChars="200"/>
        <w:outlineLvl w:val="9"/>
        <w:rPr>
          <w:rFonts w:hint="default" w:ascii="Times New Roman" w:hAnsi="Times New Roman" w:eastAsia="方正仿宋_GBK" w:cs="Times New Roman"/>
          <w:color w:val="auto"/>
          <w:sz w:val="32"/>
          <w:szCs w:val="32"/>
          <w:shd w:val="clear" w:color="auto" w:fill="auto"/>
          <w:lang w:val="en-US" w:eastAsia="zh-CN"/>
        </w:rPr>
      </w:pPr>
      <w:r>
        <w:rPr>
          <w:rFonts w:hint="default" w:ascii="Times New Roman" w:hAnsi="Times New Roman" w:eastAsia="方正仿宋_GBK" w:cs="Times New Roman"/>
          <w:color w:val="auto"/>
          <w:sz w:val="32"/>
          <w:szCs w:val="32"/>
          <w:shd w:val="clear" w:color="auto" w:fill="auto"/>
          <w:lang w:val="en-US" w:eastAsia="zh-CN"/>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5289"/>
        <w:gridCol w:w="2365"/>
      </w:tblGrid>
      <w:tr>
        <w:trPr>
          <w:trHeight w:val="397" w:hRule="atLeast"/>
          <w:jc w:val="center"/>
        </w:trPr>
        <w:tc>
          <w:tcPr>
            <w:tcW w:w="9060" w:type="dxa"/>
            <w:gridSpan w:val="3"/>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bookmarkStart w:id="411" w:name="OLE_LINK12"/>
            <w:bookmarkStart w:id="412" w:name="OLE_LINK8"/>
            <w:bookmarkStart w:id="413" w:name="OLE_LINK10"/>
            <w:bookmarkStart w:id="414" w:name="OLE_LINK9"/>
            <w:bookmarkStart w:id="415" w:name="OLE_LINK11"/>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九</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排污许可管理类</w:t>
            </w:r>
          </w:p>
        </w:tc>
      </w:tr>
      <w:tr>
        <w:trPr>
          <w:trHeight w:val="397" w:hRule="atLeast"/>
          <w:jc w:val="center"/>
        </w:trPr>
        <w:tc>
          <w:tcPr>
            <w:tcW w:w="140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54" w:type="dxa"/>
            <w:gridSpan w:val="2"/>
            <w:vAlign w:val="center"/>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cs="Times New Roman"/>
                <w:color w:val="auto"/>
                <w:sz w:val="20"/>
                <w:szCs w:val="20"/>
                <w:shd w:val="clear" w:color="auto" w:fill="auto"/>
              </w:rPr>
            </w:pPr>
            <w:bookmarkStart w:id="416" w:name="_Toc12366"/>
            <w:r>
              <w:rPr>
                <w:rFonts w:hint="default" w:ascii="Times New Roman" w:hAnsi="Times New Roman" w:cs="Times New Roman"/>
                <w:color w:val="auto"/>
                <w:sz w:val="20"/>
                <w:szCs w:val="20"/>
                <w:shd w:val="clear" w:color="auto" w:fill="auto"/>
              </w:rPr>
              <w:t>5</w:t>
            </w:r>
            <w:bookmarkEnd w:id="416"/>
          </w:p>
        </w:tc>
      </w:tr>
      <w:tr>
        <w:trPr>
          <w:trHeight w:val="397" w:hRule="atLeast"/>
          <w:jc w:val="center"/>
        </w:trPr>
        <w:tc>
          <w:tcPr>
            <w:tcW w:w="140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54"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outlineLvl w:val="0"/>
              <w:rPr>
                <w:rFonts w:hint="default" w:ascii="Times New Roman" w:hAnsi="Times New Roman" w:eastAsia="宋体" w:cs="Times New Roman"/>
                <w:color w:val="auto"/>
                <w:sz w:val="20"/>
                <w:szCs w:val="20"/>
                <w:shd w:val="clear" w:color="auto" w:fill="auto"/>
                <w:lang w:eastAsia="zh-CN"/>
              </w:rPr>
            </w:pPr>
            <w:bookmarkStart w:id="417" w:name="_Toc23456"/>
            <w:r>
              <w:rPr>
                <w:rFonts w:hint="default" w:ascii="Times New Roman" w:hAnsi="Times New Roman" w:cs="Times New Roman"/>
                <w:color w:val="auto"/>
                <w:sz w:val="20"/>
                <w:szCs w:val="20"/>
                <w:shd w:val="clear" w:color="auto" w:fill="auto"/>
              </w:rPr>
              <w:t>超过许可排放浓度、许可排放量排放污染物</w:t>
            </w:r>
            <w:r>
              <w:rPr>
                <w:rFonts w:hint="default" w:ascii="Times New Roman" w:hAnsi="Times New Roman" w:cs="Times New Roman"/>
                <w:color w:val="auto"/>
                <w:sz w:val="20"/>
                <w:szCs w:val="20"/>
                <w:shd w:val="clear" w:color="auto" w:fill="auto"/>
                <w:lang w:eastAsia="zh-CN"/>
              </w:rPr>
              <w:t>的</w:t>
            </w:r>
            <w:bookmarkEnd w:id="417"/>
          </w:p>
        </w:tc>
      </w:tr>
      <w:tr>
        <w:trPr>
          <w:trHeight w:val="397" w:hRule="atLeast"/>
          <w:jc w:val="center"/>
        </w:trPr>
        <w:tc>
          <w:tcPr>
            <w:tcW w:w="140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54" w:type="dxa"/>
            <w:gridSpan w:val="2"/>
            <w:vAlign w:val="top"/>
          </w:tcPr>
          <w:p>
            <w:pPr>
              <w:pStyle w:val="18"/>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《排污许可管理条例》 第十七条第二款</w:t>
            </w:r>
            <w:r>
              <w:rPr>
                <w:rFonts w:hint="default" w:ascii="Times New Roman" w:hAnsi="Times New Roman" w:cs="Times New Roman"/>
                <w:color w:val="auto"/>
                <w:sz w:val="21"/>
                <w:szCs w:val="21"/>
                <w:shd w:val="clear" w:color="auto" w:fill="auto"/>
              </w:rPr>
              <w:t xml:space="preserve"> 排污单位应当遵守排污许可证规定，按照生态环境管理要求运行和维护污染防治设施，建立环境管理制度，严格控制污染物排放。</w:t>
            </w:r>
          </w:p>
        </w:tc>
      </w:tr>
      <w:tr>
        <w:trPr>
          <w:trHeight w:val="397" w:hRule="atLeast"/>
          <w:jc w:val="center"/>
        </w:trPr>
        <w:tc>
          <w:tcPr>
            <w:tcW w:w="140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54" w:type="dxa"/>
            <w:gridSpan w:val="2"/>
            <w:vAlign w:val="top"/>
          </w:tcPr>
          <w:p>
            <w:pPr>
              <w:pStyle w:val="19"/>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《排污许可管理条例》第三十四条第一项</w:t>
            </w:r>
            <w:r>
              <w:rPr>
                <w:rFonts w:hint="default" w:ascii="Times New Roman" w:hAnsi="Times New Roman" w:cs="Times New Roman"/>
                <w:color w:val="auto"/>
                <w:sz w:val="21"/>
                <w:szCs w:val="21"/>
                <w:shd w:val="clear" w:color="auto" w:fill="auto"/>
              </w:rPr>
              <w:t xml:space="preserve"> 违反本条例规定，排污单位有下列行为之一的，由生态环境主管部门责令改正或者限制生产、停产整治，处20万元以上100万元以下的罚款；情节严重的，吊销排污许可证，报经有批准权的人民政府批准，责令停业、关闭：</w:t>
            </w:r>
          </w:p>
          <w:p>
            <w:pPr>
              <w:pStyle w:val="19"/>
              <w:shd w:val="clear" w:color="auto" w:fill="auto"/>
              <w:snapToGrid w:val="0"/>
              <w:spacing w:before="0" w:beforeAutospacing="0" w:after="0" w:afterAutospacing="0" w:line="320" w:lineRule="exact"/>
              <w:ind w:left="0" w:right="0" w:firstLine="420" w:firstLineChars="20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（一）超过许可排放浓度、许可排放量排放污染物；</w:t>
            </w:r>
          </w:p>
        </w:tc>
      </w:tr>
      <w:tr>
        <w:trPr>
          <w:trHeight w:val="624" w:hRule="atLeast"/>
          <w:jc w:val="center"/>
        </w:trPr>
        <w:tc>
          <w:tcPr>
            <w:tcW w:w="140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2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3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jc w:val="center"/>
        </w:trPr>
        <w:tc>
          <w:tcPr>
            <w:tcW w:w="140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★超标排放</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倍数</w:t>
            </w:r>
          </w:p>
        </w:tc>
        <w:tc>
          <w:tcPr>
            <w:tcW w:w="5289"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0"/>
                <w:shd w:val="clear" w:color="auto" w:fill="auto"/>
              </w:rPr>
              <w:t>超标0.5倍以下</w:t>
            </w:r>
          </w:p>
        </w:tc>
        <w:tc>
          <w:tcPr>
            <w:tcW w:w="2365"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0"/>
                <w:shd w:val="clear" w:color="auto" w:fill="auto"/>
              </w:rPr>
              <w:t>超标0.5倍以上1倍以下</w:t>
            </w:r>
          </w:p>
        </w:tc>
        <w:tc>
          <w:tcPr>
            <w:tcW w:w="2365"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0"/>
                <w:shd w:val="clear" w:color="auto" w:fill="auto"/>
              </w:rPr>
              <w:t>超标1倍以上2倍以下</w:t>
            </w:r>
          </w:p>
        </w:tc>
        <w:tc>
          <w:tcPr>
            <w:tcW w:w="2365"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0"/>
                <w:shd w:val="clear" w:color="auto" w:fill="auto"/>
              </w:rPr>
              <w:t>超标2倍以上3倍以下</w:t>
            </w:r>
          </w:p>
        </w:tc>
        <w:tc>
          <w:tcPr>
            <w:tcW w:w="2365"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0"/>
                <w:shd w:val="clear" w:color="auto" w:fill="auto"/>
              </w:rPr>
              <w:t>超标3倍以上</w:t>
            </w:r>
          </w:p>
        </w:tc>
        <w:tc>
          <w:tcPr>
            <w:tcW w:w="2365"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624" w:hRule="atLeast"/>
          <w:jc w:val="center"/>
        </w:trPr>
        <w:tc>
          <w:tcPr>
            <w:tcW w:w="1406" w:type="dxa"/>
            <w:vMerge w:val="restart"/>
            <w:vAlign w:val="center"/>
          </w:tcPr>
          <w:p>
            <w:pPr>
              <w:widowControl/>
              <w:shd w:val="clear" w:color="auto" w:fill="auto"/>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eastAsia" w:ascii="Times New Roman" w:hAnsi="Times New Roman" w:cs="Times New Roman"/>
                <w:b/>
                <w:bCs/>
                <w:color w:val="auto"/>
                <w:sz w:val="20"/>
                <w:szCs w:val="20"/>
                <w:shd w:val="clear" w:color="auto" w:fill="auto"/>
                <w:lang w:eastAsia="zh-CN"/>
              </w:rPr>
              <w:t>小时烟气流量</w:t>
            </w:r>
            <w:r>
              <w:rPr>
                <w:rFonts w:hint="default" w:ascii="Times New Roman" w:hAnsi="Times New Roman" w:cs="Times New Roman"/>
                <w:b/>
                <w:bCs/>
                <w:color w:val="auto"/>
                <w:sz w:val="20"/>
                <w:szCs w:val="20"/>
                <w:shd w:val="clear" w:color="auto" w:fill="auto"/>
              </w:rPr>
              <w:t>、水日排放量</w:t>
            </w:r>
          </w:p>
        </w:tc>
        <w:tc>
          <w:tcPr>
            <w:tcW w:w="5289"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0"/>
                <w:shd w:val="clear" w:color="auto" w:fill="auto"/>
              </w:rPr>
              <w:t>1000标立方米</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/10吨</w:t>
            </w:r>
            <w:r>
              <w:rPr>
                <w:rFonts w:hint="default" w:ascii="Times New Roman" w:hAnsi="Times New Roman" w:cs="Times New Roman"/>
                <w:color w:val="auto"/>
                <w:kern w:val="0"/>
                <w:sz w:val="20"/>
                <w:szCs w:val="20"/>
                <w:shd w:val="clear" w:color="auto" w:fill="auto"/>
                <w:lang w:val="en-US"/>
              </w:rPr>
              <w:t>以下</w:t>
            </w:r>
            <w:r>
              <w:rPr>
                <w:rFonts w:hint="default" w:ascii="Times New Roman" w:hAnsi="Times New Roman" w:cs="Times New Roman"/>
                <w:color w:val="auto"/>
                <w:sz w:val="20"/>
                <w:szCs w:val="20"/>
                <w:shd w:val="clear" w:color="auto" w:fill="auto"/>
              </w:rPr>
              <w:t>（一般排污单位）/</w:t>
            </w:r>
            <w:r>
              <w:rPr>
                <w:rFonts w:hint="eastAsia" w:ascii="Times New Roman" w:hAnsi="Times New Roman" w:cs="Times New Roman"/>
                <w:color w:val="auto"/>
                <w:sz w:val="20"/>
                <w:szCs w:val="20"/>
                <w:shd w:val="clear" w:color="auto" w:fill="auto"/>
                <w:lang w:eastAsia="zh-CN"/>
              </w:rPr>
              <w:t>2</w:t>
            </w:r>
            <w:r>
              <w:rPr>
                <w:rFonts w:hint="default" w:ascii="Times New Roman" w:hAnsi="Times New Roman" w:cs="Times New Roman"/>
                <w:color w:val="auto"/>
                <w:sz w:val="20"/>
                <w:szCs w:val="20"/>
                <w:shd w:val="clear" w:color="auto" w:fill="auto"/>
              </w:rPr>
              <w:t>万吨</w:t>
            </w:r>
            <w:r>
              <w:rPr>
                <w:rFonts w:hint="default" w:ascii="Times New Roman" w:hAnsi="Times New Roman" w:cs="Times New Roman"/>
                <w:color w:val="auto"/>
                <w:kern w:val="0"/>
                <w:sz w:val="20"/>
                <w:szCs w:val="20"/>
                <w:shd w:val="clear" w:color="auto" w:fill="auto"/>
                <w:lang w:val="en-US"/>
              </w:rPr>
              <w:t>以下</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集中式污水处理厂</w:t>
            </w:r>
            <w:r>
              <w:rPr>
                <w:rFonts w:hint="default" w:ascii="Times New Roman" w:hAnsi="Times New Roman" w:cs="Times New Roman"/>
                <w:color w:val="auto"/>
                <w:sz w:val="20"/>
                <w:szCs w:val="20"/>
                <w:shd w:val="clear" w:color="auto" w:fill="auto"/>
              </w:rPr>
              <w:t>）</w:t>
            </w:r>
          </w:p>
        </w:tc>
        <w:tc>
          <w:tcPr>
            <w:tcW w:w="2365" w:type="dxa"/>
            <w:vAlign w:val="center"/>
          </w:tcPr>
          <w:p>
            <w:pPr>
              <w:widowControl/>
              <w:shd w:val="clear" w:color="auto" w:fill="auto"/>
              <w:spacing w:before="0" w:beforeAutospacing="0" w:after="0" w:afterAutospacing="0" w:line="28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1</w:t>
            </w:r>
          </w:p>
        </w:tc>
      </w:tr>
      <w:tr>
        <w:trPr>
          <w:trHeight w:val="624"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0"/>
                <w:shd w:val="clear" w:color="auto" w:fill="auto"/>
              </w:rPr>
              <w:t>1000标立方米以上1万标立方米</w:t>
            </w:r>
            <w:r>
              <w:rPr>
                <w:rFonts w:hint="default" w:ascii="Times New Roman" w:hAnsi="Times New Roman" w:cs="Times New Roman"/>
                <w:color w:val="auto"/>
                <w:kern w:val="0"/>
                <w:sz w:val="20"/>
                <w:szCs w:val="20"/>
                <w:shd w:val="clear" w:color="auto" w:fill="auto"/>
                <w:lang w:val="en-US"/>
              </w:rPr>
              <w:t>以下</w:t>
            </w:r>
            <w:r>
              <w:rPr>
                <w:rFonts w:hint="default" w:ascii="Times New Roman" w:hAnsi="Times New Roman" w:cs="Times New Roman"/>
                <w:color w:val="auto"/>
                <w:sz w:val="20"/>
                <w:szCs w:val="20"/>
                <w:shd w:val="clear" w:color="auto" w:fill="auto"/>
              </w:rPr>
              <w:t>/10吨以上100吨</w:t>
            </w:r>
            <w:r>
              <w:rPr>
                <w:rFonts w:hint="default" w:ascii="Times New Roman" w:hAnsi="Times New Roman" w:cs="Times New Roman"/>
                <w:color w:val="auto"/>
                <w:kern w:val="0"/>
                <w:sz w:val="20"/>
                <w:szCs w:val="20"/>
                <w:shd w:val="clear" w:color="auto" w:fill="auto"/>
                <w:lang w:val="en-US"/>
              </w:rPr>
              <w:t>以下</w:t>
            </w:r>
            <w:r>
              <w:rPr>
                <w:rFonts w:hint="default" w:ascii="Times New Roman" w:hAnsi="Times New Roman" w:cs="Times New Roman"/>
                <w:color w:val="auto"/>
                <w:sz w:val="20"/>
                <w:szCs w:val="20"/>
                <w:shd w:val="clear" w:color="auto" w:fill="auto"/>
              </w:rPr>
              <w:t>（一般排污单位）/</w:t>
            </w:r>
            <w:r>
              <w:rPr>
                <w:rFonts w:hint="eastAsia" w:ascii="Times New Roman" w:hAnsi="Times New Roman" w:cs="Times New Roman"/>
                <w:color w:val="auto"/>
                <w:sz w:val="20"/>
                <w:szCs w:val="20"/>
                <w:shd w:val="clear" w:color="auto" w:fill="auto"/>
                <w:lang w:eastAsia="zh-CN"/>
              </w:rPr>
              <w:t>2</w:t>
            </w:r>
            <w:r>
              <w:rPr>
                <w:rFonts w:hint="default" w:ascii="Times New Roman" w:hAnsi="Times New Roman" w:cs="Times New Roman"/>
                <w:color w:val="auto"/>
                <w:sz w:val="20"/>
                <w:szCs w:val="20"/>
                <w:shd w:val="clear" w:color="auto" w:fill="auto"/>
              </w:rPr>
              <w:t>万吨以上</w:t>
            </w:r>
            <w:r>
              <w:rPr>
                <w:rFonts w:hint="eastAsia" w:ascii="Times New Roman" w:hAnsi="Times New Roman" w:cs="Times New Roman"/>
                <w:color w:val="auto"/>
                <w:sz w:val="20"/>
                <w:szCs w:val="20"/>
                <w:shd w:val="clear" w:color="auto" w:fill="auto"/>
                <w:lang w:eastAsia="zh-CN"/>
              </w:rPr>
              <w:t>3</w:t>
            </w:r>
            <w:r>
              <w:rPr>
                <w:rFonts w:hint="default" w:ascii="Times New Roman" w:hAnsi="Times New Roman" w:cs="Times New Roman"/>
                <w:color w:val="auto"/>
                <w:sz w:val="20"/>
                <w:szCs w:val="20"/>
                <w:shd w:val="clear" w:color="auto" w:fill="auto"/>
              </w:rPr>
              <w:t>万吨</w:t>
            </w:r>
            <w:r>
              <w:rPr>
                <w:rFonts w:hint="default" w:ascii="Times New Roman" w:hAnsi="Times New Roman" w:cs="Times New Roman"/>
                <w:color w:val="auto"/>
                <w:kern w:val="0"/>
                <w:sz w:val="20"/>
                <w:szCs w:val="20"/>
                <w:shd w:val="clear" w:color="auto" w:fill="auto"/>
                <w:lang w:val="en-US"/>
              </w:rPr>
              <w:t>以下</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集中式污水处理厂</w:t>
            </w:r>
            <w:r>
              <w:rPr>
                <w:rFonts w:hint="default" w:ascii="Times New Roman" w:hAnsi="Times New Roman" w:cs="Times New Roman"/>
                <w:color w:val="auto"/>
                <w:sz w:val="20"/>
                <w:szCs w:val="20"/>
                <w:shd w:val="clear" w:color="auto" w:fill="auto"/>
              </w:rPr>
              <w:t>）</w:t>
            </w:r>
          </w:p>
        </w:tc>
        <w:tc>
          <w:tcPr>
            <w:tcW w:w="2365"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2</w:t>
            </w:r>
          </w:p>
        </w:tc>
      </w:tr>
      <w:tr>
        <w:trPr>
          <w:trHeight w:val="624"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0"/>
                <w:shd w:val="clear" w:color="auto" w:fill="auto"/>
              </w:rPr>
              <w:t>1万标立方米以上10万标立方米</w:t>
            </w:r>
            <w:r>
              <w:rPr>
                <w:rFonts w:hint="default" w:ascii="Times New Roman" w:hAnsi="Times New Roman" w:cs="Times New Roman"/>
                <w:color w:val="auto"/>
                <w:kern w:val="0"/>
                <w:sz w:val="20"/>
                <w:szCs w:val="20"/>
                <w:shd w:val="clear" w:color="auto" w:fill="auto"/>
                <w:lang w:val="en-US"/>
              </w:rPr>
              <w:t>以下</w:t>
            </w:r>
            <w:r>
              <w:rPr>
                <w:rFonts w:hint="default" w:ascii="Times New Roman" w:hAnsi="Times New Roman" w:cs="Times New Roman"/>
                <w:color w:val="auto"/>
                <w:sz w:val="20"/>
                <w:szCs w:val="20"/>
                <w:shd w:val="clear" w:color="auto" w:fill="auto"/>
              </w:rPr>
              <w:t>/100吨以上500吨</w:t>
            </w:r>
            <w:r>
              <w:rPr>
                <w:rFonts w:hint="default" w:ascii="Times New Roman" w:hAnsi="Times New Roman" w:cs="Times New Roman"/>
                <w:color w:val="auto"/>
                <w:kern w:val="0"/>
                <w:sz w:val="20"/>
                <w:szCs w:val="20"/>
                <w:shd w:val="clear" w:color="auto" w:fill="auto"/>
                <w:lang w:val="en-US"/>
              </w:rPr>
              <w:t>以下</w:t>
            </w:r>
            <w:r>
              <w:rPr>
                <w:rFonts w:hint="default" w:ascii="Times New Roman" w:hAnsi="Times New Roman" w:cs="Times New Roman"/>
                <w:color w:val="auto"/>
                <w:sz w:val="20"/>
                <w:szCs w:val="20"/>
                <w:shd w:val="clear" w:color="auto" w:fill="auto"/>
              </w:rPr>
              <w:t>（一般排污单位）/</w:t>
            </w:r>
            <w:r>
              <w:rPr>
                <w:rFonts w:hint="eastAsia" w:ascii="Times New Roman" w:hAnsi="Times New Roman" w:cs="Times New Roman"/>
                <w:color w:val="auto"/>
                <w:sz w:val="20"/>
                <w:szCs w:val="20"/>
                <w:shd w:val="clear" w:color="auto" w:fill="auto"/>
                <w:lang w:eastAsia="zh-CN"/>
              </w:rPr>
              <w:t>3</w:t>
            </w:r>
            <w:r>
              <w:rPr>
                <w:rFonts w:hint="default" w:ascii="Times New Roman" w:hAnsi="Times New Roman" w:cs="Times New Roman"/>
                <w:color w:val="auto"/>
                <w:sz w:val="20"/>
                <w:szCs w:val="20"/>
                <w:shd w:val="clear" w:color="auto" w:fill="auto"/>
              </w:rPr>
              <w:t>万吨以上</w:t>
            </w:r>
            <w:r>
              <w:rPr>
                <w:rFonts w:hint="eastAsia" w:ascii="Times New Roman" w:hAnsi="Times New Roman" w:cs="Times New Roman"/>
                <w:color w:val="auto"/>
                <w:sz w:val="20"/>
                <w:szCs w:val="20"/>
                <w:shd w:val="clear" w:color="auto" w:fill="auto"/>
                <w:lang w:eastAsia="zh-CN"/>
              </w:rPr>
              <w:t>5</w:t>
            </w:r>
            <w:r>
              <w:rPr>
                <w:rFonts w:hint="default" w:ascii="Times New Roman" w:hAnsi="Times New Roman" w:cs="Times New Roman"/>
                <w:color w:val="auto"/>
                <w:sz w:val="20"/>
                <w:szCs w:val="20"/>
                <w:shd w:val="clear" w:color="auto" w:fill="auto"/>
              </w:rPr>
              <w:t>万吨</w:t>
            </w:r>
            <w:r>
              <w:rPr>
                <w:rFonts w:hint="default" w:ascii="Times New Roman" w:hAnsi="Times New Roman" w:cs="Times New Roman"/>
                <w:color w:val="auto"/>
                <w:kern w:val="0"/>
                <w:sz w:val="20"/>
                <w:szCs w:val="20"/>
                <w:shd w:val="clear" w:color="auto" w:fill="auto"/>
                <w:lang w:val="en-US"/>
              </w:rPr>
              <w:t>以下</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集中式污水处理厂</w:t>
            </w:r>
            <w:r>
              <w:rPr>
                <w:rFonts w:hint="default" w:ascii="Times New Roman" w:hAnsi="Times New Roman" w:cs="Times New Roman"/>
                <w:color w:val="auto"/>
                <w:sz w:val="20"/>
                <w:szCs w:val="20"/>
                <w:shd w:val="clear" w:color="auto" w:fill="auto"/>
              </w:rPr>
              <w:t>）</w:t>
            </w:r>
          </w:p>
        </w:tc>
        <w:tc>
          <w:tcPr>
            <w:tcW w:w="2365"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lang w:eastAsia="zh-CN"/>
              </w:rPr>
              <w:t>3</w:t>
            </w:r>
          </w:p>
        </w:tc>
      </w:tr>
      <w:tr>
        <w:trPr>
          <w:trHeight w:val="624"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0"/>
                <w:shd w:val="clear" w:color="auto" w:fill="auto"/>
              </w:rPr>
              <w:t>10万标立方米以上20万标立方米</w:t>
            </w:r>
            <w:r>
              <w:rPr>
                <w:rFonts w:hint="default" w:ascii="Times New Roman" w:hAnsi="Times New Roman" w:cs="Times New Roman"/>
                <w:color w:val="auto"/>
                <w:kern w:val="0"/>
                <w:sz w:val="20"/>
                <w:szCs w:val="20"/>
                <w:shd w:val="clear" w:color="auto" w:fill="auto"/>
                <w:lang w:val="en-US"/>
              </w:rPr>
              <w:t>以下</w:t>
            </w:r>
            <w:r>
              <w:rPr>
                <w:rFonts w:hint="default" w:ascii="Times New Roman" w:hAnsi="Times New Roman" w:cs="Times New Roman"/>
                <w:color w:val="auto"/>
                <w:sz w:val="20"/>
                <w:szCs w:val="20"/>
                <w:shd w:val="clear" w:color="auto" w:fill="auto"/>
              </w:rPr>
              <w:t>/500吨以上1000吨</w:t>
            </w:r>
            <w:r>
              <w:rPr>
                <w:rFonts w:hint="default" w:ascii="Times New Roman" w:hAnsi="Times New Roman" w:cs="Times New Roman"/>
                <w:color w:val="auto"/>
                <w:kern w:val="0"/>
                <w:sz w:val="20"/>
                <w:szCs w:val="20"/>
                <w:shd w:val="clear" w:color="auto" w:fill="auto"/>
                <w:lang w:val="en-US"/>
              </w:rPr>
              <w:t>以下</w:t>
            </w:r>
            <w:r>
              <w:rPr>
                <w:rFonts w:hint="default" w:ascii="Times New Roman" w:hAnsi="Times New Roman" w:cs="Times New Roman"/>
                <w:color w:val="auto"/>
                <w:sz w:val="20"/>
                <w:szCs w:val="20"/>
                <w:shd w:val="clear" w:color="auto" w:fill="auto"/>
              </w:rPr>
              <w:t>（一般排污单位）/</w:t>
            </w:r>
            <w:r>
              <w:rPr>
                <w:rFonts w:hint="eastAsia" w:ascii="Times New Roman" w:hAnsi="Times New Roman" w:cs="Times New Roman"/>
                <w:color w:val="auto"/>
                <w:sz w:val="20"/>
                <w:szCs w:val="20"/>
                <w:shd w:val="clear" w:color="auto" w:fill="auto"/>
                <w:lang w:eastAsia="zh-CN"/>
              </w:rPr>
              <w:t>5</w:t>
            </w:r>
            <w:r>
              <w:rPr>
                <w:rFonts w:hint="default" w:ascii="Times New Roman" w:hAnsi="Times New Roman" w:cs="Times New Roman"/>
                <w:color w:val="auto"/>
                <w:sz w:val="20"/>
                <w:szCs w:val="20"/>
                <w:shd w:val="clear" w:color="auto" w:fill="auto"/>
              </w:rPr>
              <w:t>万吨以上</w:t>
            </w:r>
            <w:r>
              <w:rPr>
                <w:rFonts w:hint="eastAsia" w:ascii="Times New Roman" w:hAnsi="Times New Roman" w:cs="Times New Roman"/>
                <w:color w:val="auto"/>
                <w:sz w:val="20"/>
                <w:szCs w:val="20"/>
                <w:shd w:val="clear" w:color="auto" w:fill="auto"/>
                <w:lang w:eastAsia="zh-CN"/>
              </w:rPr>
              <w:t>1</w:t>
            </w:r>
            <w:r>
              <w:rPr>
                <w:rFonts w:hint="eastAsia" w:ascii="Times New Roman" w:hAnsi="Times New Roman" w:cs="Times New Roman"/>
                <w:color w:val="auto"/>
                <w:sz w:val="20"/>
                <w:szCs w:val="20"/>
                <w:shd w:val="clear" w:color="auto" w:fill="auto"/>
                <w:lang w:val="en-US" w:eastAsia="zh-CN"/>
              </w:rPr>
              <w:t>0</w:t>
            </w:r>
            <w:r>
              <w:rPr>
                <w:rFonts w:hint="default" w:ascii="Times New Roman" w:hAnsi="Times New Roman" w:cs="Times New Roman"/>
                <w:color w:val="auto"/>
                <w:sz w:val="20"/>
                <w:szCs w:val="20"/>
                <w:shd w:val="clear" w:color="auto" w:fill="auto"/>
              </w:rPr>
              <w:t>万吨</w:t>
            </w:r>
            <w:r>
              <w:rPr>
                <w:rFonts w:hint="default" w:ascii="Times New Roman" w:hAnsi="Times New Roman" w:cs="Times New Roman"/>
                <w:color w:val="auto"/>
                <w:kern w:val="0"/>
                <w:sz w:val="20"/>
                <w:szCs w:val="20"/>
                <w:shd w:val="clear" w:color="auto" w:fill="auto"/>
                <w:lang w:val="en-US"/>
              </w:rPr>
              <w:t>以下</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集中式污水处理厂</w:t>
            </w:r>
            <w:r>
              <w:rPr>
                <w:rFonts w:hint="default" w:ascii="Times New Roman" w:hAnsi="Times New Roman" w:cs="Times New Roman"/>
                <w:color w:val="auto"/>
                <w:sz w:val="20"/>
                <w:szCs w:val="20"/>
                <w:shd w:val="clear" w:color="auto" w:fill="auto"/>
              </w:rPr>
              <w:t>）</w:t>
            </w:r>
          </w:p>
        </w:tc>
        <w:tc>
          <w:tcPr>
            <w:tcW w:w="2365"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4</w:t>
            </w:r>
          </w:p>
        </w:tc>
      </w:tr>
      <w:tr>
        <w:trPr>
          <w:trHeight w:val="624"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0"/>
                <w:shd w:val="clear" w:color="auto" w:fill="auto"/>
              </w:rPr>
              <w:t>20万标立方米以上/1000吨以上（一般排污单位）/</w:t>
            </w:r>
            <w:r>
              <w:rPr>
                <w:rFonts w:hint="eastAsia" w:ascii="Times New Roman" w:hAnsi="Times New Roman" w:cs="Times New Roman"/>
                <w:color w:val="auto"/>
                <w:sz w:val="20"/>
                <w:szCs w:val="20"/>
                <w:shd w:val="clear" w:color="auto" w:fill="auto"/>
                <w:lang w:eastAsia="zh-CN"/>
              </w:rPr>
              <w:t>1</w:t>
            </w:r>
            <w:r>
              <w:rPr>
                <w:rFonts w:hint="default" w:ascii="Times New Roman" w:hAnsi="Times New Roman" w:cs="Times New Roman"/>
                <w:color w:val="auto"/>
                <w:sz w:val="20"/>
                <w:szCs w:val="20"/>
                <w:shd w:val="clear" w:color="auto" w:fill="auto"/>
              </w:rPr>
              <w:t>0万吨以上（</w:t>
            </w:r>
            <w:r>
              <w:rPr>
                <w:rFonts w:hint="eastAsia" w:ascii="Times New Roman" w:hAnsi="Times New Roman" w:cs="Times New Roman"/>
                <w:color w:val="auto"/>
                <w:sz w:val="20"/>
                <w:szCs w:val="20"/>
                <w:shd w:val="clear" w:color="auto" w:fill="auto"/>
                <w:lang w:eastAsia="zh-CN"/>
              </w:rPr>
              <w:t>集中式污水处理厂</w:t>
            </w:r>
            <w:r>
              <w:rPr>
                <w:rFonts w:hint="default" w:ascii="Times New Roman" w:hAnsi="Times New Roman" w:cs="Times New Roman"/>
                <w:color w:val="auto"/>
                <w:sz w:val="20"/>
                <w:szCs w:val="20"/>
                <w:shd w:val="clear" w:color="auto" w:fill="auto"/>
              </w:rPr>
              <w:t>）</w:t>
            </w:r>
          </w:p>
        </w:tc>
        <w:tc>
          <w:tcPr>
            <w:tcW w:w="2365"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5</w:t>
            </w:r>
          </w:p>
        </w:tc>
      </w:tr>
      <w:tr>
        <w:trPr>
          <w:trHeight w:val="369" w:hRule="atLeast"/>
          <w:jc w:val="center"/>
        </w:trPr>
        <w:tc>
          <w:tcPr>
            <w:tcW w:w="140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污染物类别</w:t>
            </w:r>
          </w:p>
        </w:tc>
        <w:tc>
          <w:tcPr>
            <w:tcW w:w="5289"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1"/>
                <w:shd w:val="clear" w:color="auto" w:fill="auto"/>
              </w:rPr>
              <w:t>汽车修理废气/畜禽养殖废气/机械、生活废水</w:t>
            </w:r>
            <w:r>
              <w:rPr>
                <w:rFonts w:hint="default" w:ascii="Times New Roman" w:hAnsi="Times New Roman" w:cs="Times New Roman"/>
                <w:color w:val="auto"/>
                <w:sz w:val="20"/>
                <w:szCs w:val="20"/>
                <w:shd w:val="clear" w:color="auto" w:fill="auto"/>
              </w:rPr>
              <w:t xml:space="preserve"> </w:t>
            </w:r>
            <w:r>
              <w:rPr>
                <w:rFonts w:hint="eastAsia" w:ascii="Times New Roman" w:hAnsi="Times New Roman" w:cs="Times New Roman"/>
                <w:color w:val="auto"/>
                <w:sz w:val="20"/>
                <w:szCs w:val="20"/>
                <w:shd w:val="clear" w:color="auto" w:fill="auto"/>
                <w:lang w:val="en-US" w:eastAsia="zh-CN"/>
              </w:rPr>
              <w:t>/规模以下畜禽养殖废水</w:t>
            </w:r>
          </w:p>
        </w:tc>
        <w:tc>
          <w:tcPr>
            <w:tcW w:w="2365"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1"/>
                <w:shd w:val="clear" w:color="auto" w:fill="auto"/>
              </w:rPr>
              <w:t>农业生产、工业扬尘废气/服务业废水/燃煤锅炉废气</w:t>
            </w:r>
            <w:r>
              <w:rPr>
                <w:rFonts w:hint="default" w:ascii="Times New Roman" w:hAnsi="Times New Roman" w:cs="Times New Roman"/>
                <w:color w:val="auto"/>
                <w:sz w:val="20"/>
                <w:szCs w:val="20"/>
                <w:shd w:val="clear" w:color="auto" w:fill="auto"/>
              </w:rPr>
              <w:t xml:space="preserve"> </w:t>
            </w:r>
            <w:r>
              <w:rPr>
                <w:rFonts w:hint="eastAsia" w:ascii="Times New Roman" w:hAnsi="Times New Roman" w:cs="Times New Roman"/>
                <w:color w:val="auto"/>
                <w:sz w:val="20"/>
                <w:szCs w:val="20"/>
                <w:shd w:val="clear" w:color="auto" w:fill="auto"/>
                <w:lang w:val="en-US" w:eastAsia="zh-CN"/>
              </w:rPr>
              <w:t>/规模化畜禽养殖废水</w:t>
            </w:r>
          </w:p>
        </w:tc>
        <w:tc>
          <w:tcPr>
            <w:tcW w:w="2365"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1"/>
                <w:shd w:val="clear" w:color="auto" w:fill="auto"/>
              </w:rPr>
              <w:t>一般工业废气/含恶臭污染物的废气/医疗废气/实验室废气/一般工业废水/第Ⅰ类一般工业固体废物</w:t>
            </w:r>
          </w:p>
        </w:tc>
        <w:tc>
          <w:tcPr>
            <w:tcW w:w="2365"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1"/>
                <w:shd w:val="clear" w:color="auto" w:fill="auto"/>
              </w:rPr>
              <w:t>火电、钢铁、石化、水泥、炼焦、有色、化工废气、烟尘/含其他有毒有害物质的废水、医疗废水</w:t>
            </w:r>
          </w:p>
        </w:tc>
        <w:tc>
          <w:tcPr>
            <w:tcW w:w="2365"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1"/>
                <w:shd w:val="clear" w:color="auto" w:fill="auto"/>
              </w:rPr>
              <w:t>含有毒有害物质的废气/含一类污染物或重金属、病原体、放射性物质的废水/危险废物/Ⅱ类一般工业固体废物</w:t>
            </w:r>
          </w:p>
        </w:tc>
        <w:tc>
          <w:tcPr>
            <w:tcW w:w="2365" w:type="dxa"/>
            <w:vAlign w:val="center"/>
          </w:tcPr>
          <w:p>
            <w:pPr>
              <w:shd w:val="clear" w:color="auto" w:fill="auto"/>
              <w:snapToGrid w:val="0"/>
              <w:spacing w:before="0" w:beforeAutospacing="0" w:after="0" w:afterAutospacing="0" w:line="28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5</w:t>
            </w:r>
          </w:p>
        </w:tc>
      </w:tr>
      <w:tr>
        <w:trPr>
          <w:trHeight w:val="369" w:hRule="atLeast"/>
          <w:jc w:val="center"/>
        </w:trPr>
        <w:tc>
          <w:tcPr>
            <w:tcW w:w="1406" w:type="dxa"/>
            <w:vMerge w:val="restart"/>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超标</w:t>
            </w:r>
            <w:r>
              <w:rPr>
                <w:rFonts w:hint="default" w:ascii="Times New Roman" w:hAnsi="Times New Roman" w:cs="Times New Roman"/>
                <w:b/>
                <w:bCs/>
                <w:color w:val="auto"/>
                <w:sz w:val="20"/>
                <w:szCs w:val="20"/>
                <w:shd w:val="clear" w:color="auto" w:fill="auto"/>
                <w:lang w:val="en-US"/>
              </w:rPr>
              <w:t>或超总量</w:t>
            </w:r>
            <w:r>
              <w:rPr>
                <w:rFonts w:hint="default" w:ascii="Times New Roman" w:hAnsi="Times New Roman" w:cs="Times New Roman"/>
                <w:b/>
                <w:bCs/>
                <w:color w:val="auto"/>
                <w:sz w:val="20"/>
                <w:szCs w:val="20"/>
                <w:shd w:val="clear" w:color="auto" w:fill="auto"/>
              </w:rPr>
              <w:t>因子数量</w:t>
            </w:r>
          </w:p>
        </w:tc>
        <w:tc>
          <w:tcPr>
            <w:tcW w:w="52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w:t>
            </w:r>
          </w:p>
        </w:tc>
        <w:tc>
          <w:tcPr>
            <w:tcW w:w="23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2个</w:t>
            </w:r>
          </w:p>
        </w:tc>
        <w:tc>
          <w:tcPr>
            <w:tcW w:w="23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3个</w:t>
            </w:r>
          </w:p>
        </w:tc>
        <w:tc>
          <w:tcPr>
            <w:tcW w:w="23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4个</w:t>
            </w:r>
          </w:p>
        </w:tc>
        <w:tc>
          <w:tcPr>
            <w:tcW w:w="23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5个以上</w:t>
            </w:r>
          </w:p>
        </w:tc>
        <w:tc>
          <w:tcPr>
            <w:tcW w:w="23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40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发生时段</w:t>
            </w:r>
          </w:p>
        </w:tc>
        <w:tc>
          <w:tcPr>
            <w:tcW w:w="52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一般期间</w:t>
            </w:r>
          </w:p>
        </w:tc>
        <w:tc>
          <w:tcPr>
            <w:tcW w:w="23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406"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重污染天气黄色预警期间</w:t>
            </w:r>
          </w:p>
        </w:tc>
        <w:tc>
          <w:tcPr>
            <w:tcW w:w="23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406"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bidi="ar-SA"/>
              </w:rPr>
            </w:pPr>
            <w:r>
              <w:rPr>
                <w:rFonts w:hint="default" w:ascii="Times New Roman" w:hAnsi="Times New Roman" w:cs="Times New Roman"/>
                <w:color w:val="auto"/>
                <w:sz w:val="20"/>
                <w:szCs w:val="20"/>
                <w:shd w:val="clear" w:color="auto" w:fill="auto"/>
              </w:rPr>
              <w:t>重污染天气橙色预警期间</w:t>
            </w:r>
          </w:p>
        </w:tc>
        <w:tc>
          <w:tcPr>
            <w:tcW w:w="23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406"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重污染天气红色预警期间</w:t>
            </w:r>
          </w:p>
        </w:tc>
        <w:tc>
          <w:tcPr>
            <w:tcW w:w="23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406"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特殊或重大活动期间</w:t>
            </w:r>
          </w:p>
        </w:tc>
        <w:tc>
          <w:tcPr>
            <w:tcW w:w="23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406"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28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rPr>
              <w:t>小时</w:t>
            </w:r>
            <w:r>
              <w:rPr>
                <w:rFonts w:hint="default" w:ascii="Times New Roman" w:hAnsi="Times New Roman" w:cs="Times New Roman"/>
                <w:color w:val="auto"/>
                <w:kern w:val="2"/>
                <w:sz w:val="21"/>
                <w:szCs w:val="21"/>
                <w:shd w:val="clear" w:color="auto" w:fill="auto"/>
                <w:lang w:val="en-US"/>
              </w:rPr>
              <w:t>以下</w:t>
            </w:r>
            <w:r>
              <w:rPr>
                <w:rFonts w:hint="default" w:ascii="Times New Roman" w:hAnsi="Times New Roman" w:cs="Times New Roman"/>
                <w:color w:val="auto"/>
                <w:kern w:val="2"/>
                <w:sz w:val="21"/>
                <w:szCs w:val="21"/>
                <w:shd w:val="clear" w:color="auto" w:fill="auto"/>
                <w:lang/>
              </w:rPr>
              <w:t>/</w:t>
            </w: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36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jc w:val="center"/>
        </w:trPr>
        <w:tc>
          <w:tcPr>
            <w:tcW w:w="140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rPr>
              <w:t>小时</w:t>
            </w:r>
            <w:r>
              <w:rPr>
                <w:rFonts w:hint="default" w:ascii="Times New Roman" w:hAnsi="Times New Roman" w:eastAsia="宋体" w:cs="Times New Roman"/>
                <w:color w:val="auto"/>
                <w:kern w:val="2"/>
                <w:sz w:val="21"/>
                <w:szCs w:val="21"/>
                <w:shd w:val="clear" w:color="auto" w:fill="auto"/>
                <w:lang w:val="en-US" w:eastAsia="zh-CN"/>
              </w:rPr>
              <w:t>以上</w:t>
            </w:r>
            <w:r>
              <w:rPr>
                <w:rFonts w:hint="default" w:ascii="Times New Roman" w:hAnsi="Times New Roman" w:eastAsia="宋体" w:cs="Times New Roman"/>
                <w:color w:val="auto"/>
                <w:kern w:val="2"/>
                <w:sz w:val="21"/>
                <w:szCs w:val="21"/>
                <w:shd w:val="clear" w:color="auto" w:fill="auto"/>
                <w:lang w:eastAsia="zh-CN"/>
              </w:rPr>
              <w:t>12</w:t>
            </w:r>
            <w:r>
              <w:rPr>
                <w:rFonts w:hint="default" w:ascii="Times New Roman" w:hAnsi="Times New Roman" w:eastAsia="宋体" w:cs="Times New Roman"/>
                <w:color w:val="auto"/>
                <w:kern w:val="2"/>
                <w:sz w:val="21"/>
                <w:szCs w:val="21"/>
                <w:shd w:val="clear" w:color="auto" w:fill="auto"/>
                <w:lang w:val="en-US"/>
              </w:rPr>
              <w:t>小时</w:t>
            </w:r>
            <w:r>
              <w:rPr>
                <w:rFonts w:hint="default" w:ascii="Times New Roman" w:hAnsi="Times New Roman" w:cs="Times New Roman"/>
                <w:color w:val="auto"/>
                <w:kern w:val="2"/>
                <w:sz w:val="21"/>
                <w:szCs w:val="21"/>
                <w:shd w:val="clear" w:color="auto" w:fill="auto"/>
                <w:lang w:val="en-US"/>
              </w:rPr>
              <w:t>以下</w:t>
            </w:r>
            <w:r>
              <w:rPr>
                <w:rFonts w:hint="default" w:ascii="Times New Roman" w:hAnsi="Times New Roman" w:cs="Times New Roman"/>
                <w:color w:val="auto"/>
                <w:kern w:val="2"/>
                <w:sz w:val="21"/>
                <w:szCs w:val="21"/>
                <w:shd w:val="clear" w:color="auto" w:fill="auto"/>
                <w:lang/>
              </w:rPr>
              <w:t>/</w:t>
            </w: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36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jc w:val="center"/>
        </w:trPr>
        <w:tc>
          <w:tcPr>
            <w:tcW w:w="140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rPr>
              <w:t>12</w:t>
            </w:r>
            <w:r>
              <w:rPr>
                <w:rFonts w:hint="default" w:ascii="Times New Roman" w:hAnsi="Times New Roman" w:eastAsia="宋体" w:cs="Times New Roman"/>
                <w:color w:val="auto"/>
                <w:kern w:val="2"/>
                <w:sz w:val="21"/>
                <w:szCs w:val="21"/>
                <w:shd w:val="clear" w:color="auto" w:fill="auto"/>
                <w:lang w:val="en-US"/>
              </w:rPr>
              <w:t>小时</w:t>
            </w:r>
            <w:r>
              <w:rPr>
                <w:rFonts w:hint="default" w:ascii="Times New Roman" w:hAnsi="Times New Roman" w:eastAsia="宋体" w:cs="Times New Roman"/>
                <w:color w:val="auto"/>
                <w:kern w:val="2"/>
                <w:sz w:val="21"/>
                <w:szCs w:val="21"/>
                <w:shd w:val="clear" w:color="auto" w:fill="auto"/>
                <w:lang w:val="en-US" w:eastAsia="zh-CN"/>
              </w:rPr>
              <w:t>以上</w:t>
            </w:r>
            <w:r>
              <w:rPr>
                <w:rFonts w:hint="default" w:ascii="Times New Roman" w:hAnsi="Times New Roman" w:eastAsia="宋体" w:cs="Times New Roman"/>
                <w:color w:val="auto"/>
                <w:kern w:val="2"/>
                <w:sz w:val="21"/>
                <w:szCs w:val="21"/>
                <w:shd w:val="clear" w:color="auto" w:fill="auto"/>
                <w:lang w:eastAsia="zh-CN"/>
              </w:rPr>
              <w:t>24</w:t>
            </w:r>
            <w:r>
              <w:rPr>
                <w:rFonts w:hint="default" w:ascii="Times New Roman" w:hAnsi="Times New Roman" w:eastAsia="宋体" w:cs="Times New Roman"/>
                <w:color w:val="auto"/>
                <w:kern w:val="2"/>
                <w:sz w:val="21"/>
                <w:szCs w:val="21"/>
                <w:shd w:val="clear" w:color="auto" w:fill="auto"/>
                <w:lang w:val="en-US"/>
              </w:rPr>
              <w:t>小时</w:t>
            </w:r>
            <w:r>
              <w:rPr>
                <w:rFonts w:hint="default" w:ascii="Times New Roman" w:hAnsi="Times New Roman" w:cs="Times New Roman"/>
                <w:color w:val="auto"/>
                <w:kern w:val="2"/>
                <w:sz w:val="21"/>
                <w:szCs w:val="21"/>
                <w:shd w:val="clear" w:color="auto" w:fill="auto"/>
                <w:lang w:val="en-US"/>
              </w:rPr>
              <w:t>以下</w:t>
            </w:r>
            <w:r>
              <w:rPr>
                <w:rFonts w:hint="default" w:ascii="Times New Roman" w:hAnsi="Times New Roman" w:cs="Times New Roman"/>
                <w:color w:val="auto"/>
                <w:kern w:val="2"/>
                <w:sz w:val="21"/>
                <w:szCs w:val="21"/>
                <w:shd w:val="clear" w:color="auto" w:fill="auto"/>
                <w:lang/>
              </w:rPr>
              <w:t>/</w:t>
            </w: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36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jc w:val="center"/>
        </w:trPr>
        <w:tc>
          <w:tcPr>
            <w:tcW w:w="140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rPr>
              <w:t>24</w:t>
            </w:r>
            <w:r>
              <w:rPr>
                <w:rFonts w:hint="default" w:ascii="Times New Roman" w:hAnsi="Times New Roman" w:eastAsia="宋体" w:cs="Times New Roman"/>
                <w:color w:val="auto"/>
                <w:kern w:val="2"/>
                <w:sz w:val="21"/>
                <w:szCs w:val="21"/>
                <w:shd w:val="clear" w:color="auto" w:fill="auto"/>
                <w:lang w:val="en-US"/>
              </w:rPr>
              <w:t>小时</w:t>
            </w:r>
            <w:r>
              <w:rPr>
                <w:rFonts w:hint="default" w:ascii="Times New Roman" w:hAnsi="Times New Roman" w:eastAsia="宋体" w:cs="Times New Roman"/>
                <w:color w:val="auto"/>
                <w:kern w:val="2"/>
                <w:sz w:val="21"/>
                <w:szCs w:val="21"/>
                <w:shd w:val="clear" w:color="auto" w:fill="auto"/>
                <w:lang w:val="en-US" w:eastAsia="zh-CN"/>
              </w:rPr>
              <w:t>以上</w:t>
            </w:r>
            <w:r>
              <w:rPr>
                <w:rFonts w:hint="default" w:ascii="Times New Roman" w:hAnsi="Times New Roman" w:eastAsia="宋体" w:cs="Times New Roman"/>
                <w:color w:val="auto"/>
                <w:kern w:val="2"/>
                <w:sz w:val="21"/>
                <w:szCs w:val="21"/>
                <w:shd w:val="clear" w:color="auto" w:fill="auto"/>
                <w:lang w:eastAsia="zh-CN"/>
              </w:rPr>
              <w:t>48</w:t>
            </w:r>
            <w:r>
              <w:rPr>
                <w:rFonts w:hint="default" w:ascii="Times New Roman" w:hAnsi="Times New Roman" w:eastAsia="宋体" w:cs="Times New Roman"/>
                <w:color w:val="auto"/>
                <w:kern w:val="2"/>
                <w:sz w:val="21"/>
                <w:szCs w:val="21"/>
                <w:shd w:val="clear" w:color="auto" w:fill="auto"/>
                <w:lang w:val="en-US"/>
              </w:rPr>
              <w:t>小时</w:t>
            </w:r>
            <w:r>
              <w:rPr>
                <w:rFonts w:hint="default" w:ascii="Times New Roman" w:hAnsi="Times New Roman" w:cs="Times New Roman"/>
                <w:color w:val="auto"/>
                <w:kern w:val="2"/>
                <w:sz w:val="21"/>
                <w:szCs w:val="21"/>
                <w:shd w:val="clear" w:color="auto" w:fill="auto"/>
                <w:lang w:val="en-US"/>
              </w:rPr>
              <w:t>以下</w:t>
            </w:r>
            <w:r>
              <w:rPr>
                <w:rFonts w:hint="default" w:ascii="Times New Roman" w:hAnsi="Times New Roman" w:cs="Times New Roman"/>
                <w:color w:val="auto"/>
                <w:kern w:val="2"/>
                <w:sz w:val="21"/>
                <w:szCs w:val="21"/>
                <w:shd w:val="clear" w:color="auto" w:fill="auto"/>
                <w:lang/>
              </w:rPr>
              <w:t>/</w:t>
            </w: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36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jc w:val="center"/>
        </w:trPr>
        <w:tc>
          <w:tcPr>
            <w:tcW w:w="140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rPr>
              <w:t>48</w:t>
            </w:r>
            <w:r>
              <w:rPr>
                <w:rFonts w:hint="default" w:ascii="Times New Roman" w:hAnsi="Times New Roman" w:eastAsia="宋体" w:cs="Times New Roman"/>
                <w:color w:val="auto"/>
                <w:kern w:val="2"/>
                <w:sz w:val="21"/>
                <w:szCs w:val="21"/>
                <w:shd w:val="clear" w:color="auto" w:fill="auto"/>
                <w:lang w:val="en-US"/>
              </w:rPr>
              <w:t>小时以上</w:t>
            </w:r>
            <w:r>
              <w:rPr>
                <w:rFonts w:hint="default" w:ascii="Times New Roman" w:hAnsi="Times New Roman" w:eastAsia="宋体" w:cs="Times New Roman"/>
                <w:color w:val="auto"/>
                <w:kern w:val="2"/>
                <w:sz w:val="21"/>
                <w:szCs w:val="21"/>
                <w:shd w:val="clear" w:color="auto" w:fill="auto"/>
                <w:lang/>
              </w:rPr>
              <w:t>/</w:t>
            </w: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36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69" w:hRule="atLeast"/>
          <w:jc w:val="center"/>
        </w:trPr>
        <w:tc>
          <w:tcPr>
            <w:tcW w:w="140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2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3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2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3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2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3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2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3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jc w:val="center"/>
        </w:trPr>
        <w:tc>
          <w:tcPr>
            <w:tcW w:w="140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5289" w:type="dxa"/>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3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3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3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40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2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3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3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3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3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40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54" w:type="dxa"/>
            <w:gridSpan w:val="2"/>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color w:val="auto"/>
                <w:sz w:val="20"/>
                <w:szCs w:val="20"/>
                <w:shd w:val="clear" w:color="auto" w:fill="auto"/>
              </w:rPr>
            </w:pPr>
          </w:p>
        </w:tc>
      </w:tr>
    </w:tbl>
    <w:p>
      <w:r>
        <w:br w:type="page"/>
      </w:r>
      <w:bookmarkEnd w:id="411"/>
      <w:bookmarkEnd w:id="412"/>
      <w:bookmarkEnd w:id="413"/>
      <w:bookmarkEnd w:id="414"/>
      <w:bookmarkEnd w:id="415"/>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5589"/>
        <w:gridCol w:w="2093"/>
      </w:tblGrid>
      <w:tr>
        <w:trPr>
          <w:trHeight w:val="283" w:hRule="atLeast"/>
          <w:jc w:val="center"/>
        </w:trPr>
        <w:tc>
          <w:tcPr>
            <w:tcW w:w="9060" w:type="dxa"/>
            <w:gridSpan w:val="3"/>
            <w:vAlign w:val="center"/>
          </w:tcPr>
          <w:p>
            <w:pPr>
              <w:shd w:val="clear" w:color="auto" w:fill="auto"/>
              <w:snapToGrid/>
              <w:spacing w:before="0" w:beforeAutospacing="0" w:after="0" w:afterAutospacing="0" w:line="240" w:lineRule="auto"/>
              <w:ind w:left="0" w:right="0" w:firstLine="0" w:firstLineChars="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九</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排污许可管理类</w:t>
            </w:r>
          </w:p>
        </w:tc>
      </w:tr>
      <w:tr>
        <w:trPr>
          <w:trHeight w:val="283" w:hRule="atLeast"/>
          <w:jc w:val="center"/>
        </w:trPr>
        <w:tc>
          <w:tcPr>
            <w:tcW w:w="13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82" w:type="dxa"/>
            <w:gridSpan w:val="2"/>
            <w:vAlign w:val="center"/>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cs="Times New Roman"/>
                <w:color w:val="auto"/>
                <w:sz w:val="20"/>
                <w:szCs w:val="20"/>
                <w:shd w:val="clear" w:color="auto" w:fill="auto"/>
              </w:rPr>
            </w:pPr>
            <w:bookmarkStart w:id="418" w:name="_Toc13484"/>
            <w:r>
              <w:rPr>
                <w:rFonts w:hint="default" w:ascii="Times New Roman" w:hAnsi="Times New Roman" w:cs="Times New Roman"/>
                <w:color w:val="auto"/>
                <w:sz w:val="20"/>
                <w:szCs w:val="20"/>
                <w:shd w:val="clear" w:color="auto" w:fill="auto"/>
              </w:rPr>
              <w:t>6</w:t>
            </w:r>
            <w:bookmarkEnd w:id="418"/>
          </w:p>
        </w:tc>
      </w:tr>
      <w:tr>
        <w:trPr>
          <w:trHeight w:val="283" w:hRule="atLeast"/>
          <w:jc w:val="center"/>
        </w:trPr>
        <w:tc>
          <w:tcPr>
            <w:tcW w:w="13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82" w:type="dxa"/>
            <w:gridSpan w:val="2"/>
            <w:vAlign w:val="top"/>
          </w:tcPr>
          <w:p>
            <w:pPr>
              <w:shd w:val="clear" w:color="auto" w:fill="auto"/>
              <w:snapToGrid w:val="0"/>
              <w:spacing w:before="0" w:beforeAutospacing="0" w:after="0" w:afterAutospacing="0" w:line="320" w:lineRule="exact"/>
              <w:ind w:left="0" w:right="0" w:firstLine="420"/>
              <w:outlineLvl w:val="0"/>
              <w:rPr>
                <w:rFonts w:hint="default" w:ascii="Times New Roman" w:hAnsi="Times New Roman" w:cs="Times New Roman"/>
                <w:color w:val="auto"/>
                <w:sz w:val="20"/>
                <w:szCs w:val="20"/>
                <w:shd w:val="clear" w:color="auto" w:fill="auto"/>
              </w:rPr>
            </w:pPr>
            <w:bookmarkStart w:id="419" w:name="_Toc18998"/>
            <w:r>
              <w:rPr>
                <w:rFonts w:hint="default" w:ascii="Times New Roman" w:hAnsi="Times New Roman" w:cs="Times New Roman"/>
                <w:color w:val="auto"/>
                <w:sz w:val="20"/>
                <w:szCs w:val="20"/>
                <w:shd w:val="clear" w:color="auto" w:fill="auto"/>
              </w:rPr>
              <w:t>通过暗管、渗井、渗坑、灌注或者篡改、伪造监测数据，或者不正常运行污染防治设施等逃避监管的方式违法排放污染物</w:t>
            </w:r>
            <w:r>
              <w:rPr>
                <w:rFonts w:hint="default" w:ascii="Times New Roman" w:hAnsi="Times New Roman" w:cs="Times New Roman"/>
                <w:color w:val="auto"/>
                <w:sz w:val="20"/>
                <w:szCs w:val="20"/>
                <w:shd w:val="clear" w:color="auto" w:fill="auto"/>
                <w:lang w:eastAsia="zh-CN"/>
              </w:rPr>
              <w:t>的</w:t>
            </w:r>
            <w:bookmarkEnd w:id="419"/>
          </w:p>
        </w:tc>
      </w:tr>
      <w:tr>
        <w:trPr>
          <w:trHeight w:val="90" w:hRule="atLeast"/>
          <w:jc w:val="center"/>
        </w:trPr>
        <w:tc>
          <w:tcPr>
            <w:tcW w:w="13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82" w:type="dxa"/>
            <w:gridSpan w:val="2"/>
            <w:vAlign w:val="top"/>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《排污许可管理条例》第十七条第二款 </w:t>
            </w:r>
            <w:r>
              <w:rPr>
                <w:rFonts w:hint="default" w:ascii="Times New Roman" w:hAnsi="Times New Roman" w:cs="Times New Roman"/>
                <w:color w:val="auto"/>
                <w:sz w:val="21"/>
                <w:szCs w:val="21"/>
                <w:shd w:val="clear" w:color="auto" w:fill="auto"/>
              </w:rPr>
              <w:t>排污单位应当遵守排污许可证规定，按照生态环境管理要求运行和维护污染防治设施，建立环境管理制度，严格控制污染物排放。</w:t>
            </w:r>
          </w:p>
        </w:tc>
      </w:tr>
      <w:tr>
        <w:trPr>
          <w:trHeight w:val="1547" w:hRule="atLeast"/>
          <w:jc w:val="center"/>
        </w:trPr>
        <w:tc>
          <w:tcPr>
            <w:tcW w:w="13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82" w:type="dxa"/>
            <w:gridSpan w:val="2"/>
            <w:vAlign w:val="top"/>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《排污许可管理条例》</w:t>
            </w:r>
            <w:r>
              <w:rPr>
                <w:rFonts w:hint="default" w:ascii="Times New Roman" w:hAnsi="Times New Roman" w:cs="Times New Roman"/>
                <w:b/>
                <w:bCs/>
                <w:color w:val="auto"/>
                <w:kern w:val="2"/>
                <w:sz w:val="21"/>
                <w:szCs w:val="21"/>
                <w:shd w:val="clear" w:color="auto" w:fill="auto"/>
              </w:rPr>
              <w:t xml:space="preserve">第三十四条第二项 </w:t>
            </w:r>
            <w:r>
              <w:rPr>
                <w:rFonts w:hint="default" w:ascii="Times New Roman" w:hAnsi="Times New Roman" w:cs="Times New Roman"/>
                <w:color w:val="auto"/>
                <w:kern w:val="2"/>
                <w:sz w:val="21"/>
                <w:szCs w:val="21"/>
                <w:shd w:val="clear" w:color="auto" w:fill="auto"/>
              </w:rPr>
              <w:t>违反本条例规定，排污单位有下列行为之一的，由生态环境主管部门责令改正或者限制生产、停产整治，处20万元以上100万元以下的罚款；情节严重的，吊销排污许可证，报经有批准权的人民政府批准，责令停业、关闭：</w:t>
            </w:r>
          </w:p>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b/>
                <w:bCs/>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（二）通过暗管、渗井、渗坑、灌注或者篡改、伪造监测数据，或者不正常运行污染防治设施等逃避监管的方式违法排放污染物</w:t>
            </w:r>
            <w:r>
              <w:rPr>
                <w:rFonts w:hint="default" w:ascii="Times New Roman" w:hAnsi="Times New Roman" w:cs="Times New Roman"/>
                <w:color w:val="auto"/>
                <w:kern w:val="2"/>
                <w:sz w:val="21"/>
                <w:szCs w:val="21"/>
                <w:shd w:val="clear" w:color="auto" w:fill="auto"/>
                <w:lang w:eastAsia="zh-CN"/>
              </w:rPr>
              <w:t>；</w:t>
            </w:r>
          </w:p>
        </w:tc>
      </w:tr>
      <w:tr>
        <w:trPr>
          <w:trHeight w:val="283" w:hRule="atLeast"/>
          <w:jc w:val="center"/>
        </w:trPr>
        <w:tc>
          <w:tcPr>
            <w:tcW w:w="13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5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283" w:hRule="atLeast"/>
          <w:jc w:val="center"/>
        </w:trPr>
        <w:tc>
          <w:tcPr>
            <w:tcW w:w="137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58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rPr>
              <w:t>部分处理设施</w:t>
            </w:r>
            <w:r>
              <w:rPr>
                <w:rFonts w:hint="default" w:ascii="Times New Roman" w:hAnsi="Times New Roman" w:cs="Times New Roman"/>
                <w:color w:val="auto"/>
                <w:kern w:val="2"/>
                <w:sz w:val="21"/>
                <w:szCs w:val="21"/>
                <w:shd w:val="clear" w:color="auto" w:fill="auto"/>
                <w:lang w:eastAsia="zh-CN"/>
              </w:rPr>
              <w:t>未按要求</w:t>
            </w:r>
            <w:r>
              <w:rPr>
                <w:rFonts w:hint="default" w:ascii="Times New Roman" w:hAnsi="Times New Roman" w:cs="Times New Roman"/>
                <w:color w:val="auto"/>
                <w:kern w:val="2"/>
                <w:sz w:val="21"/>
                <w:szCs w:val="21"/>
                <w:shd w:val="clear" w:color="auto" w:fill="auto"/>
              </w:rPr>
              <w:t>正常运行</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283"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rPr>
              <w:t>部分处理设施停运</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283"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rPr>
              <w:t>整体或关键处理设施</w:t>
            </w:r>
            <w:r>
              <w:rPr>
                <w:rFonts w:hint="default" w:ascii="Times New Roman" w:hAnsi="Times New Roman" w:cs="Times New Roman"/>
                <w:color w:val="auto"/>
                <w:kern w:val="2"/>
                <w:sz w:val="21"/>
                <w:szCs w:val="21"/>
                <w:shd w:val="clear" w:color="auto" w:fill="auto"/>
                <w:lang w:eastAsia="zh-CN"/>
              </w:rPr>
              <w:t>未按要求</w:t>
            </w:r>
            <w:r>
              <w:rPr>
                <w:rFonts w:hint="default" w:ascii="Times New Roman" w:hAnsi="Times New Roman" w:cs="Times New Roman"/>
                <w:color w:val="auto"/>
                <w:kern w:val="2"/>
                <w:sz w:val="21"/>
                <w:szCs w:val="21"/>
                <w:shd w:val="clear" w:color="auto" w:fill="auto"/>
              </w:rPr>
              <w:t>正常运行</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90"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rPr>
              <w:t>整体或关键处理设施停运/为逃避现场检查临时停产</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283"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pStyle w:val="18"/>
              <w:shd w:val="clear" w:color="auto" w:fill="auto"/>
              <w:snapToGrid w:val="0"/>
              <w:spacing w:before="0" w:beforeAutospacing="0" w:after="0" w:afterAutospacing="0" w:line="320" w:lineRule="exact"/>
              <w:ind w:left="0" w:right="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rPr>
              <w:t>正常生产时不通过处理设施</w:t>
            </w:r>
            <w:r>
              <w:rPr>
                <w:rFonts w:hint="default" w:ascii="Times New Roman" w:hAnsi="Times New Roman" w:cs="Times New Roman"/>
                <w:color w:val="auto"/>
                <w:kern w:val="2"/>
                <w:sz w:val="21"/>
                <w:szCs w:val="21"/>
                <w:shd w:val="clear" w:color="auto" w:fill="auto"/>
                <w:lang w:eastAsia="zh-CN"/>
              </w:rPr>
              <w:t>，</w:t>
            </w:r>
            <w:r>
              <w:rPr>
                <w:rFonts w:hint="default" w:ascii="Times New Roman" w:hAnsi="Times New Roman" w:cs="Times New Roman"/>
                <w:color w:val="auto"/>
                <w:kern w:val="2"/>
                <w:sz w:val="21"/>
                <w:szCs w:val="21"/>
                <w:shd w:val="clear" w:color="auto" w:fill="auto"/>
              </w:rPr>
              <w:t>利用暗管、渗井、渗坑、灌注</w:t>
            </w:r>
            <w:r>
              <w:rPr>
                <w:rFonts w:hint="default" w:ascii="Times New Roman" w:hAnsi="Times New Roman" w:cs="Times New Roman"/>
                <w:color w:val="auto"/>
                <w:kern w:val="2"/>
                <w:sz w:val="21"/>
                <w:szCs w:val="21"/>
                <w:shd w:val="clear" w:color="auto" w:fill="auto"/>
                <w:lang w:eastAsia="zh-CN"/>
              </w:rPr>
              <w:t>的</w:t>
            </w:r>
            <w:r>
              <w:rPr>
                <w:rFonts w:hint="default" w:ascii="Times New Roman" w:hAnsi="Times New Roman" w:cs="Times New Roman"/>
                <w:color w:val="auto"/>
                <w:kern w:val="2"/>
                <w:sz w:val="21"/>
                <w:szCs w:val="21"/>
                <w:shd w:val="clear" w:color="auto" w:fill="auto"/>
              </w:rPr>
              <w:t>方式直接排放</w:t>
            </w:r>
            <w:r>
              <w:rPr>
                <w:rFonts w:hint="default" w:ascii="Times New Roman" w:hAnsi="Times New Roman" w:cs="Times New Roman"/>
                <w:color w:val="auto"/>
                <w:kern w:val="2"/>
                <w:sz w:val="21"/>
                <w:szCs w:val="21"/>
                <w:shd w:val="clear" w:color="auto" w:fill="auto"/>
                <w:lang w:val="en-US" w:eastAsia="zh-CN"/>
              </w:rPr>
              <w:t>/擅自</w:t>
            </w:r>
            <w:r>
              <w:rPr>
                <w:rFonts w:hint="default" w:ascii="Times New Roman" w:hAnsi="Times New Roman" w:cs="Times New Roman"/>
                <w:color w:val="auto"/>
                <w:kern w:val="2"/>
                <w:sz w:val="21"/>
                <w:szCs w:val="21"/>
                <w:shd w:val="clear" w:color="auto" w:fill="auto"/>
              </w:rPr>
              <w:t>关闭自动监测设备/篡改、伪造监测数据</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83" w:hRule="atLeast"/>
          <w:jc w:val="center"/>
        </w:trPr>
        <w:tc>
          <w:tcPr>
            <w:tcW w:w="137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污染物类别</w:t>
            </w:r>
          </w:p>
        </w:tc>
        <w:tc>
          <w:tcPr>
            <w:tcW w:w="5589"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1"/>
                <w:shd w:val="clear" w:color="auto" w:fill="auto"/>
              </w:rPr>
              <w:t>农业生产、畜禽养殖废气/机械、汽车修理废气/生活废水</w:t>
            </w:r>
            <w:r>
              <w:rPr>
                <w:rFonts w:hint="default" w:ascii="Times New Roman" w:hAnsi="Times New Roman" w:cs="Times New Roman"/>
                <w:color w:val="auto"/>
                <w:sz w:val="20"/>
                <w:szCs w:val="20"/>
                <w:shd w:val="clear" w:color="auto" w:fill="auto"/>
              </w:rPr>
              <w:t xml:space="preserve"> </w:t>
            </w:r>
            <w:r>
              <w:rPr>
                <w:rFonts w:hint="eastAsia" w:ascii="Times New Roman" w:hAnsi="Times New Roman" w:cs="Times New Roman"/>
                <w:color w:val="auto"/>
                <w:sz w:val="20"/>
                <w:szCs w:val="20"/>
                <w:shd w:val="clear" w:color="auto" w:fill="auto"/>
                <w:lang w:val="en-US" w:eastAsia="zh-CN"/>
              </w:rPr>
              <w:t>/规模以下畜禽养殖废水</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283"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1"/>
                <w:shd w:val="clear" w:color="auto" w:fill="auto"/>
              </w:rPr>
              <w:t>工业扬尘废气</w:t>
            </w:r>
            <w:r>
              <w:rPr>
                <w:rFonts w:hint="default" w:ascii="Times New Roman" w:hAnsi="Times New Roman" w:cs="Times New Roman"/>
                <w:color w:val="auto"/>
                <w:sz w:val="20"/>
                <w:szCs w:val="21"/>
                <w:shd w:val="clear" w:color="auto" w:fill="auto"/>
                <w:lang w:val="en-US" w:eastAsia="zh-CN"/>
              </w:rPr>
              <w:t>/</w:t>
            </w:r>
            <w:r>
              <w:rPr>
                <w:rFonts w:hint="default" w:ascii="Times New Roman" w:hAnsi="Times New Roman" w:cs="Times New Roman"/>
                <w:color w:val="auto"/>
                <w:sz w:val="20"/>
                <w:szCs w:val="21"/>
                <w:shd w:val="clear" w:color="auto" w:fill="auto"/>
              </w:rPr>
              <w:t>服务业废水</w:t>
            </w:r>
            <w:r>
              <w:rPr>
                <w:rFonts w:hint="default" w:ascii="Times New Roman" w:hAnsi="Times New Roman" w:cs="Times New Roman"/>
                <w:color w:val="auto"/>
                <w:sz w:val="20"/>
                <w:szCs w:val="20"/>
                <w:shd w:val="clear" w:color="auto" w:fill="auto"/>
              </w:rPr>
              <w:t xml:space="preserve"> </w:t>
            </w:r>
            <w:r>
              <w:rPr>
                <w:rFonts w:hint="eastAsia" w:ascii="Times New Roman" w:hAnsi="Times New Roman" w:cs="Times New Roman"/>
                <w:color w:val="auto"/>
                <w:sz w:val="20"/>
                <w:szCs w:val="20"/>
                <w:shd w:val="clear" w:color="auto" w:fill="auto"/>
                <w:lang w:val="en-US" w:eastAsia="zh-CN"/>
              </w:rPr>
              <w:t>/规模化畜禽养殖废水</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283"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1"/>
                <w:shd w:val="clear" w:color="auto" w:fill="auto"/>
              </w:rPr>
              <w:t xml:space="preserve">一般工业废气/含恶臭污染物的废气/医疗废气/实验室废气/一般工业废水 </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283"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pacing w:val="-6"/>
                <w:sz w:val="20"/>
                <w:szCs w:val="21"/>
                <w:shd w:val="clear" w:color="auto" w:fill="auto"/>
              </w:rPr>
              <w:t>火电、钢铁、石化、水泥、炼焦、有色、化工废气、烟尘/燃煤锅炉废气、烟尘/含其他有毒有害物质的废水、医疗废水</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283"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1"/>
                <w:shd w:val="clear" w:color="auto" w:fill="auto"/>
              </w:rPr>
              <w:t>含有毒有害物质的废气/含一类污染物或重金属、病原体、放射性物质的废水</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83" w:hRule="atLeast"/>
          <w:jc w:val="center"/>
        </w:trPr>
        <w:tc>
          <w:tcPr>
            <w:tcW w:w="137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排污超标</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状况</w:t>
            </w:r>
          </w:p>
        </w:tc>
        <w:tc>
          <w:tcPr>
            <w:tcW w:w="55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未超标</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283"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超标0.5倍以下（pH值9-10或pH值5-6）</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283"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超标0.5倍以上1倍以下（pH值10-11或pH值4-5）</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283"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超标1倍以上2倍以下（pH值11-12.5或pH值2-4）</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283"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超标2倍以上（pH值12.5以上或pH值2以下）</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83" w:hRule="atLeast"/>
          <w:jc w:val="center"/>
        </w:trPr>
        <w:tc>
          <w:tcPr>
            <w:tcW w:w="1378" w:type="dxa"/>
            <w:vMerge w:val="restart"/>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持续时间</w:t>
            </w:r>
          </w:p>
        </w:tc>
        <w:tc>
          <w:tcPr>
            <w:tcW w:w="55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w:t>
            </w:r>
            <w:r>
              <w:rPr>
                <w:rFonts w:hint="default" w:ascii="Times New Roman" w:hAnsi="Times New Roman" w:cs="Times New Roman"/>
                <w:color w:val="auto"/>
                <w:sz w:val="20"/>
                <w:szCs w:val="20"/>
                <w:shd w:val="clear" w:color="auto" w:fill="auto"/>
                <w:lang w:val="en-US"/>
              </w:rPr>
              <w:t>以下</w:t>
            </w:r>
            <w:r>
              <w:rPr>
                <w:rFonts w:hint="default" w:ascii="Times New Roman" w:hAnsi="Times New Roman" w:cs="Times New Roman"/>
                <w:color w:val="auto"/>
                <w:sz w:val="20"/>
                <w:szCs w:val="20"/>
                <w:shd w:val="clear" w:color="auto" w:fill="auto"/>
              </w:rPr>
              <w:t>的</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283"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1个月以上3个月以下的</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283"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3个月以上6个月以下的</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283"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6个月以上1年以下的</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283"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1年以上的</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283" w:hRule="atLeast"/>
          <w:jc w:val="center"/>
        </w:trPr>
        <w:tc>
          <w:tcPr>
            <w:tcW w:w="1378" w:type="dxa"/>
            <w:vMerge w:val="restart"/>
            <w:vAlign w:val="center"/>
          </w:tcPr>
          <w:p>
            <w:pPr>
              <w:widowControl/>
              <w:shd w:val="clear" w:color="auto" w:fill="auto"/>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eastAsia" w:ascii="Times New Roman" w:hAnsi="Times New Roman" w:cs="Times New Roman"/>
                <w:b/>
                <w:bCs/>
                <w:color w:val="auto"/>
                <w:sz w:val="20"/>
                <w:szCs w:val="20"/>
                <w:shd w:val="clear" w:color="auto" w:fill="auto"/>
                <w:lang w:eastAsia="zh-CN"/>
              </w:rPr>
              <w:t>小时烟气流量</w:t>
            </w:r>
            <w:r>
              <w:rPr>
                <w:rFonts w:hint="default" w:ascii="Times New Roman" w:hAnsi="Times New Roman" w:cs="Times New Roman"/>
                <w:b/>
                <w:bCs/>
                <w:color w:val="auto"/>
                <w:sz w:val="20"/>
                <w:szCs w:val="20"/>
                <w:shd w:val="clear" w:color="auto" w:fill="auto"/>
              </w:rPr>
              <w:t>、水日排放量</w:t>
            </w:r>
          </w:p>
        </w:tc>
        <w:tc>
          <w:tcPr>
            <w:tcW w:w="5589"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1000标立方米</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/10吨</w:t>
            </w:r>
            <w:r>
              <w:rPr>
                <w:rFonts w:hint="default" w:ascii="Times New Roman" w:hAnsi="Times New Roman" w:cs="Times New Roman"/>
                <w:color w:val="auto"/>
                <w:kern w:val="0"/>
                <w:sz w:val="20"/>
                <w:szCs w:val="20"/>
                <w:shd w:val="clear" w:color="auto" w:fill="auto"/>
                <w:lang w:val="en-US"/>
              </w:rPr>
              <w:t>以下</w:t>
            </w:r>
            <w:r>
              <w:rPr>
                <w:rFonts w:hint="default" w:ascii="Times New Roman" w:hAnsi="Times New Roman" w:cs="Times New Roman"/>
                <w:color w:val="auto"/>
                <w:sz w:val="20"/>
                <w:szCs w:val="20"/>
                <w:shd w:val="clear" w:color="auto" w:fill="auto"/>
              </w:rPr>
              <w:t>（一般排污单位）/</w:t>
            </w:r>
            <w:r>
              <w:rPr>
                <w:rFonts w:hint="eastAsia" w:ascii="Times New Roman" w:hAnsi="Times New Roman" w:cs="Times New Roman"/>
                <w:color w:val="auto"/>
                <w:sz w:val="20"/>
                <w:szCs w:val="20"/>
                <w:shd w:val="clear" w:color="auto" w:fill="auto"/>
                <w:lang w:eastAsia="zh-CN"/>
              </w:rPr>
              <w:t>2</w:t>
            </w:r>
            <w:r>
              <w:rPr>
                <w:rFonts w:hint="default" w:ascii="Times New Roman" w:hAnsi="Times New Roman" w:cs="Times New Roman"/>
                <w:color w:val="auto"/>
                <w:sz w:val="20"/>
                <w:szCs w:val="20"/>
                <w:shd w:val="clear" w:color="auto" w:fill="auto"/>
              </w:rPr>
              <w:t>万吨</w:t>
            </w:r>
            <w:r>
              <w:rPr>
                <w:rFonts w:hint="default" w:ascii="Times New Roman" w:hAnsi="Times New Roman" w:cs="Times New Roman"/>
                <w:color w:val="auto"/>
                <w:kern w:val="0"/>
                <w:sz w:val="20"/>
                <w:szCs w:val="20"/>
                <w:shd w:val="clear" w:color="auto" w:fill="auto"/>
                <w:lang w:val="en-US"/>
              </w:rPr>
              <w:t>以下</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集中式污水处理厂</w:t>
            </w:r>
            <w:r>
              <w:rPr>
                <w:rFonts w:hint="default" w:ascii="Times New Roman" w:hAnsi="Times New Roman" w:cs="Times New Roman"/>
                <w:color w:val="auto"/>
                <w:sz w:val="20"/>
                <w:szCs w:val="20"/>
                <w:shd w:val="clear" w:color="auto" w:fill="auto"/>
              </w:rPr>
              <w:t>）</w:t>
            </w:r>
          </w:p>
        </w:tc>
        <w:tc>
          <w:tcPr>
            <w:tcW w:w="2093" w:type="dxa"/>
            <w:vAlign w:val="center"/>
          </w:tcPr>
          <w:p>
            <w:pPr>
              <w:widowControl/>
              <w:shd w:val="clear" w:color="auto" w:fill="auto"/>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1</w:t>
            </w:r>
          </w:p>
        </w:tc>
      </w:tr>
      <w:tr>
        <w:trPr>
          <w:trHeight w:val="283"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1000标立方米以上1万标立方米</w:t>
            </w:r>
            <w:r>
              <w:rPr>
                <w:rFonts w:hint="default" w:ascii="Times New Roman" w:hAnsi="Times New Roman" w:cs="Times New Roman"/>
                <w:color w:val="auto"/>
                <w:kern w:val="0"/>
                <w:sz w:val="20"/>
                <w:szCs w:val="20"/>
                <w:shd w:val="clear" w:color="auto" w:fill="auto"/>
                <w:lang w:val="en-US"/>
              </w:rPr>
              <w:t>以下</w:t>
            </w:r>
            <w:r>
              <w:rPr>
                <w:rFonts w:hint="default" w:ascii="Times New Roman" w:hAnsi="Times New Roman" w:cs="Times New Roman"/>
                <w:color w:val="auto"/>
                <w:sz w:val="20"/>
                <w:szCs w:val="20"/>
                <w:shd w:val="clear" w:color="auto" w:fill="auto"/>
              </w:rPr>
              <w:t>/10吨以上100吨</w:t>
            </w:r>
            <w:r>
              <w:rPr>
                <w:rFonts w:hint="default" w:ascii="Times New Roman" w:hAnsi="Times New Roman" w:cs="Times New Roman"/>
                <w:color w:val="auto"/>
                <w:kern w:val="0"/>
                <w:sz w:val="20"/>
                <w:szCs w:val="20"/>
                <w:shd w:val="clear" w:color="auto" w:fill="auto"/>
                <w:lang w:val="en-US"/>
              </w:rPr>
              <w:t>以下</w:t>
            </w:r>
            <w:r>
              <w:rPr>
                <w:rFonts w:hint="default" w:ascii="Times New Roman" w:hAnsi="Times New Roman" w:cs="Times New Roman"/>
                <w:color w:val="auto"/>
                <w:sz w:val="20"/>
                <w:szCs w:val="20"/>
                <w:shd w:val="clear" w:color="auto" w:fill="auto"/>
              </w:rPr>
              <w:t>（一般排污单位）/</w:t>
            </w:r>
            <w:r>
              <w:rPr>
                <w:rFonts w:hint="eastAsia" w:ascii="Times New Roman" w:hAnsi="Times New Roman" w:cs="Times New Roman"/>
                <w:color w:val="auto"/>
                <w:sz w:val="20"/>
                <w:szCs w:val="20"/>
                <w:shd w:val="clear" w:color="auto" w:fill="auto"/>
                <w:lang w:eastAsia="zh-CN"/>
              </w:rPr>
              <w:t>2</w:t>
            </w:r>
            <w:r>
              <w:rPr>
                <w:rFonts w:hint="default" w:ascii="Times New Roman" w:hAnsi="Times New Roman" w:cs="Times New Roman"/>
                <w:color w:val="auto"/>
                <w:sz w:val="20"/>
                <w:szCs w:val="20"/>
                <w:shd w:val="clear" w:color="auto" w:fill="auto"/>
              </w:rPr>
              <w:t>万吨以上</w:t>
            </w:r>
            <w:r>
              <w:rPr>
                <w:rFonts w:hint="eastAsia" w:ascii="Times New Roman" w:hAnsi="Times New Roman" w:cs="Times New Roman"/>
                <w:color w:val="auto"/>
                <w:sz w:val="20"/>
                <w:szCs w:val="20"/>
                <w:shd w:val="clear" w:color="auto" w:fill="auto"/>
                <w:lang w:eastAsia="zh-CN"/>
              </w:rPr>
              <w:t>3</w:t>
            </w:r>
            <w:r>
              <w:rPr>
                <w:rFonts w:hint="default" w:ascii="Times New Roman" w:hAnsi="Times New Roman" w:cs="Times New Roman"/>
                <w:color w:val="auto"/>
                <w:sz w:val="20"/>
                <w:szCs w:val="20"/>
                <w:shd w:val="clear" w:color="auto" w:fill="auto"/>
              </w:rPr>
              <w:t>万吨</w:t>
            </w:r>
            <w:r>
              <w:rPr>
                <w:rFonts w:hint="default" w:ascii="Times New Roman" w:hAnsi="Times New Roman" w:cs="Times New Roman"/>
                <w:color w:val="auto"/>
                <w:kern w:val="0"/>
                <w:sz w:val="20"/>
                <w:szCs w:val="20"/>
                <w:shd w:val="clear" w:color="auto" w:fill="auto"/>
                <w:lang w:val="en-US"/>
              </w:rPr>
              <w:t>以下</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集中式污水处理厂</w:t>
            </w:r>
            <w:r>
              <w:rPr>
                <w:rFonts w:hint="default" w:ascii="Times New Roman" w:hAnsi="Times New Roman" w:cs="Times New Roman"/>
                <w:color w:val="auto"/>
                <w:sz w:val="20"/>
                <w:szCs w:val="20"/>
                <w:shd w:val="clear" w:color="auto" w:fill="auto"/>
              </w:rPr>
              <w:t>）</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2</w:t>
            </w:r>
          </w:p>
        </w:tc>
      </w:tr>
      <w:tr>
        <w:trPr>
          <w:trHeight w:val="283"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1万标立方米以上10万标立方米</w:t>
            </w:r>
            <w:r>
              <w:rPr>
                <w:rFonts w:hint="default" w:ascii="Times New Roman" w:hAnsi="Times New Roman" w:cs="Times New Roman"/>
                <w:color w:val="auto"/>
                <w:kern w:val="0"/>
                <w:sz w:val="20"/>
                <w:szCs w:val="20"/>
                <w:shd w:val="clear" w:color="auto" w:fill="auto"/>
                <w:lang w:val="en-US"/>
              </w:rPr>
              <w:t>以下</w:t>
            </w:r>
            <w:r>
              <w:rPr>
                <w:rFonts w:hint="default" w:ascii="Times New Roman" w:hAnsi="Times New Roman" w:cs="Times New Roman"/>
                <w:color w:val="auto"/>
                <w:sz w:val="20"/>
                <w:szCs w:val="20"/>
                <w:shd w:val="clear" w:color="auto" w:fill="auto"/>
              </w:rPr>
              <w:t>/100吨以上500吨</w:t>
            </w:r>
            <w:r>
              <w:rPr>
                <w:rFonts w:hint="default" w:ascii="Times New Roman" w:hAnsi="Times New Roman" w:cs="Times New Roman"/>
                <w:color w:val="auto"/>
                <w:kern w:val="0"/>
                <w:sz w:val="20"/>
                <w:szCs w:val="20"/>
                <w:shd w:val="clear" w:color="auto" w:fill="auto"/>
                <w:lang w:val="en-US"/>
              </w:rPr>
              <w:t>以下</w:t>
            </w:r>
            <w:r>
              <w:rPr>
                <w:rFonts w:hint="default" w:ascii="Times New Roman" w:hAnsi="Times New Roman" w:cs="Times New Roman"/>
                <w:color w:val="auto"/>
                <w:sz w:val="20"/>
                <w:szCs w:val="20"/>
                <w:shd w:val="clear" w:color="auto" w:fill="auto"/>
              </w:rPr>
              <w:t>（一般排污单位）/</w:t>
            </w:r>
            <w:r>
              <w:rPr>
                <w:rFonts w:hint="eastAsia" w:ascii="Times New Roman" w:hAnsi="Times New Roman" w:cs="Times New Roman"/>
                <w:color w:val="auto"/>
                <w:sz w:val="20"/>
                <w:szCs w:val="20"/>
                <w:shd w:val="clear" w:color="auto" w:fill="auto"/>
                <w:lang w:eastAsia="zh-CN"/>
              </w:rPr>
              <w:t>3</w:t>
            </w:r>
            <w:r>
              <w:rPr>
                <w:rFonts w:hint="default" w:ascii="Times New Roman" w:hAnsi="Times New Roman" w:cs="Times New Roman"/>
                <w:color w:val="auto"/>
                <w:sz w:val="20"/>
                <w:szCs w:val="20"/>
                <w:shd w:val="clear" w:color="auto" w:fill="auto"/>
              </w:rPr>
              <w:t>万吨以上</w:t>
            </w:r>
            <w:r>
              <w:rPr>
                <w:rFonts w:hint="eastAsia" w:ascii="Times New Roman" w:hAnsi="Times New Roman" w:cs="Times New Roman"/>
                <w:color w:val="auto"/>
                <w:sz w:val="20"/>
                <w:szCs w:val="20"/>
                <w:shd w:val="clear" w:color="auto" w:fill="auto"/>
                <w:lang w:eastAsia="zh-CN"/>
              </w:rPr>
              <w:t>5</w:t>
            </w:r>
            <w:r>
              <w:rPr>
                <w:rFonts w:hint="default" w:ascii="Times New Roman" w:hAnsi="Times New Roman" w:cs="Times New Roman"/>
                <w:color w:val="auto"/>
                <w:sz w:val="20"/>
                <w:szCs w:val="20"/>
                <w:shd w:val="clear" w:color="auto" w:fill="auto"/>
              </w:rPr>
              <w:t>万吨</w:t>
            </w:r>
            <w:r>
              <w:rPr>
                <w:rFonts w:hint="default" w:ascii="Times New Roman" w:hAnsi="Times New Roman" w:cs="Times New Roman"/>
                <w:color w:val="auto"/>
                <w:kern w:val="0"/>
                <w:sz w:val="20"/>
                <w:szCs w:val="20"/>
                <w:shd w:val="clear" w:color="auto" w:fill="auto"/>
                <w:lang w:val="en-US"/>
              </w:rPr>
              <w:t>以下</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集中式污水处理厂</w:t>
            </w:r>
            <w:r>
              <w:rPr>
                <w:rFonts w:hint="default" w:ascii="Times New Roman" w:hAnsi="Times New Roman" w:cs="Times New Roman"/>
                <w:color w:val="auto"/>
                <w:sz w:val="20"/>
                <w:szCs w:val="20"/>
                <w:shd w:val="clear" w:color="auto" w:fill="auto"/>
              </w:rPr>
              <w:t>）</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3</w:t>
            </w:r>
          </w:p>
        </w:tc>
      </w:tr>
      <w:tr>
        <w:trPr>
          <w:trHeight w:val="283"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10万标立方米以上20万标立方米</w:t>
            </w:r>
            <w:r>
              <w:rPr>
                <w:rFonts w:hint="default" w:ascii="Times New Roman" w:hAnsi="Times New Roman" w:cs="Times New Roman"/>
                <w:color w:val="auto"/>
                <w:kern w:val="0"/>
                <w:sz w:val="20"/>
                <w:szCs w:val="20"/>
                <w:shd w:val="clear" w:color="auto" w:fill="auto"/>
                <w:lang w:val="en-US"/>
              </w:rPr>
              <w:t>以下</w:t>
            </w:r>
            <w:r>
              <w:rPr>
                <w:rFonts w:hint="default" w:ascii="Times New Roman" w:hAnsi="Times New Roman" w:cs="Times New Roman"/>
                <w:color w:val="auto"/>
                <w:sz w:val="20"/>
                <w:szCs w:val="20"/>
                <w:shd w:val="clear" w:color="auto" w:fill="auto"/>
              </w:rPr>
              <w:t>/500吨以上1000吨</w:t>
            </w:r>
            <w:r>
              <w:rPr>
                <w:rFonts w:hint="default" w:ascii="Times New Roman" w:hAnsi="Times New Roman" w:cs="Times New Roman"/>
                <w:color w:val="auto"/>
                <w:kern w:val="0"/>
                <w:sz w:val="20"/>
                <w:szCs w:val="20"/>
                <w:shd w:val="clear" w:color="auto" w:fill="auto"/>
                <w:lang w:val="en-US"/>
              </w:rPr>
              <w:t>以下</w:t>
            </w:r>
            <w:r>
              <w:rPr>
                <w:rFonts w:hint="default" w:ascii="Times New Roman" w:hAnsi="Times New Roman" w:cs="Times New Roman"/>
                <w:color w:val="auto"/>
                <w:sz w:val="20"/>
                <w:szCs w:val="20"/>
                <w:shd w:val="clear" w:color="auto" w:fill="auto"/>
              </w:rPr>
              <w:t>（一般排污单位）/</w:t>
            </w:r>
            <w:r>
              <w:rPr>
                <w:rFonts w:hint="eastAsia" w:ascii="Times New Roman" w:hAnsi="Times New Roman" w:cs="Times New Roman"/>
                <w:color w:val="auto"/>
                <w:sz w:val="20"/>
                <w:szCs w:val="20"/>
                <w:shd w:val="clear" w:color="auto" w:fill="auto"/>
                <w:lang w:eastAsia="zh-CN"/>
              </w:rPr>
              <w:t>5</w:t>
            </w:r>
            <w:r>
              <w:rPr>
                <w:rFonts w:hint="default" w:ascii="Times New Roman" w:hAnsi="Times New Roman" w:cs="Times New Roman"/>
                <w:color w:val="auto"/>
                <w:sz w:val="20"/>
                <w:szCs w:val="20"/>
                <w:shd w:val="clear" w:color="auto" w:fill="auto"/>
              </w:rPr>
              <w:t>万吨以上</w:t>
            </w:r>
            <w:r>
              <w:rPr>
                <w:rFonts w:hint="eastAsia" w:ascii="Times New Roman" w:hAnsi="Times New Roman" w:cs="Times New Roman"/>
                <w:color w:val="auto"/>
                <w:sz w:val="20"/>
                <w:szCs w:val="20"/>
                <w:shd w:val="clear" w:color="auto" w:fill="auto"/>
                <w:lang w:eastAsia="zh-CN"/>
              </w:rPr>
              <w:t>1</w:t>
            </w:r>
            <w:r>
              <w:rPr>
                <w:rFonts w:hint="eastAsia" w:ascii="Times New Roman" w:hAnsi="Times New Roman" w:cs="Times New Roman"/>
                <w:color w:val="auto"/>
                <w:sz w:val="20"/>
                <w:szCs w:val="20"/>
                <w:shd w:val="clear" w:color="auto" w:fill="auto"/>
                <w:lang w:val="en-US" w:eastAsia="zh-CN"/>
              </w:rPr>
              <w:t>0</w:t>
            </w:r>
            <w:r>
              <w:rPr>
                <w:rFonts w:hint="default" w:ascii="Times New Roman" w:hAnsi="Times New Roman" w:cs="Times New Roman"/>
                <w:color w:val="auto"/>
                <w:sz w:val="20"/>
                <w:szCs w:val="20"/>
                <w:shd w:val="clear" w:color="auto" w:fill="auto"/>
              </w:rPr>
              <w:t>万吨</w:t>
            </w:r>
            <w:r>
              <w:rPr>
                <w:rFonts w:hint="default" w:ascii="Times New Roman" w:hAnsi="Times New Roman" w:cs="Times New Roman"/>
                <w:color w:val="auto"/>
                <w:kern w:val="0"/>
                <w:sz w:val="20"/>
                <w:szCs w:val="20"/>
                <w:shd w:val="clear" w:color="auto" w:fill="auto"/>
                <w:lang w:val="en-US"/>
              </w:rPr>
              <w:t>以下</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集中式污水处理厂</w:t>
            </w:r>
            <w:r>
              <w:rPr>
                <w:rFonts w:hint="default" w:ascii="Times New Roman" w:hAnsi="Times New Roman" w:cs="Times New Roman"/>
                <w:color w:val="auto"/>
                <w:sz w:val="20"/>
                <w:szCs w:val="20"/>
                <w:shd w:val="clear" w:color="auto" w:fill="auto"/>
              </w:rPr>
              <w:t>）</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4</w:t>
            </w:r>
          </w:p>
        </w:tc>
      </w:tr>
      <w:tr>
        <w:trPr>
          <w:trHeight w:val="283"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20万标立方米以上/1000吨以上（一般排污单位）/</w:t>
            </w:r>
            <w:r>
              <w:rPr>
                <w:rFonts w:hint="eastAsia" w:ascii="Times New Roman" w:hAnsi="Times New Roman" w:cs="Times New Roman"/>
                <w:color w:val="auto"/>
                <w:sz w:val="20"/>
                <w:szCs w:val="20"/>
                <w:shd w:val="clear" w:color="auto" w:fill="auto"/>
                <w:lang w:eastAsia="zh-CN"/>
              </w:rPr>
              <w:t>1</w:t>
            </w:r>
            <w:r>
              <w:rPr>
                <w:rFonts w:hint="default" w:ascii="Times New Roman" w:hAnsi="Times New Roman" w:cs="Times New Roman"/>
                <w:color w:val="auto"/>
                <w:sz w:val="20"/>
                <w:szCs w:val="20"/>
                <w:shd w:val="clear" w:color="auto" w:fill="auto"/>
              </w:rPr>
              <w:t>0万吨以上（</w:t>
            </w:r>
            <w:r>
              <w:rPr>
                <w:rFonts w:hint="eastAsia" w:ascii="Times New Roman" w:hAnsi="Times New Roman" w:cs="Times New Roman"/>
                <w:color w:val="auto"/>
                <w:sz w:val="20"/>
                <w:szCs w:val="20"/>
                <w:shd w:val="clear" w:color="auto" w:fill="auto"/>
                <w:lang w:eastAsia="zh-CN"/>
              </w:rPr>
              <w:t>集中式污水处理厂</w:t>
            </w:r>
            <w:r>
              <w:rPr>
                <w:rFonts w:hint="default" w:ascii="Times New Roman" w:hAnsi="Times New Roman" w:cs="Times New Roman"/>
                <w:color w:val="auto"/>
                <w:sz w:val="20"/>
                <w:szCs w:val="20"/>
                <w:shd w:val="clear" w:color="auto" w:fill="auto"/>
              </w:rPr>
              <w:t>）</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5</w:t>
            </w:r>
          </w:p>
        </w:tc>
      </w:tr>
      <w:tr>
        <w:trPr>
          <w:trHeight w:val="397" w:hRule="atLeast"/>
          <w:jc w:val="center"/>
        </w:trPr>
        <w:tc>
          <w:tcPr>
            <w:tcW w:w="137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管理类别</w:t>
            </w:r>
          </w:p>
        </w:tc>
        <w:tc>
          <w:tcPr>
            <w:tcW w:w="55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简化管理</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重点管理</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7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5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7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发生时段</w:t>
            </w:r>
          </w:p>
        </w:tc>
        <w:tc>
          <w:tcPr>
            <w:tcW w:w="55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一般期间</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78"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重污染天气黄色预警期间</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378"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重污染天气橙色预警期间</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78"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重污染天气红色预警期间</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78"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特殊或重大活动期间</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7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55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09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7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5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0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0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0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7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8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09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7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682"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shd w:val="clear" w:color="auto" w:fill="auto"/>
        <w:rPr>
          <w:rFonts w:ascii="Times New Roman" w:hAnsi="Times New Roman" w:cs="Times New Roman"/>
          <w:color w:val="auto"/>
          <w:shd w:val="clear" w:color="auto" w:fill="auto"/>
        </w:rPr>
      </w:pPr>
    </w:p>
    <w:p>
      <w:pPr>
        <w:shd w:val="clear" w:color="auto" w:fill="auto"/>
        <w:rPr>
          <w:rFonts w:ascii="Times New Roman" w:hAnsi="Times New Roman" w:cs="Times New Roman"/>
          <w:color w:val="auto"/>
          <w:shd w:val="clear" w:color="auto" w:fill="auto"/>
        </w:rPr>
      </w:pPr>
    </w:p>
    <w:p>
      <w:pPr>
        <w:shd w:val="clear" w:color="auto" w:fill="auto"/>
        <w:spacing w:line="200" w:lineRule="exact"/>
        <w:ind w:firstLine="640" w:firstLineChars="200"/>
        <w:outlineLvl w:val="9"/>
        <w:rPr>
          <w:rFonts w:hint="default" w:ascii="Times New Roman" w:hAnsi="Times New Roman" w:eastAsia="方正仿宋_GBK" w:cs="Times New Roman"/>
          <w:color w:val="auto"/>
          <w:sz w:val="32"/>
          <w:szCs w:val="32"/>
          <w:shd w:val="clear" w:color="auto" w:fill="auto"/>
          <w:lang w:val="en-US" w:eastAsia="zh-CN"/>
        </w:rPr>
      </w:pPr>
      <w:r>
        <w:rPr>
          <w:rFonts w:hint="default" w:ascii="Times New Roman" w:hAnsi="Times New Roman" w:eastAsia="方正仿宋_GBK" w:cs="Times New Roman"/>
          <w:color w:val="auto"/>
          <w:sz w:val="32"/>
          <w:szCs w:val="32"/>
          <w:shd w:val="clear" w:color="auto" w:fill="auto"/>
          <w:lang w:val="en-US" w:eastAsia="zh-CN"/>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4862"/>
        <w:gridCol w:w="2573"/>
        <w:gridCol w:w="14"/>
      </w:tblGrid>
      <w:tr>
        <w:trPr>
          <w:trHeight w:val="397" w:hRule="atLeast"/>
          <w:jc w:val="center"/>
        </w:trPr>
        <w:tc>
          <w:tcPr>
            <w:tcW w:w="9060" w:type="dxa"/>
            <w:gridSpan w:val="4"/>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九</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排污许可管理类</w:t>
            </w:r>
          </w:p>
        </w:tc>
      </w:tr>
      <w:tr>
        <w:trPr>
          <w:trHeight w:val="397" w:hRule="atLeast"/>
          <w:jc w:val="center"/>
        </w:trPr>
        <w:tc>
          <w:tcPr>
            <w:tcW w:w="16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449" w:type="dxa"/>
            <w:gridSpan w:val="3"/>
            <w:vAlign w:val="center"/>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cs="Times New Roman"/>
                <w:color w:val="auto"/>
                <w:sz w:val="20"/>
                <w:szCs w:val="20"/>
                <w:shd w:val="clear" w:color="auto" w:fill="auto"/>
              </w:rPr>
            </w:pPr>
            <w:bookmarkStart w:id="420" w:name="_Toc21118"/>
            <w:r>
              <w:rPr>
                <w:rFonts w:hint="default" w:ascii="Times New Roman" w:hAnsi="Times New Roman" w:cs="Times New Roman"/>
                <w:color w:val="auto"/>
                <w:sz w:val="20"/>
                <w:szCs w:val="20"/>
                <w:shd w:val="clear" w:color="auto" w:fill="auto"/>
              </w:rPr>
              <w:t>7</w:t>
            </w:r>
            <w:bookmarkEnd w:id="420"/>
          </w:p>
        </w:tc>
      </w:tr>
      <w:tr>
        <w:trPr>
          <w:trHeight w:val="397" w:hRule="atLeast"/>
          <w:jc w:val="center"/>
        </w:trPr>
        <w:tc>
          <w:tcPr>
            <w:tcW w:w="16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449" w:type="dxa"/>
            <w:gridSpan w:val="3"/>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outlineLvl w:val="0"/>
              <w:rPr>
                <w:rFonts w:hint="default" w:ascii="Times New Roman" w:hAnsi="Times New Roman" w:eastAsia="宋体" w:cs="Times New Roman"/>
                <w:color w:val="auto"/>
                <w:sz w:val="20"/>
                <w:szCs w:val="20"/>
                <w:shd w:val="clear" w:color="auto" w:fill="auto"/>
                <w:lang w:eastAsia="zh-CN"/>
              </w:rPr>
            </w:pPr>
            <w:bookmarkStart w:id="421" w:name="_Toc7716"/>
            <w:r>
              <w:rPr>
                <w:rFonts w:hint="default" w:ascii="Times New Roman" w:hAnsi="Times New Roman" w:cs="Times New Roman"/>
                <w:color w:val="auto"/>
                <w:sz w:val="20"/>
                <w:szCs w:val="20"/>
                <w:shd w:val="clear" w:color="auto" w:fill="auto"/>
              </w:rPr>
              <w:t>未按照排污许可证规定控制大气污染物无组织排放</w:t>
            </w:r>
            <w:r>
              <w:rPr>
                <w:rFonts w:hint="default" w:ascii="Times New Roman" w:hAnsi="Times New Roman" w:cs="Times New Roman"/>
                <w:color w:val="auto"/>
                <w:sz w:val="20"/>
                <w:szCs w:val="20"/>
                <w:shd w:val="clear" w:color="auto" w:fill="auto"/>
                <w:lang w:eastAsia="zh-CN"/>
              </w:rPr>
              <w:t>的</w:t>
            </w:r>
            <w:bookmarkEnd w:id="421"/>
          </w:p>
        </w:tc>
      </w:tr>
      <w:tr>
        <w:trPr>
          <w:trHeight w:val="397" w:hRule="atLeast"/>
          <w:jc w:val="center"/>
        </w:trPr>
        <w:tc>
          <w:tcPr>
            <w:tcW w:w="16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449" w:type="dxa"/>
            <w:gridSpan w:val="3"/>
            <w:vAlign w:val="top"/>
          </w:tcPr>
          <w:p>
            <w:pPr>
              <w:pStyle w:val="18"/>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《排污许可管理条例》第十七条第二款</w:t>
            </w:r>
            <w:r>
              <w:rPr>
                <w:rFonts w:hint="default" w:ascii="Times New Roman" w:hAnsi="Times New Roman" w:cs="Times New Roman"/>
                <w:color w:val="auto"/>
                <w:sz w:val="21"/>
                <w:szCs w:val="21"/>
                <w:shd w:val="clear" w:color="auto" w:fill="auto"/>
              </w:rPr>
              <w:t xml:space="preserve"> 排污单位应当遵守排污许可证规定，按照生态环境管理要求运行和维护污染防治设施，建立环境管理制度，严格控制污染物排放。</w:t>
            </w:r>
          </w:p>
        </w:tc>
      </w:tr>
      <w:tr>
        <w:trPr>
          <w:trHeight w:val="397" w:hRule="atLeast"/>
          <w:jc w:val="center"/>
        </w:trPr>
        <w:tc>
          <w:tcPr>
            <w:tcW w:w="16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449" w:type="dxa"/>
            <w:gridSpan w:val="3"/>
            <w:vAlign w:val="top"/>
          </w:tcPr>
          <w:p>
            <w:pPr>
              <w:pStyle w:val="19"/>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《排污许可管理条例》第三十五条第一项</w:t>
            </w:r>
            <w:r>
              <w:rPr>
                <w:rFonts w:hint="default" w:ascii="Times New Roman" w:hAnsi="Times New Roman" w:cs="Times New Roman"/>
                <w:color w:val="auto"/>
                <w:sz w:val="21"/>
                <w:szCs w:val="21"/>
                <w:shd w:val="clear" w:color="auto" w:fill="auto"/>
              </w:rPr>
              <w:t xml:space="preserve"> 违反本条例规定，排污单位有下列行为之一的，由生态环境主管部门责令改正，处5万元以上20万元以下的罚款；情节严重的，处20万元以上100万元以下的罚款，责令限制生产、停产整治：</w:t>
            </w:r>
          </w:p>
          <w:p>
            <w:pPr>
              <w:pStyle w:val="19"/>
              <w:shd w:val="clear" w:color="auto" w:fill="auto"/>
              <w:snapToGrid w:val="0"/>
              <w:spacing w:before="0" w:beforeAutospacing="0" w:after="0" w:afterAutospacing="0" w:line="320" w:lineRule="exact"/>
              <w:ind w:left="0" w:right="0" w:firstLine="420" w:firstLineChars="20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（一）未按照排污许可证规定控制大气污染物无组织排放；</w:t>
            </w:r>
          </w:p>
        </w:tc>
      </w:tr>
      <w:tr>
        <w:trPr>
          <w:trHeight w:val="397" w:hRule="atLeast"/>
          <w:jc w:val="center"/>
        </w:trPr>
        <w:tc>
          <w:tcPr>
            <w:tcW w:w="16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48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jc w:val="center"/>
        </w:trPr>
        <w:tc>
          <w:tcPr>
            <w:tcW w:w="161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eastAsia="zh-CN"/>
              </w:rPr>
              <w:t>不符合排污许可证规定的行为数量</w:t>
            </w:r>
          </w:p>
        </w:tc>
        <w:tc>
          <w:tcPr>
            <w:tcW w:w="48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1个</w:t>
            </w:r>
          </w:p>
        </w:tc>
        <w:tc>
          <w:tcPr>
            <w:tcW w:w="25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1</w:t>
            </w:r>
          </w:p>
        </w:tc>
      </w:tr>
      <w:tr>
        <w:trPr>
          <w:trHeight w:val="90" w:hRule="atLeast"/>
          <w:jc w:val="center"/>
        </w:trPr>
        <w:tc>
          <w:tcPr>
            <w:tcW w:w="16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2" w:type="dxa"/>
            <w:vAlign w:val="center"/>
          </w:tcPr>
          <w:p>
            <w:pPr>
              <w:shd w:val="clear" w:color="auto" w:fill="auto"/>
              <w:snapToGrid w:val="0"/>
              <w:spacing w:before="0" w:beforeAutospacing="0" w:after="0" w:afterAutospacing="0" w:line="320" w:lineRule="exact"/>
              <w:ind w:left="0" w:right="0" w:firstLine="2310" w:firstLineChars="1100"/>
              <w:jc w:val="both"/>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2个</w:t>
            </w:r>
          </w:p>
        </w:tc>
        <w:tc>
          <w:tcPr>
            <w:tcW w:w="25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2</w:t>
            </w:r>
          </w:p>
        </w:tc>
      </w:tr>
      <w:tr>
        <w:trPr>
          <w:trHeight w:val="397" w:hRule="atLeast"/>
          <w:jc w:val="center"/>
        </w:trPr>
        <w:tc>
          <w:tcPr>
            <w:tcW w:w="16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3个</w:t>
            </w:r>
          </w:p>
        </w:tc>
        <w:tc>
          <w:tcPr>
            <w:tcW w:w="25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3</w:t>
            </w:r>
          </w:p>
        </w:tc>
      </w:tr>
      <w:tr>
        <w:trPr>
          <w:trHeight w:val="397" w:hRule="atLeast"/>
          <w:jc w:val="center"/>
        </w:trPr>
        <w:tc>
          <w:tcPr>
            <w:tcW w:w="16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4个</w:t>
            </w:r>
          </w:p>
        </w:tc>
        <w:tc>
          <w:tcPr>
            <w:tcW w:w="25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4</w:t>
            </w:r>
          </w:p>
        </w:tc>
      </w:tr>
      <w:tr>
        <w:trPr>
          <w:trHeight w:val="397" w:hRule="atLeast"/>
          <w:jc w:val="center"/>
        </w:trPr>
        <w:tc>
          <w:tcPr>
            <w:tcW w:w="16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5个以上</w:t>
            </w:r>
          </w:p>
        </w:tc>
        <w:tc>
          <w:tcPr>
            <w:tcW w:w="25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5</w:t>
            </w:r>
          </w:p>
        </w:tc>
      </w:tr>
      <w:tr>
        <w:trPr>
          <w:trHeight w:val="397" w:hRule="atLeast"/>
          <w:jc w:val="center"/>
        </w:trPr>
        <w:tc>
          <w:tcPr>
            <w:tcW w:w="161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污染物类别</w:t>
            </w:r>
          </w:p>
        </w:tc>
        <w:tc>
          <w:tcPr>
            <w:tcW w:w="48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农业生产、畜禽养殖</w:t>
            </w:r>
            <w:r>
              <w:rPr>
                <w:rFonts w:hint="default" w:ascii="Times New Roman" w:hAnsi="Times New Roman" w:cs="Times New Roman"/>
                <w:color w:val="auto"/>
                <w:sz w:val="20"/>
                <w:szCs w:val="20"/>
                <w:shd w:val="clear" w:color="auto" w:fill="auto"/>
                <w:lang w:val="en-US"/>
              </w:rPr>
              <w:t>废气</w:t>
            </w:r>
            <w:r>
              <w:rPr>
                <w:rFonts w:hint="default" w:ascii="Times New Roman" w:hAnsi="Times New Roman" w:cs="Times New Roman"/>
                <w:color w:val="auto"/>
                <w:sz w:val="20"/>
                <w:szCs w:val="20"/>
                <w:shd w:val="clear" w:color="auto" w:fill="auto"/>
              </w:rPr>
              <w:t>/机械、汽车修理</w:t>
            </w:r>
            <w:r>
              <w:rPr>
                <w:rFonts w:hint="default" w:ascii="Times New Roman" w:hAnsi="Times New Roman" w:cs="Times New Roman"/>
                <w:color w:val="auto"/>
                <w:sz w:val="20"/>
                <w:szCs w:val="20"/>
                <w:shd w:val="clear" w:color="auto" w:fill="auto"/>
                <w:lang w:val="en-US"/>
              </w:rPr>
              <w:t>废气</w:t>
            </w:r>
          </w:p>
        </w:tc>
        <w:tc>
          <w:tcPr>
            <w:tcW w:w="25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8" w:hRule="atLeast"/>
          <w:jc w:val="center"/>
        </w:trPr>
        <w:tc>
          <w:tcPr>
            <w:tcW w:w="16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工</w:t>
            </w:r>
            <w:r>
              <w:rPr>
                <w:rFonts w:hint="default" w:ascii="Times New Roman" w:hAnsi="Times New Roman" w:cs="Times New Roman"/>
                <w:color w:val="auto"/>
                <w:sz w:val="20"/>
                <w:szCs w:val="20"/>
                <w:shd w:val="clear" w:color="auto" w:fill="auto"/>
                <w:lang w:val="en-US"/>
              </w:rPr>
              <w:t>业</w:t>
            </w:r>
            <w:r>
              <w:rPr>
                <w:rFonts w:hint="default" w:ascii="Times New Roman" w:hAnsi="Times New Roman" w:cs="Times New Roman"/>
                <w:color w:val="auto"/>
                <w:sz w:val="20"/>
                <w:szCs w:val="20"/>
                <w:shd w:val="clear" w:color="auto" w:fill="auto"/>
              </w:rPr>
              <w:t>扬尘</w:t>
            </w:r>
          </w:p>
        </w:tc>
        <w:tc>
          <w:tcPr>
            <w:tcW w:w="25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88" w:hRule="atLeast"/>
          <w:jc w:val="center"/>
        </w:trPr>
        <w:tc>
          <w:tcPr>
            <w:tcW w:w="16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一般工业废气/含恶臭污染物的废气/医疗/实验室</w:t>
            </w:r>
          </w:p>
        </w:tc>
        <w:tc>
          <w:tcPr>
            <w:tcW w:w="25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2" w:hRule="atLeast"/>
          <w:jc w:val="center"/>
        </w:trPr>
        <w:tc>
          <w:tcPr>
            <w:tcW w:w="16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2"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火电、钢铁、石化、水泥、炼焦、有色、化工废气、烟尘/燃煤锅炉废气、烟尘</w:t>
            </w:r>
          </w:p>
        </w:tc>
        <w:tc>
          <w:tcPr>
            <w:tcW w:w="25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2" w:hRule="atLeast"/>
          <w:jc w:val="center"/>
        </w:trPr>
        <w:tc>
          <w:tcPr>
            <w:tcW w:w="16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含有毒有害物质的废气</w:t>
            </w:r>
          </w:p>
        </w:tc>
        <w:tc>
          <w:tcPr>
            <w:tcW w:w="25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gridAfter w:val="1"/>
          <w:wAfter w:w="14" w:type="dxa"/>
          <w:trHeight w:val="397" w:hRule="atLeast"/>
          <w:jc w:val="center"/>
        </w:trPr>
        <w:tc>
          <w:tcPr>
            <w:tcW w:w="161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管理类别</w:t>
            </w:r>
          </w:p>
        </w:tc>
        <w:tc>
          <w:tcPr>
            <w:tcW w:w="48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简</w:t>
            </w:r>
            <w:r>
              <w:rPr>
                <w:rFonts w:hint="default" w:ascii="Times New Roman" w:hAnsi="Times New Roman" w:cs="Times New Roman"/>
                <w:color w:val="auto"/>
                <w:sz w:val="20"/>
                <w:szCs w:val="20"/>
                <w:shd w:val="clear" w:color="auto" w:fill="auto"/>
                <w:lang w:eastAsia="zh-CN"/>
              </w:rPr>
              <w:t>化</w:t>
            </w:r>
            <w:r>
              <w:rPr>
                <w:rFonts w:hint="default" w:ascii="Times New Roman" w:hAnsi="Times New Roman" w:cs="Times New Roman"/>
                <w:color w:val="auto"/>
                <w:sz w:val="20"/>
                <w:szCs w:val="20"/>
                <w:shd w:val="clear" w:color="auto" w:fill="auto"/>
              </w:rPr>
              <w:t>管理</w:t>
            </w:r>
          </w:p>
        </w:tc>
        <w:tc>
          <w:tcPr>
            <w:tcW w:w="25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gridAfter w:val="1"/>
          <w:wAfter w:w="14" w:type="dxa"/>
          <w:trHeight w:val="397" w:hRule="atLeast"/>
          <w:jc w:val="center"/>
        </w:trPr>
        <w:tc>
          <w:tcPr>
            <w:tcW w:w="16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重点管理</w:t>
            </w:r>
          </w:p>
        </w:tc>
        <w:tc>
          <w:tcPr>
            <w:tcW w:w="25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61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发生时段</w:t>
            </w:r>
          </w:p>
        </w:tc>
        <w:tc>
          <w:tcPr>
            <w:tcW w:w="48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一般期间</w:t>
            </w:r>
          </w:p>
        </w:tc>
        <w:tc>
          <w:tcPr>
            <w:tcW w:w="25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611"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重污染天气黄色预警期间</w:t>
            </w:r>
          </w:p>
        </w:tc>
        <w:tc>
          <w:tcPr>
            <w:tcW w:w="25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611"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重污染天气橙色预警期间</w:t>
            </w:r>
          </w:p>
        </w:tc>
        <w:tc>
          <w:tcPr>
            <w:tcW w:w="25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611"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重污染天气红色预警期间</w:t>
            </w:r>
          </w:p>
        </w:tc>
        <w:tc>
          <w:tcPr>
            <w:tcW w:w="25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611"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特殊或重大活动期间</w:t>
            </w:r>
          </w:p>
        </w:tc>
        <w:tc>
          <w:tcPr>
            <w:tcW w:w="25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61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持续时间</w:t>
            </w:r>
          </w:p>
        </w:tc>
        <w:tc>
          <w:tcPr>
            <w:tcW w:w="48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w:t>
            </w:r>
            <w:r>
              <w:rPr>
                <w:rFonts w:hint="default" w:ascii="Times New Roman" w:hAnsi="Times New Roman" w:cs="Times New Roman"/>
                <w:color w:val="auto"/>
                <w:sz w:val="20"/>
                <w:szCs w:val="20"/>
                <w:shd w:val="clear" w:color="auto" w:fill="auto"/>
                <w:lang w:val="en-US"/>
              </w:rPr>
              <w:t>以下</w:t>
            </w:r>
            <w:r>
              <w:rPr>
                <w:rFonts w:hint="default" w:ascii="Times New Roman" w:hAnsi="Times New Roman" w:cs="Times New Roman"/>
                <w:color w:val="auto"/>
                <w:sz w:val="20"/>
                <w:szCs w:val="20"/>
                <w:shd w:val="clear" w:color="auto" w:fill="auto"/>
              </w:rPr>
              <w:t>的</w:t>
            </w:r>
          </w:p>
        </w:tc>
        <w:tc>
          <w:tcPr>
            <w:tcW w:w="25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6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1个月以上3个月以下的</w:t>
            </w:r>
          </w:p>
        </w:tc>
        <w:tc>
          <w:tcPr>
            <w:tcW w:w="25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6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3个月以上6个月以下的</w:t>
            </w:r>
          </w:p>
        </w:tc>
        <w:tc>
          <w:tcPr>
            <w:tcW w:w="25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6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6个月以上1年以下的</w:t>
            </w:r>
          </w:p>
        </w:tc>
        <w:tc>
          <w:tcPr>
            <w:tcW w:w="25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6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1年以上的</w:t>
            </w:r>
          </w:p>
        </w:tc>
        <w:tc>
          <w:tcPr>
            <w:tcW w:w="25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611"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4862"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1"/>
                <w:szCs w:val="21"/>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587" w:type="dxa"/>
            <w:gridSpan w:val="2"/>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611"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486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587" w:type="dxa"/>
            <w:gridSpan w:val="2"/>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611"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486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587" w:type="dxa"/>
            <w:gridSpan w:val="2"/>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611"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486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587" w:type="dxa"/>
            <w:gridSpan w:val="2"/>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61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48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5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611"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5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611"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5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611"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5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61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4862" w:type="dxa"/>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5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6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2" w:type="dxa"/>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5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6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2" w:type="dxa"/>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587"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611"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486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587" w:type="dxa"/>
            <w:gridSpan w:val="2"/>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6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87" w:type="dxa"/>
            <w:gridSpan w:val="2"/>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6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587" w:type="dxa"/>
            <w:gridSpan w:val="2"/>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611"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587" w:type="dxa"/>
            <w:gridSpan w:val="2"/>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6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449" w:type="dxa"/>
            <w:gridSpan w:val="3"/>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排污单位有违法行为M值为20万元，N值为5万元；情节严重的，M值为100万元，N值为20万元。</w:t>
            </w:r>
          </w:p>
        </w:tc>
      </w:tr>
    </w:tbl>
    <w:p>
      <w:pPr>
        <w:shd w:val="clear" w:color="auto" w:fill="auto"/>
        <w:rPr>
          <w:rFonts w:ascii="Times New Roman" w:hAnsi="Times New Roman" w:cs="Times New Roman"/>
          <w:color w:val="auto"/>
          <w:shd w:val="clear" w:color="auto" w:fill="auto"/>
        </w:rPr>
      </w:pPr>
    </w:p>
    <w:p>
      <w:pPr>
        <w:shd w:val="clear" w:color="auto" w:fill="auto"/>
        <w:spacing w:line="590" w:lineRule="exact"/>
        <w:ind w:firstLine="640" w:firstLineChars="200"/>
        <w:outlineLvl w:val="9"/>
        <w:rPr>
          <w:rFonts w:hint="default" w:ascii="Times New Roman" w:hAnsi="Times New Roman" w:eastAsia="方正仿宋_GBK" w:cs="Times New Roman"/>
          <w:color w:val="auto"/>
          <w:sz w:val="32"/>
          <w:szCs w:val="32"/>
          <w:shd w:val="clear" w:color="auto" w:fill="auto"/>
          <w:lang w:val="en-US" w:eastAsia="zh-CN"/>
        </w:rPr>
      </w:pPr>
    </w:p>
    <w:p>
      <w:pPr>
        <w:shd w:val="clear" w:color="auto" w:fill="auto"/>
        <w:spacing w:line="200" w:lineRule="exact"/>
        <w:ind w:firstLine="640" w:firstLineChars="200"/>
        <w:outlineLvl w:val="9"/>
        <w:rPr>
          <w:rFonts w:hint="default" w:ascii="Times New Roman" w:hAnsi="Times New Roman" w:eastAsia="方正仿宋_GBK" w:cs="Times New Roman"/>
          <w:color w:val="auto"/>
          <w:sz w:val="32"/>
          <w:szCs w:val="32"/>
          <w:shd w:val="clear" w:color="auto" w:fill="auto"/>
          <w:lang w:val="en-US" w:eastAsia="zh-CN"/>
        </w:rPr>
      </w:pPr>
      <w:r>
        <w:rPr>
          <w:rFonts w:hint="default" w:ascii="Times New Roman" w:hAnsi="Times New Roman" w:eastAsia="方正仿宋_GBK" w:cs="Times New Roman"/>
          <w:color w:val="auto"/>
          <w:sz w:val="32"/>
          <w:szCs w:val="32"/>
          <w:shd w:val="clear" w:color="auto" w:fill="auto"/>
          <w:lang w:val="en-US" w:eastAsia="zh-CN"/>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5121"/>
        <w:gridCol w:w="2533"/>
      </w:tblGrid>
      <w:tr>
        <w:trPr>
          <w:trHeight w:val="397" w:hRule="atLeast"/>
          <w:jc w:val="center"/>
        </w:trPr>
        <w:tc>
          <w:tcPr>
            <w:tcW w:w="9060" w:type="dxa"/>
            <w:gridSpan w:val="3"/>
            <w:vAlign w:val="top"/>
          </w:tcPr>
          <w:p>
            <w:pPr>
              <w:shd w:val="clear" w:color="auto" w:fill="auto"/>
              <w:tabs>
                <w:tab w:val="center" w:pos="4422"/>
                <w:tab w:val="left" w:pos="5375"/>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九</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排污许可管理类</w:t>
            </w:r>
          </w:p>
        </w:tc>
      </w:tr>
      <w:tr>
        <w:trPr>
          <w:trHeight w:val="397" w:hRule="atLeast"/>
          <w:jc w:val="center"/>
        </w:trPr>
        <w:tc>
          <w:tcPr>
            <w:tcW w:w="140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54" w:type="dxa"/>
            <w:gridSpan w:val="2"/>
            <w:vAlign w:val="center"/>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cs="Times New Roman"/>
                <w:color w:val="auto"/>
                <w:sz w:val="20"/>
                <w:szCs w:val="20"/>
                <w:shd w:val="clear" w:color="auto" w:fill="auto"/>
              </w:rPr>
            </w:pPr>
            <w:bookmarkStart w:id="422" w:name="_Toc4136"/>
            <w:r>
              <w:rPr>
                <w:rFonts w:hint="default" w:ascii="Times New Roman" w:hAnsi="Times New Roman" w:cs="Times New Roman"/>
                <w:color w:val="auto"/>
                <w:sz w:val="20"/>
                <w:szCs w:val="20"/>
                <w:shd w:val="clear" w:color="auto" w:fill="auto"/>
              </w:rPr>
              <w:t>8</w:t>
            </w:r>
            <w:bookmarkEnd w:id="422"/>
          </w:p>
        </w:tc>
      </w:tr>
      <w:tr>
        <w:trPr>
          <w:trHeight w:val="397" w:hRule="atLeast"/>
          <w:jc w:val="center"/>
        </w:trPr>
        <w:tc>
          <w:tcPr>
            <w:tcW w:w="140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54"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outlineLvl w:val="0"/>
              <w:rPr>
                <w:rFonts w:hint="default" w:ascii="Times New Roman" w:hAnsi="Times New Roman" w:eastAsia="宋体" w:cs="Times New Roman"/>
                <w:color w:val="auto"/>
                <w:sz w:val="20"/>
                <w:szCs w:val="20"/>
                <w:shd w:val="clear" w:color="auto" w:fill="auto"/>
                <w:lang w:eastAsia="zh-CN"/>
              </w:rPr>
            </w:pPr>
            <w:bookmarkStart w:id="423" w:name="_Toc29672"/>
            <w:r>
              <w:rPr>
                <w:rFonts w:hint="default" w:ascii="Times New Roman" w:hAnsi="Times New Roman" w:cs="Times New Roman"/>
                <w:color w:val="auto"/>
                <w:sz w:val="20"/>
                <w:szCs w:val="20"/>
                <w:shd w:val="clear" w:color="auto" w:fill="auto"/>
              </w:rPr>
              <w:t>特殊时段未按照排污许可证规定停止或者限制排放污染物</w:t>
            </w:r>
            <w:r>
              <w:rPr>
                <w:rFonts w:hint="default" w:ascii="Times New Roman" w:hAnsi="Times New Roman" w:cs="Times New Roman"/>
                <w:color w:val="auto"/>
                <w:sz w:val="20"/>
                <w:szCs w:val="20"/>
                <w:shd w:val="clear" w:color="auto" w:fill="auto"/>
                <w:lang w:eastAsia="zh-CN"/>
              </w:rPr>
              <w:t>的</w:t>
            </w:r>
            <w:bookmarkEnd w:id="423"/>
          </w:p>
        </w:tc>
      </w:tr>
      <w:tr>
        <w:trPr>
          <w:trHeight w:val="397" w:hRule="atLeast"/>
          <w:jc w:val="center"/>
        </w:trPr>
        <w:tc>
          <w:tcPr>
            <w:tcW w:w="140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54" w:type="dxa"/>
            <w:gridSpan w:val="2"/>
            <w:vAlign w:val="top"/>
          </w:tcPr>
          <w:p>
            <w:pPr>
              <w:pStyle w:val="18"/>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《排污许可管理条例》第十七条第二款</w:t>
            </w:r>
            <w:r>
              <w:rPr>
                <w:rFonts w:hint="default" w:ascii="Times New Roman" w:hAnsi="Times New Roman" w:cs="Times New Roman"/>
                <w:color w:val="auto"/>
                <w:sz w:val="21"/>
                <w:szCs w:val="21"/>
                <w:shd w:val="clear" w:color="auto" w:fill="auto"/>
              </w:rPr>
              <w:t xml:space="preserve"> 排污单位应当遵守排污许可证规定，按照生态环境管理要求运行和维护污染防治设施，建立环境管理制度，严格控制污染物排放。</w:t>
            </w:r>
          </w:p>
        </w:tc>
      </w:tr>
      <w:tr>
        <w:trPr>
          <w:trHeight w:val="397" w:hRule="atLeast"/>
          <w:jc w:val="center"/>
        </w:trPr>
        <w:tc>
          <w:tcPr>
            <w:tcW w:w="140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54" w:type="dxa"/>
            <w:gridSpan w:val="2"/>
            <w:vAlign w:val="top"/>
          </w:tcPr>
          <w:p>
            <w:pPr>
              <w:pStyle w:val="19"/>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《排污许可管理条例》第三十五条第二项</w:t>
            </w:r>
            <w:r>
              <w:rPr>
                <w:rFonts w:hint="default" w:ascii="Times New Roman" w:hAnsi="Times New Roman" w:cs="Times New Roman"/>
                <w:color w:val="auto"/>
                <w:sz w:val="21"/>
                <w:szCs w:val="21"/>
                <w:shd w:val="clear" w:color="auto" w:fill="auto"/>
              </w:rPr>
              <w:t xml:space="preserve"> 违反本条例规定，排污单位有下列行为之一的，由生态环境主管部门责令改正，处5万元以上20万元以下的罚款；情节严重的，处20万元以上100万元以下的罚款，责令限制生产、停产整治：</w:t>
            </w:r>
          </w:p>
          <w:p>
            <w:pPr>
              <w:pStyle w:val="19"/>
              <w:shd w:val="clear" w:color="auto" w:fill="auto"/>
              <w:snapToGrid w:val="0"/>
              <w:spacing w:before="0" w:beforeAutospacing="0" w:after="0" w:afterAutospacing="0" w:line="320" w:lineRule="exact"/>
              <w:ind w:left="0" w:right="0" w:firstLine="420" w:firstLineChars="200"/>
              <w:rPr>
                <w:rFonts w:hint="default" w:ascii="Times New Roman" w:hAnsi="Times New Roman" w:eastAsia="宋体" w:cs="Times New Roman"/>
                <w:color w:val="auto"/>
                <w:sz w:val="21"/>
                <w:szCs w:val="21"/>
                <w:shd w:val="clear" w:color="auto" w:fill="auto"/>
                <w:lang w:eastAsia="zh-CN"/>
              </w:rPr>
            </w:pPr>
            <w:r>
              <w:rPr>
                <w:rFonts w:hint="default" w:ascii="Times New Roman" w:hAnsi="Times New Roman" w:cs="Times New Roman"/>
                <w:color w:val="auto"/>
                <w:sz w:val="21"/>
                <w:szCs w:val="21"/>
                <w:shd w:val="clear" w:color="auto" w:fill="auto"/>
              </w:rPr>
              <w:t>（二）特殊时段未按照排污许可证规定停止或者限制排放污染物</w:t>
            </w:r>
            <w:r>
              <w:rPr>
                <w:rFonts w:hint="default" w:ascii="Times New Roman" w:hAnsi="Times New Roman" w:cs="Times New Roman"/>
                <w:color w:val="auto"/>
                <w:sz w:val="21"/>
                <w:szCs w:val="21"/>
                <w:shd w:val="clear" w:color="auto" w:fill="auto"/>
                <w:lang w:eastAsia="zh-CN"/>
              </w:rPr>
              <w:t>；</w:t>
            </w:r>
          </w:p>
        </w:tc>
      </w:tr>
      <w:tr>
        <w:trPr>
          <w:trHeight w:val="425" w:hRule="atLeast"/>
          <w:jc w:val="center"/>
        </w:trPr>
        <w:tc>
          <w:tcPr>
            <w:tcW w:w="140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jc w:val="center"/>
        </w:trPr>
        <w:tc>
          <w:tcPr>
            <w:tcW w:w="140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发生时段</w:t>
            </w:r>
          </w:p>
        </w:tc>
        <w:tc>
          <w:tcPr>
            <w:tcW w:w="51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重污染天气黄色预警期间</w:t>
            </w:r>
          </w:p>
        </w:tc>
        <w:tc>
          <w:tcPr>
            <w:tcW w:w="2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jc w:val="center"/>
        </w:trPr>
        <w:tc>
          <w:tcPr>
            <w:tcW w:w="1406"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重污染天气橙色预警期间</w:t>
            </w:r>
          </w:p>
        </w:tc>
        <w:tc>
          <w:tcPr>
            <w:tcW w:w="2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406"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重污染天气红色预警期间</w:t>
            </w:r>
          </w:p>
        </w:tc>
        <w:tc>
          <w:tcPr>
            <w:tcW w:w="2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jc w:val="center"/>
        </w:trPr>
        <w:tc>
          <w:tcPr>
            <w:tcW w:w="1406"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特殊或重大活动期间</w:t>
            </w:r>
          </w:p>
        </w:tc>
        <w:tc>
          <w:tcPr>
            <w:tcW w:w="2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40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排污状态</w:t>
            </w:r>
          </w:p>
        </w:tc>
        <w:tc>
          <w:tcPr>
            <w:tcW w:w="51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超限制范围10%以下</w:t>
            </w:r>
          </w:p>
        </w:tc>
        <w:tc>
          <w:tcPr>
            <w:tcW w:w="2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超限制范围10%以上20%以下</w:t>
            </w:r>
          </w:p>
        </w:tc>
        <w:tc>
          <w:tcPr>
            <w:tcW w:w="2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超限制范围20%以上30%以下</w:t>
            </w:r>
          </w:p>
        </w:tc>
        <w:tc>
          <w:tcPr>
            <w:tcW w:w="2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超限制范围30%以上50%以下</w:t>
            </w:r>
          </w:p>
        </w:tc>
        <w:tc>
          <w:tcPr>
            <w:tcW w:w="2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超限制范围50%以上或未停止</w:t>
            </w:r>
          </w:p>
        </w:tc>
        <w:tc>
          <w:tcPr>
            <w:tcW w:w="2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40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污染物类别</w:t>
            </w:r>
          </w:p>
        </w:tc>
        <w:tc>
          <w:tcPr>
            <w:tcW w:w="51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农业生产、畜禽养殖</w:t>
            </w:r>
            <w:r>
              <w:rPr>
                <w:rFonts w:hint="default" w:ascii="Times New Roman" w:hAnsi="Times New Roman" w:cs="Times New Roman"/>
                <w:color w:val="auto"/>
                <w:sz w:val="20"/>
                <w:szCs w:val="20"/>
                <w:shd w:val="clear" w:color="auto" w:fill="auto"/>
                <w:lang w:val="en-US"/>
              </w:rPr>
              <w:t>废气</w:t>
            </w:r>
            <w:r>
              <w:rPr>
                <w:rFonts w:hint="default" w:ascii="Times New Roman" w:hAnsi="Times New Roman" w:cs="Times New Roman"/>
                <w:color w:val="auto"/>
                <w:sz w:val="20"/>
                <w:szCs w:val="20"/>
                <w:shd w:val="clear" w:color="auto" w:fill="auto"/>
              </w:rPr>
              <w:t>/机械、汽车修理</w:t>
            </w:r>
            <w:r>
              <w:rPr>
                <w:rFonts w:hint="default" w:ascii="Times New Roman" w:hAnsi="Times New Roman" w:cs="Times New Roman"/>
                <w:color w:val="auto"/>
                <w:sz w:val="20"/>
                <w:szCs w:val="20"/>
                <w:shd w:val="clear" w:color="auto" w:fill="auto"/>
                <w:lang w:val="en-US"/>
              </w:rPr>
              <w:t>废气</w:t>
            </w:r>
          </w:p>
        </w:tc>
        <w:tc>
          <w:tcPr>
            <w:tcW w:w="2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工业扬尘废气</w:t>
            </w:r>
          </w:p>
        </w:tc>
        <w:tc>
          <w:tcPr>
            <w:tcW w:w="2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一般工业废气/含恶臭污染物的废气/医疗/实验室</w:t>
            </w:r>
          </w:p>
        </w:tc>
        <w:tc>
          <w:tcPr>
            <w:tcW w:w="2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火电、钢铁、石化、水泥、炼焦、有色、化工废气、烟尘/燃煤锅炉废气、烟尘</w:t>
            </w:r>
          </w:p>
        </w:tc>
        <w:tc>
          <w:tcPr>
            <w:tcW w:w="2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含有毒有害物质的废气</w:t>
            </w:r>
          </w:p>
        </w:tc>
        <w:tc>
          <w:tcPr>
            <w:tcW w:w="2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406" w:type="dxa"/>
            <w:vMerge w:val="restart"/>
            <w:vAlign w:val="center"/>
          </w:tcPr>
          <w:p>
            <w:pPr>
              <w:widowControl/>
              <w:shd w:val="clear" w:color="auto" w:fill="auto"/>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小时烟气</w:t>
            </w:r>
          </w:p>
          <w:p>
            <w:pPr>
              <w:widowControl/>
              <w:shd w:val="clear" w:color="auto" w:fill="auto"/>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流量</w:t>
            </w: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1000标立方米</w:t>
            </w:r>
            <w:r>
              <w:rPr>
                <w:rFonts w:hint="default" w:ascii="Times New Roman" w:hAnsi="Times New Roman" w:cs="Times New Roman"/>
                <w:color w:val="auto"/>
                <w:sz w:val="20"/>
                <w:szCs w:val="20"/>
                <w:shd w:val="clear" w:color="auto" w:fill="auto"/>
                <w:lang w:eastAsia="zh-CN"/>
              </w:rPr>
              <w:t>以下</w:t>
            </w:r>
          </w:p>
        </w:tc>
        <w:tc>
          <w:tcPr>
            <w:tcW w:w="2533" w:type="dxa"/>
            <w:vAlign w:val="center"/>
          </w:tcPr>
          <w:p>
            <w:pPr>
              <w:widowControl/>
              <w:shd w:val="clear" w:color="auto" w:fill="auto"/>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1</w:t>
            </w:r>
          </w:p>
        </w:tc>
      </w:tr>
      <w:tr>
        <w:trPr>
          <w:trHeight w:val="425"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1000标立方米以上1万标立方米</w:t>
            </w:r>
            <w:r>
              <w:rPr>
                <w:rFonts w:hint="default" w:ascii="Times New Roman" w:hAnsi="Times New Roman" w:cs="Times New Roman"/>
                <w:color w:val="auto"/>
                <w:sz w:val="20"/>
                <w:szCs w:val="20"/>
                <w:shd w:val="clear" w:color="auto" w:fill="auto"/>
                <w:lang w:eastAsia="zh-CN"/>
              </w:rPr>
              <w:t>以下</w:t>
            </w:r>
          </w:p>
        </w:tc>
        <w:tc>
          <w:tcPr>
            <w:tcW w:w="2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2</w:t>
            </w:r>
          </w:p>
        </w:tc>
      </w:tr>
      <w:tr>
        <w:trPr>
          <w:trHeight w:val="425"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1万标立方米以上10万标立方米</w:t>
            </w:r>
            <w:r>
              <w:rPr>
                <w:rFonts w:hint="default" w:ascii="Times New Roman" w:hAnsi="Times New Roman" w:cs="Times New Roman"/>
                <w:color w:val="auto"/>
                <w:sz w:val="20"/>
                <w:szCs w:val="20"/>
                <w:shd w:val="clear" w:color="auto" w:fill="auto"/>
                <w:lang w:eastAsia="zh-CN"/>
              </w:rPr>
              <w:t>以下</w:t>
            </w:r>
          </w:p>
        </w:tc>
        <w:tc>
          <w:tcPr>
            <w:tcW w:w="2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3</w:t>
            </w:r>
          </w:p>
        </w:tc>
      </w:tr>
      <w:tr>
        <w:trPr>
          <w:trHeight w:val="425"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10万标立方米以上20万标立方米</w:t>
            </w:r>
            <w:r>
              <w:rPr>
                <w:rFonts w:hint="default" w:ascii="Times New Roman" w:hAnsi="Times New Roman" w:cs="Times New Roman"/>
                <w:color w:val="auto"/>
                <w:sz w:val="20"/>
                <w:szCs w:val="20"/>
                <w:shd w:val="clear" w:color="auto" w:fill="auto"/>
                <w:lang w:eastAsia="zh-CN"/>
              </w:rPr>
              <w:t>以下</w:t>
            </w:r>
          </w:p>
        </w:tc>
        <w:tc>
          <w:tcPr>
            <w:tcW w:w="2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4</w:t>
            </w:r>
          </w:p>
        </w:tc>
      </w:tr>
      <w:tr>
        <w:trPr>
          <w:trHeight w:val="425"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20万标立方米以上</w:t>
            </w:r>
          </w:p>
        </w:tc>
        <w:tc>
          <w:tcPr>
            <w:tcW w:w="2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5</w:t>
            </w:r>
          </w:p>
        </w:tc>
      </w:tr>
      <w:tr>
        <w:trPr>
          <w:trHeight w:val="425" w:hRule="atLeast"/>
          <w:jc w:val="center"/>
        </w:trPr>
        <w:tc>
          <w:tcPr>
            <w:tcW w:w="140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管理类别</w:t>
            </w:r>
          </w:p>
        </w:tc>
        <w:tc>
          <w:tcPr>
            <w:tcW w:w="51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简化管理</w:t>
            </w:r>
          </w:p>
        </w:tc>
        <w:tc>
          <w:tcPr>
            <w:tcW w:w="2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425" w:hRule="atLeast"/>
          <w:jc w:val="center"/>
        </w:trPr>
        <w:tc>
          <w:tcPr>
            <w:tcW w:w="1406"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重点管理</w:t>
            </w:r>
          </w:p>
        </w:tc>
        <w:tc>
          <w:tcPr>
            <w:tcW w:w="2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40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1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406"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406"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406"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406"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121"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40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40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40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40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5121" w:type="dxa"/>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5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40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40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53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40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54" w:type="dxa"/>
            <w:gridSpan w:val="2"/>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排污单位有违法行为M值为20万元，N值为5万元；情节严重的，M值为100万元，N值为20万元。</w:t>
            </w:r>
          </w:p>
        </w:tc>
      </w:tr>
    </w:tbl>
    <w:p>
      <w:pPr>
        <w:shd w:val="clear" w:color="auto" w:fill="auto"/>
        <w:spacing w:line="590" w:lineRule="exact"/>
        <w:ind w:firstLine="640" w:firstLineChars="200"/>
        <w:outlineLvl w:val="9"/>
        <w:rPr>
          <w:rFonts w:hint="default" w:ascii="Times New Roman" w:hAnsi="Times New Roman" w:eastAsia="方正仿宋_GBK" w:cs="Times New Roman"/>
          <w:color w:val="auto"/>
          <w:sz w:val="32"/>
          <w:szCs w:val="32"/>
          <w:shd w:val="clear" w:color="auto" w:fill="auto"/>
          <w:lang w:val="en-US" w:eastAsia="zh-CN"/>
        </w:rPr>
      </w:pPr>
    </w:p>
    <w:p>
      <w:pPr>
        <w:shd w:val="clear" w:color="auto" w:fill="auto"/>
        <w:spacing w:line="200" w:lineRule="exact"/>
        <w:ind w:firstLine="640" w:firstLineChars="200"/>
        <w:outlineLvl w:val="9"/>
        <w:rPr>
          <w:rFonts w:hint="default" w:ascii="Times New Roman" w:hAnsi="Times New Roman" w:eastAsia="方正仿宋_GBK" w:cs="Times New Roman"/>
          <w:color w:val="auto"/>
          <w:sz w:val="32"/>
          <w:szCs w:val="32"/>
          <w:shd w:val="clear" w:color="auto" w:fill="auto"/>
          <w:lang w:val="en-US" w:eastAsia="zh-CN"/>
        </w:rPr>
      </w:pPr>
      <w:r>
        <w:rPr>
          <w:rFonts w:hint="default" w:ascii="Times New Roman" w:hAnsi="Times New Roman" w:eastAsia="方正仿宋_GBK" w:cs="Times New Roman"/>
          <w:color w:val="auto"/>
          <w:sz w:val="32"/>
          <w:szCs w:val="32"/>
          <w:shd w:val="clear" w:color="auto" w:fill="auto"/>
          <w:lang w:val="en-US" w:eastAsia="zh-CN"/>
        </w:rPr>
        <w:br w:type="page"/>
      </w:r>
    </w:p>
    <w:tbl>
      <w:tblPr>
        <w:tblW w:w="90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5231"/>
        <w:gridCol w:w="2376"/>
      </w:tblGrid>
      <w:tr>
        <w:trPr>
          <w:trHeight w:val="283" w:hRule="atLeast"/>
        </w:trPr>
        <w:tc>
          <w:tcPr>
            <w:tcW w:w="9002"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九</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排污许可管理类</w:t>
            </w:r>
          </w:p>
        </w:tc>
      </w:tr>
      <w:tr>
        <w:trPr>
          <w:trHeight w:val="283" w:hRule="atLeast"/>
        </w:trPr>
        <w:tc>
          <w:tcPr>
            <w:tcW w:w="139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07" w:type="dxa"/>
            <w:gridSpan w:val="2"/>
            <w:vAlign w:val="center"/>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cs="Times New Roman"/>
                <w:color w:val="auto"/>
                <w:sz w:val="20"/>
                <w:szCs w:val="20"/>
                <w:shd w:val="clear" w:color="auto" w:fill="auto"/>
              </w:rPr>
            </w:pPr>
            <w:bookmarkStart w:id="424" w:name="_Toc12593"/>
            <w:r>
              <w:rPr>
                <w:rFonts w:hint="default" w:ascii="Times New Roman" w:hAnsi="Times New Roman" w:cs="Times New Roman"/>
                <w:color w:val="auto"/>
                <w:sz w:val="20"/>
                <w:szCs w:val="20"/>
                <w:shd w:val="clear" w:color="auto" w:fill="auto"/>
              </w:rPr>
              <w:t>9</w:t>
            </w:r>
            <w:bookmarkEnd w:id="424"/>
          </w:p>
        </w:tc>
      </w:tr>
      <w:tr>
        <w:trPr>
          <w:trHeight w:val="283" w:hRule="atLeast"/>
        </w:trPr>
        <w:tc>
          <w:tcPr>
            <w:tcW w:w="139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违法行为</w:t>
            </w:r>
          </w:p>
        </w:tc>
        <w:tc>
          <w:tcPr>
            <w:tcW w:w="7607" w:type="dxa"/>
            <w:gridSpan w:val="2"/>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outlineLvl w:val="0"/>
              <w:rPr>
                <w:rFonts w:hint="default" w:ascii="Times New Roman" w:hAnsi="Times New Roman" w:eastAsia="宋体" w:cs="Times New Roman"/>
                <w:color w:val="auto"/>
                <w:kern w:val="0"/>
                <w:sz w:val="20"/>
                <w:szCs w:val="20"/>
                <w:shd w:val="clear" w:color="auto" w:fill="auto"/>
                <w:lang w:eastAsia="zh-CN"/>
              </w:rPr>
            </w:pPr>
            <w:bookmarkStart w:id="425" w:name="_Toc15848"/>
            <w:r>
              <w:rPr>
                <w:rFonts w:hint="default" w:ascii="Times New Roman" w:hAnsi="Times New Roman" w:cs="Times New Roman"/>
                <w:color w:val="auto"/>
                <w:sz w:val="20"/>
                <w:szCs w:val="20"/>
                <w:shd w:val="clear" w:color="auto" w:fill="auto"/>
              </w:rPr>
              <w:t>污染物排放口位置或者数量不符合排污许可证规定</w:t>
            </w:r>
            <w:r>
              <w:rPr>
                <w:rFonts w:hint="default" w:ascii="Times New Roman" w:hAnsi="Times New Roman" w:cs="Times New Roman"/>
                <w:color w:val="auto"/>
                <w:sz w:val="20"/>
                <w:szCs w:val="20"/>
                <w:shd w:val="clear" w:color="auto" w:fill="auto"/>
                <w:lang w:eastAsia="zh-CN"/>
              </w:rPr>
              <w:t>的</w:t>
            </w:r>
            <w:bookmarkEnd w:id="425"/>
          </w:p>
        </w:tc>
      </w:tr>
      <w:tr>
        <w:trPr>
          <w:trHeight w:val="283" w:hRule="atLeast"/>
        </w:trPr>
        <w:tc>
          <w:tcPr>
            <w:tcW w:w="139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07" w:type="dxa"/>
            <w:gridSpan w:val="2"/>
            <w:vAlign w:val="center"/>
          </w:tcPr>
          <w:p>
            <w:pPr>
              <w:shd w:val="clear" w:color="auto" w:fill="auto"/>
              <w:spacing w:before="0" w:beforeAutospacing="0" w:after="0" w:afterAutospacing="0" w:line="320" w:lineRule="exact"/>
              <w:ind w:left="0" w:right="0" w:firstLine="422" w:firstLineChars="200"/>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color w:val="auto"/>
                <w:kern w:val="0"/>
                <w:sz w:val="20"/>
                <w:szCs w:val="20"/>
                <w:shd w:val="clear" w:color="auto" w:fill="auto"/>
              </w:rPr>
              <w:t>《排污许可管理条例》</w:t>
            </w:r>
            <w:r>
              <w:rPr>
                <w:rFonts w:hint="default" w:ascii="Times New Roman" w:hAnsi="Times New Roman" w:cs="Times New Roman"/>
                <w:b/>
                <w:bCs/>
                <w:color w:val="auto"/>
                <w:sz w:val="20"/>
                <w:szCs w:val="20"/>
                <w:shd w:val="clear" w:color="auto" w:fill="auto"/>
              </w:rPr>
              <w:t xml:space="preserve">第十八条第二款 </w:t>
            </w:r>
            <w:r>
              <w:rPr>
                <w:rFonts w:hint="default" w:ascii="Times New Roman" w:hAnsi="Times New Roman" w:cs="Times New Roman"/>
                <w:color w:val="auto"/>
                <w:kern w:val="0"/>
                <w:sz w:val="20"/>
                <w:szCs w:val="20"/>
                <w:shd w:val="clear" w:color="auto" w:fill="auto"/>
              </w:rPr>
              <w:t>污染物排放口位置和数量、污染物排放方式和排放去向应当与排污许可证规定相符。</w:t>
            </w:r>
          </w:p>
        </w:tc>
      </w:tr>
      <w:tr>
        <w:trPr>
          <w:trHeight w:val="283" w:hRule="atLeast"/>
        </w:trPr>
        <w:tc>
          <w:tcPr>
            <w:tcW w:w="139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07" w:type="dxa"/>
            <w:gridSpan w:val="2"/>
            <w:vAlign w:val="center"/>
          </w:tcPr>
          <w:p>
            <w:pPr>
              <w:widowControl/>
              <w:shd w:val="clear" w:color="auto" w:fill="auto"/>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《排污许可管理条例》第三十六条第一项</w:t>
            </w:r>
            <w:r>
              <w:rPr>
                <w:rFonts w:hint="default" w:ascii="Times New Roman" w:hAnsi="Times New Roman" w:cs="Times New Roman"/>
                <w:color w:val="auto"/>
                <w:kern w:val="0"/>
                <w:sz w:val="20"/>
                <w:szCs w:val="20"/>
                <w:shd w:val="clear" w:color="auto" w:fill="auto"/>
              </w:rPr>
              <w:t xml:space="preserve"> 违反本条例规定，排污单位有下列行为之一的，由生态环境主管部门责令改正，处2万元以上20万元以下的罚款；拒不改正的，责令停产整治：</w:t>
            </w:r>
          </w:p>
          <w:p>
            <w:pPr>
              <w:widowControl/>
              <w:shd w:val="clear" w:color="auto" w:fill="auto"/>
              <w:snapToGrid w:val="0"/>
              <w:spacing w:before="0" w:beforeAutospacing="0" w:after="0" w:afterAutospacing="0" w:line="320" w:lineRule="exact"/>
              <w:ind w:left="0" w:right="0" w:firstLine="420"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（一）污染物排放口位置或者数量不符合排污许可证规定；</w:t>
            </w:r>
          </w:p>
        </w:tc>
      </w:tr>
      <w:tr>
        <w:trPr>
          <w:trHeight w:val="397" w:hRule="atLeast"/>
        </w:trPr>
        <w:tc>
          <w:tcPr>
            <w:tcW w:w="139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2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395"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2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数量多1个或少1个；排污口高度低于标准10%</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w:t>
            </w:r>
          </w:p>
        </w:tc>
        <w:tc>
          <w:tcPr>
            <w:tcW w:w="2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数量多2个或少2个；排污口高度低于标准10</w:t>
            </w:r>
            <w:r>
              <w:rPr>
                <w:rFonts w:hint="eastAsia" w:ascii="Times New Roman" w:hAnsi="Times New Roman" w:cs="Times New Roman"/>
                <w:color w:val="auto"/>
                <w:sz w:val="20"/>
                <w:szCs w:val="20"/>
                <w:shd w:val="clear" w:color="auto" w:fill="auto"/>
                <w:lang w:val="en-US" w:eastAsia="zh-CN"/>
              </w:rPr>
              <w:t>%以上</w:t>
            </w:r>
            <w:r>
              <w:rPr>
                <w:rFonts w:hint="default" w:ascii="Times New Roman" w:hAnsi="Times New Roman" w:cs="Times New Roman"/>
                <w:color w:val="auto"/>
                <w:sz w:val="20"/>
                <w:szCs w:val="20"/>
                <w:shd w:val="clear" w:color="auto" w:fill="auto"/>
              </w:rPr>
              <w:t>20%</w:t>
            </w:r>
            <w:r>
              <w:rPr>
                <w:rFonts w:hint="eastAsia" w:ascii="Times New Roman" w:hAnsi="Times New Roman" w:cs="Times New Roman"/>
                <w:color w:val="auto"/>
                <w:sz w:val="20"/>
                <w:szCs w:val="20"/>
                <w:shd w:val="clear" w:color="auto" w:fill="auto"/>
                <w:lang w:eastAsia="zh-CN"/>
              </w:rPr>
              <w:t>以下</w:t>
            </w:r>
          </w:p>
        </w:tc>
        <w:tc>
          <w:tcPr>
            <w:tcW w:w="2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数量多3个或少3个；排污口高度低于标准20</w:t>
            </w:r>
            <w:r>
              <w:rPr>
                <w:rFonts w:hint="eastAsia" w:ascii="Times New Roman" w:hAnsi="Times New Roman" w:cs="Times New Roman"/>
                <w:color w:val="auto"/>
                <w:sz w:val="20"/>
                <w:szCs w:val="20"/>
                <w:shd w:val="clear" w:color="auto" w:fill="auto"/>
                <w:lang w:val="en-US" w:eastAsia="zh-CN"/>
              </w:rPr>
              <w:t>%以上</w:t>
            </w:r>
            <w:r>
              <w:rPr>
                <w:rFonts w:hint="default" w:ascii="Times New Roman" w:hAnsi="Times New Roman" w:cs="Times New Roman"/>
                <w:color w:val="auto"/>
                <w:sz w:val="20"/>
                <w:szCs w:val="20"/>
                <w:shd w:val="clear" w:color="auto" w:fill="auto"/>
              </w:rPr>
              <w:t>30%</w:t>
            </w:r>
            <w:r>
              <w:rPr>
                <w:rFonts w:hint="eastAsia" w:ascii="Times New Roman" w:hAnsi="Times New Roman" w:cs="Times New Roman"/>
                <w:color w:val="auto"/>
                <w:sz w:val="20"/>
                <w:szCs w:val="20"/>
                <w:shd w:val="clear" w:color="auto" w:fill="auto"/>
                <w:lang w:eastAsia="zh-CN"/>
              </w:rPr>
              <w:t>以下</w:t>
            </w:r>
          </w:p>
        </w:tc>
        <w:tc>
          <w:tcPr>
            <w:tcW w:w="2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hd w:val="clear" w:color="auto" w:fill="auto"/>
              <w:snapToGrid w:val="0"/>
              <w:spacing w:before="0" w:beforeAutospacing="0" w:after="0" w:afterAutospacing="0" w:line="320" w:lineRule="exact"/>
              <w:ind w:left="0" w:right="0"/>
              <w:jc w:val="center"/>
              <w:rPr>
                <w:rFonts w:hint="eastAsia"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数量多4个或少4个；排污口高度低于标准30</w:t>
            </w:r>
            <w:r>
              <w:rPr>
                <w:rFonts w:hint="eastAsia" w:ascii="Times New Roman" w:hAnsi="Times New Roman" w:cs="Times New Roman"/>
                <w:color w:val="auto"/>
                <w:sz w:val="20"/>
                <w:szCs w:val="20"/>
                <w:shd w:val="clear" w:color="auto" w:fill="auto"/>
                <w:lang w:val="en-US" w:eastAsia="zh-CN"/>
              </w:rPr>
              <w:t>%以上</w:t>
            </w:r>
            <w:r>
              <w:rPr>
                <w:rFonts w:hint="default" w:ascii="Times New Roman" w:hAnsi="Times New Roman" w:cs="Times New Roman"/>
                <w:color w:val="auto"/>
                <w:sz w:val="20"/>
                <w:szCs w:val="20"/>
                <w:shd w:val="clear" w:color="auto" w:fill="auto"/>
              </w:rPr>
              <w:t>40%</w:t>
            </w:r>
            <w:r>
              <w:rPr>
                <w:rFonts w:hint="eastAsia" w:ascii="Times New Roman" w:hAnsi="Times New Roman" w:cs="Times New Roman"/>
                <w:color w:val="auto"/>
                <w:sz w:val="20"/>
                <w:szCs w:val="20"/>
                <w:shd w:val="clear" w:color="auto" w:fill="auto"/>
                <w:lang w:eastAsia="zh-CN"/>
              </w:rPr>
              <w:t>以下</w:t>
            </w:r>
          </w:p>
        </w:tc>
        <w:tc>
          <w:tcPr>
            <w:tcW w:w="2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数量多或少5个以上的；排污口高度低于标准40%以上</w:t>
            </w:r>
          </w:p>
        </w:tc>
        <w:tc>
          <w:tcPr>
            <w:tcW w:w="2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395"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污染物类别</w:t>
            </w:r>
          </w:p>
        </w:tc>
        <w:tc>
          <w:tcPr>
            <w:tcW w:w="52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 xml:space="preserve">农业生产、汽车修理废气/畜禽养殖废气/机械、生活废水 </w:t>
            </w:r>
            <w:r>
              <w:rPr>
                <w:rFonts w:hint="eastAsia" w:ascii="Times New Roman" w:hAnsi="Times New Roman" w:cs="Times New Roman"/>
                <w:color w:val="auto"/>
                <w:sz w:val="20"/>
                <w:szCs w:val="20"/>
                <w:shd w:val="clear" w:color="auto" w:fill="auto"/>
                <w:lang w:val="en-US" w:eastAsia="zh-CN"/>
              </w:rPr>
              <w:t>/规模以下畜禽养殖废水</w:t>
            </w:r>
          </w:p>
        </w:tc>
        <w:tc>
          <w:tcPr>
            <w:tcW w:w="2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燃煤锅炉废气</w:t>
            </w:r>
            <w:r>
              <w:rPr>
                <w:rFonts w:hint="default"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rPr>
              <w:t xml:space="preserve">服务业废水 </w:t>
            </w:r>
            <w:r>
              <w:rPr>
                <w:rFonts w:hint="eastAsia" w:ascii="Times New Roman" w:hAnsi="Times New Roman" w:cs="Times New Roman"/>
                <w:color w:val="auto"/>
                <w:sz w:val="20"/>
                <w:szCs w:val="20"/>
                <w:shd w:val="clear" w:color="auto" w:fill="auto"/>
                <w:lang w:val="en-US" w:eastAsia="zh-CN"/>
              </w:rPr>
              <w:t>/规模化畜禽养殖废水</w:t>
            </w:r>
          </w:p>
        </w:tc>
        <w:tc>
          <w:tcPr>
            <w:tcW w:w="2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一般工业废气/含恶臭污染物的废气/医疗废气/实验室废气/一般工业废水</w:t>
            </w:r>
          </w:p>
        </w:tc>
        <w:tc>
          <w:tcPr>
            <w:tcW w:w="2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火电、钢铁、石化、水泥、炼焦、有色、化工废气、烟尘/含其他有毒有害物质的废水、医疗废水</w:t>
            </w:r>
          </w:p>
        </w:tc>
        <w:tc>
          <w:tcPr>
            <w:tcW w:w="2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含有毒有害物质的废气/含一类污染物或重金属、病原体、放射性物质的废水</w:t>
            </w:r>
          </w:p>
        </w:tc>
        <w:tc>
          <w:tcPr>
            <w:tcW w:w="2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95"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持续时间</w:t>
            </w:r>
          </w:p>
        </w:tc>
        <w:tc>
          <w:tcPr>
            <w:tcW w:w="52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1个月</w:t>
            </w:r>
            <w:r>
              <w:rPr>
                <w:rFonts w:hint="default" w:ascii="Times New Roman" w:hAnsi="Times New Roman" w:cs="Times New Roman"/>
                <w:color w:val="auto"/>
                <w:sz w:val="20"/>
                <w:szCs w:val="20"/>
                <w:shd w:val="clear" w:color="auto" w:fill="auto"/>
                <w:lang w:val="en-US"/>
              </w:rPr>
              <w:t>以下</w:t>
            </w:r>
            <w:r>
              <w:rPr>
                <w:rFonts w:hint="default" w:ascii="Times New Roman" w:hAnsi="Times New Roman" w:cs="Times New Roman"/>
                <w:color w:val="auto"/>
                <w:sz w:val="20"/>
                <w:szCs w:val="20"/>
                <w:shd w:val="clear" w:color="auto" w:fill="auto"/>
              </w:rPr>
              <w:t>的</w:t>
            </w:r>
          </w:p>
        </w:tc>
        <w:tc>
          <w:tcPr>
            <w:tcW w:w="2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1个月以上3个月以下的</w:t>
            </w:r>
          </w:p>
        </w:tc>
        <w:tc>
          <w:tcPr>
            <w:tcW w:w="2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3个月以上6个月以下的</w:t>
            </w:r>
          </w:p>
        </w:tc>
        <w:tc>
          <w:tcPr>
            <w:tcW w:w="2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6个月以上1年以下的</w:t>
            </w:r>
          </w:p>
        </w:tc>
        <w:tc>
          <w:tcPr>
            <w:tcW w:w="2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1年以上的</w:t>
            </w:r>
          </w:p>
        </w:tc>
        <w:tc>
          <w:tcPr>
            <w:tcW w:w="2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95"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管理类别</w:t>
            </w:r>
          </w:p>
        </w:tc>
        <w:tc>
          <w:tcPr>
            <w:tcW w:w="52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简化管理</w:t>
            </w:r>
          </w:p>
        </w:tc>
        <w:tc>
          <w:tcPr>
            <w:tcW w:w="2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69"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重点管理</w:t>
            </w:r>
          </w:p>
        </w:tc>
        <w:tc>
          <w:tcPr>
            <w:tcW w:w="2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69" w:hRule="atLeast"/>
        </w:trPr>
        <w:tc>
          <w:tcPr>
            <w:tcW w:w="1395"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2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69" w:hRule="atLeast"/>
        </w:trPr>
        <w:tc>
          <w:tcPr>
            <w:tcW w:w="1395"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231"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37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69" w:hRule="atLeast"/>
        </w:trPr>
        <w:tc>
          <w:tcPr>
            <w:tcW w:w="139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2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37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69" w:hRule="atLeast"/>
        </w:trPr>
        <w:tc>
          <w:tcPr>
            <w:tcW w:w="139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37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69" w:hRule="atLeast"/>
        </w:trPr>
        <w:tc>
          <w:tcPr>
            <w:tcW w:w="139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37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69" w:hRule="atLeast"/>
        </w:trPr>
        <w:tc>
          <w:tcPr>
            <w:tcW w:w="1395"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5231" w:type="dxa"/>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395"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2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37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37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69"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37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69"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37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97" w:hRule="atLeast"/>
        </w:trPr>
        <w:tc>
          <w:tcPr>
            <w:tcW w:w="139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07" w:type="dxa"/>
            <w:gridSpan w:val="2"/>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p>
        </w:tc>
      </w:tr>
    </w:tbl>
    <w:p>
      <w:pPr>
        <w:shd w:val="clear" w:color="auto" w:fill="auto"/>
        <w:spacing w:line="590" w:lineRule="exact"/>
        <w:ind w:firstLine="640" w:firstLineChars="200"/>
        <w:outlineLvl w:val="9"/>
        <w:rPr>
          <w:rFonts w:hint="default" w:ascii="Times New Roman" w:hAnsi="Times New Roman" w:eastAsia="方正仿宋_GBK" w:cs="Times New Roman"/>
          <w:color w:val="auto"/>
          <w:sz w:val="32"/>
          <w:szCs w:val="32"/>
          <w:shd w:val="clear" w:color="auto" w:fill="auto"/>
          <w:lang w:val="en-US" w:eastAsia="zh-CN"/>
        </w:rPr>
      </w:pPr>
    </w:p>
    <w:p>
      <w:pPr>
        <w:shd w:val="clear" w:color="auto" w:fill="auto"/>
        <w:spacing w:line="200" w:lineRule="exact"/>
        <w:ind w:firstLine="640" w:firstLineChars="200"/>
        <w:outlineLvl w:val="9"/>
        <w:rPr>
          <w:rFonts w:hint="default" w:ascii="Times New Roman" w:hAnsi="Times New Roman" w:eastAsia="方正仿宋_GBK" w:cs="Times New Roman"/>
          <w:color w:val="auto"/>
          <w:sz w:val="32"/>
          <w:szCs w:val="32"/>
          <w:shd w:val="clear" w:color="auto" w:fill="auto"/>
          <w:lang w:val="en-US" w:eastAsia="zh-CN"/>
        </w:rPr>
      </w:pPr>
      <w:r>
        <w:rPr>
          <w:rFonts w:hint="default" w:ascii="Times New Roman" w:hAnsi="Times New Roman" w:eastAsia="方正仿宋_GBK" w:cs="Times New Roman"/>
          <w:color w:val="auto"/>
          <w:sz w:val="32"/>
          <w:szCs w:val="32"/>
          <w:shd w:val="clear" w:color="auto" w:fill="auto"/>
          <w:lang w:val="en-US" w:eastAsia="zh-CN"/>
        </w:rPr>
        <w:br w:type="page"/>
      </w:r>
    </w:p>
    <w:tbl>
      <w:tblPr>
        <w:tblW w:w="90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5085"/>
        <w:gridCol w:w="2522"/>
      </w:tblGrid>
      <w:tr>
        <w:trPr>
          <w:trHeight w:val="283" w:hRule="atLeast"/>
        </w:trPr>
        <w:tc>
          <w:tcPr>
            <w:tcW w:w="9002" w:type="dxa"/>
            <w:gridSpan w:val="3"/>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九</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排污许可管理类</w:t>
            </w:r>
          </w:p>
        </w:tc>
      </w:tr>
      <w:tr>
        <w:trPr>
          <w:trHeight w:val="283" w:hRule="atLeast"/>
        </w:trPr>
        <w:tc>
          <w:tcPr>
            <w:tcW w:w="1395" w:type="dxa"/>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07" w:type="dxa"/>
            <w:gridSpan w:val="2"/>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w:t>
            </w:r>
          </w:p>
        </w:tc>
      </w:tr>
      <w:tr>
        <w:trPr>
          <w:trHeight w:val="283" w:hRule="atLeast"/>
        </w:trPr>
        <w:tc>
          <w:tcPr>
            <w:tcW w:w="1395" w:type="dxa"/>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07" w:type="dxa"/>
            <w:gridSpan w:val="2"/>
            <w:vAlign w:val="center"/>
          </w:tcPr>
          <w:p>
            <w:pPr>
              <w:shd w:val="clear" w:color="auto" w:fill="auto"/>
              <w:spacing w:before="0" w:beforeAutospacing="0" w:after="0" w:afterAutospacing="0" w:line="320" w:lineRule="exact"/>
              <w:ind w:left="0" w:right="0"/>
              <w:jc w:val="center"/>
              <w:outlineLvl w:val="0"/>
              <w:rPr>
                <w:rFonts w:hint="default" w:ascii="Times New Roman" w:hAnsi="Times New Roman" w:eastAsia="宋体" w:cs="Times New Roman"/>
                <w:color w:val="auto"/>
                <w:sz w:val="20"/>
                <w:szCs w:val="20"/>
                <w:shd w:val="clear" w:color="auto" w:fill="auto"/>
                <w:lang w:eastAsia="zh-CN"/>
              </w:rPr>
            </w:pPr>
            <w:bookmarkStart w:id="426" w:name="_Toc3965"/>
            <w:r>
              <w:rPr>
                <w:rFonts w:hint="default" w:ascii="Times New Roman" w:hAnsi="Times New Roman" w:cs="Times New Roman"/>
                <w:color w:val="auto"/>
                <w:sz w:val="20"/>
                <w:szCs w:val="20"/>
                <w:shd w:val="clear" w:color="auto" w:fill="auto"/>
              </w:rPr>
              <w:t>污染物排放方式或排放去向不符合排污许可证规定</w:t>
            </w:r>
            <w:r>
              <w:rPr>
                <w:rFonts w:hint="default" w:ascii="Times New Roman" w:hAnsi="Times New Roman" w:cs="Times New Roman"/>
                <w:color w:val="auto"/>
                <w:sz w:val="20"/>
                <w:szCs w:val="20"/>
                <w:shd w:val="clear" w:color="auto" w:fill="auto"/>
                <w:lang w:eastAsia="zh-CN"/>
              </w:rPr>
              <w:t>的</w:t>
            </w:r>
            <w:bookmarkEnd w:id="426"/>
          </w:p>
        </w:tc>
      </w:tr>
      <w:tr>
        <w:trPr>
          <w:trHeight w:val="283" w:hRule="atLeast"/>
        </w:trPr>
        <w:tc>
          <w:tcPr>
            <w:tcW w:w="1395" w:type="dxa"/>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07" w:type="dxa"/>
            <w:gridSpan w:val="2"/>
            <w:vAlign w:val="center"/>
          </w:tcPr>
          <w:p>
            <w:pPr>
              <w:shd w:val="clear" w:color="auto" w:fill="auto"/>
              <w:spacing w:before="0" w:beforeAutospacing="0" w:after="0" w:afterAutospacing="0" w:line="320" w:lineRule="exact"/>
              <w:ind w:left="0" w:right="0" w:firstLine="422"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《排污许可管理条例》第十八条第二款 </w:t>
            </w:r>
            <w:r>
              <w:rPr>
                <w:rFonts w:hint="default" w:ascii="Times New Roman" w:hAnsi="Times New Roman" w:cs="Times New Roman"/>
                <w:color w:val="auto"/>
                <w:sz w:val="20"/>
                <w:szCs w:val="20"/>
                <w:shd w:val="clear" w:color="auto" w:fill="auto"/>
              </w:rPr>
              <w:t>污染物排放口位置和数量、污染物排放方式和排放去向应当与排污许可证规定相符。</w:t>
            </w:r>
          </w:p>
        </w:tc>
      </w:tr>
      <w:tr>
        <w:trPr>
          <w:trHeight w:val="283" w:hRule="atLeast"/>
        </w:trPr>
        <w:tc>
          <w:tcPr>
            <w:tcW w:w="1395" w:type="dxa"/>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07" w:type="dxa"/>
            <w:gridSpan w:val="2"/>
            <w:vAlign w:val="center"/>
          </w:tcPr>
          <w:p>
            <w:pPr>
              <w:shd w:val="clear" w:color="auto" w:fill="auto"/>
              <w:spacing w:before="0" w:beforeAutospacing="0" w:after="0" w:afterAutospacing="0" w:line="320" w:lineRule="exact"/>
              <w:ind w:left="0" w:right="0" w:firstLine="422"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《排污许可管理条例》第三十六条第二项</w:t>
            </w:r>
            <w:r>
              <w:rPr>
                <w:rFonts w:hint="default" w:ascii="Times New Roman" w:hAnsi="Times New Roman" w:cs="Times New Roman"/>
                <w:color w:val="auto"/>
                <w:sz w:val="20"/>
                <w:szCs w:val="20"/>
                <w:shd w:val="clear" w:color="auto" w:fill="auto"/>
              </w:rPr>
              <w:t xml:space="preserve"> 违反本条例规定，排污单位有下列行为之一的，由生态环境主管部门责令改正，处2万元以上20万元以下的罚款；拒不改正的，责令停产整治：</w:t>
            </w:r>
          </w:p>
          <w:p>
            <w:pPr>
              <w:shd w:val="clear" w:color="auto" w:fill="auto"/>
              <w:spacing w:before="0" w:beforeAutospacing="0" w:after="0" w:afterAutospacing="0" w:line="320" w:lineRule="exact"/>
              <w:ind w:left="0" w:right="0" w:firstLine="420"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（二）污染物排放方式或排放去向不符合排污许可证规定</w:t>
            </w:r>
            <w:r>
              <w:rPr>
                <w:rFonts w:hint="default" w:ascii="Times New Roman" w:hAnsi="Times New Roman" w:cs="Times New Roman"/>
                <w:color w:val="auto"/>
                <w:sz w:val="20"/>
                <w:szCs w:val="20"/>
                <w:shd w:val="clear" w:color="auto" w:fill="auto"/>
                <w:lang w:eastAsia="zh-CN"/>
              </w:rPr>
              <w:t>；</w:t>
            </w:r>
          </w:p>
        </w:tc>
      </w:tr>
      <w:tr>
        <w:trPr>
          <w:trHeight w:val="351" w:hRule="atLeast"/>
        </w:trPr>
        <w:tc>
          <w:tcPr>
            <w:tcW w:w="1395" w:type="dxa"/>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85" w:type="dxa"/>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22" w:type="dxa"/>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51" w:hRule="atLeast"/>
        </w:trPr>
        <w:tc>
          <w:tcPr>
            <w:tcW w:w="1395" w:type="dxa"/>
            <w:vMerge w:val="restart"/>
            <w:vAlign w:val="center"/>
          </w:tcPr>
          <w:p>
            <w:pPr>
              <w:shd w:val="clear" w:color="auto" w:fill="auto"/>
              <w:spacing w:before="0" w:beforeAutospacing="0" w:after="0" w:afterAutospacing="0" w:line="320" w:lineRule="exact"/>
              <w:ind w:left="0" w:right="0"/>
              <w:jc w:val="center"/>
              <w:rPr>
                <w:rFonts w:hint="eastAsia" w:ascii="Times New Roman" w:hAnsi="Times New Roman" w:eastAsia="宋体" w:cs="Times New Roman"/>
                <w:b/>
                <w:bCs/>
                <w:color w:val="auto"/>
                <w:sz w:val="20"/>
                <w:szCs w:val="20"/>
                <w:shd w:val="clear" w:color="auto" w:fill="auto"/>
                <w:lang w:eastAsia="zh-CN"/>
              </w:rPr>
            </w:pPr>
            <w:r>
              <w:rPr>
                <w:rFonts w:hint="default" w:ascii="Times New Roman" w:hAnsi="Times New Roman" w:eastAsia="宋体" w:cs="Times New Roman"/>
                <w:b/>
                <w:bCs/>
                <w:color w:val="auto"/>
                <w:sz w:val="20"/>
                <w:szCs w:val="20"/>
                <w:highlight w:val="none"/>
                <w:shd w:val="clear" w:color="auto" w:fill="auto"/>
              </w:rPr>
              <w:t>★</w:t>
            </w:r>
            <w:r>
              <w:rPr>
                <w:rFonts w:hint="eastAsia" w:ascii="Times New Roman" w:hAnsi="Times New Roman" w:cs="Times New Roman"/>
                <w:b/>
                <w:bCs/>
                <w:color w:val="auto"/>
                <w:sz w:val="20"/>
                <w:szCs w:val="20"/>
                <w:highlight w:val="none"/>
                <w:shd w:val="clear" w:color="auto" w:fill="auto"/>
                <w:lang w:eastAsia="zh-CN"/>
              </w:rPr>
              <w:t>排放方式和地表水环境功能区</w:t>
            </w:r>
          </w:p>
        </w:tc>
        <w:tc>
          <w:tcPr>
            <w:tcW w:w="5085" w:type="dxa"/>
            <w:vAlign w:val="center"/>
          </w:tcPr>
          <w:p>
            <w:pPr>
              <w:shd w:val="clear" w:color="auto" w:fill="auto"/>
              <w:spacing w:before="0" w:beforeAutospacing="0" w:after="0" w:afterAutospacing="0" w:line="320" w:lineRule="exact"/>
              <w:ind w:left="0" w:right="0"/>
              <w:jc w:val="center"/>
              <w:rPr>
                <w:rFonts w:hint="eastAsia" w:ascii="Times New Roman" w:hAnsi="Times New Roman" w:eastAsia="宋体" w:cs="Times New Roman"/>
                <w:color w:val="auto"/>
                <w:kern w:val="2"/>
                <w:sz w:val="21"/>
                <w:szCs w:val="21"/>
                <w:highlight w:val="none"/>
                <w:shd w:val="clear" w:color="auto" w:fill="auto"/>
                <w:lang w:val="en-US" w:eastAsia="zh-CN" w:bidi="ar-SA"/>
              </w:rPr>
            </w:pPr>
            <w:r>
              <w:rPr>
                <w:rFonts w:hint="default" w:ascii="Times New Roman" w:hAnsi="Times New Roman" w:cs="Times New Roman"/>
                <w:color w:val="auto"/>
                <w:sz w:val="20"/>
                <w:szCs w:val="20"/>
                <w:highlight w:val="none"/>
                <w:shd w:val="clear" w:color="auto" w:fill="auto"/>
              </w:rPr>
              <w:t>Ⅴ类水</w:t>
            </w:r>
            <w:r>
              <w:rPr>
                <w:rFonts w:hint="eastAsia" w:ascii="Times New Roman" w:hAnsi="Times New Roman" w:cs="Times New Roman"/>
                <w:color w:val="auto"/>
                <w:sz w:val="20"/>
                <w:szCs w:val="20"/>
                <w:highlight w:val="none"/>
                <w:shd w:val="clear" w:color="auto" w:fill="auto"/>
                <w:lang w:eastAsia="zh-CN"/>
              </w:rPr>
              <w:t>功能区</w:t>
            </w:r>
          </w:p>
        </w:tc>
        <w:tc>
          <w:tcPr>
            <w:tcW w:w="2522" w:type="dxa"/>
            <w:vAlign w:val="center"/>
          </w:tcPr>
          <w:p>
            <w:pPr>
              <w:shd w:val="clear" w:color="auto" w:fill="auto"/>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highlight w:val="none"/>
                <w:shd w:val="clear" w:color="auto" w:fill="auto"/>
                <w:lang w:val="en-US" w:eastAsia="zh-CN" w:bidi="ar-SA"/>
              </w:rPr>
            </w:pPr>
            <w:r>
              <w:rPr>
                <w:rFonts w:hint="default" w:ascii="Times New Roman" w:hAnsi="Times New Roman" w:cs="Times New Roman"/>
                <w:color w:val="auto"/>
                <w:sz w:val="20"/>
                <w:szCs w:val="20"/>
                <w:highlight w:val="none"/>
                <w:shd w:val="clear" w:color="auto" w:fill="auto"/>
              </w:rPr>
              <w:t>1</w:t>
            </w:r>
          </w:p>
        </w:tc>
      </w:tr>
      <w:tr>
        <w:trPr>
          <w:trHeight w:val="351" w:hRule="atLeast"/>
        </w:trPr>
        <w:tc>
          <w:tcPr>
            <w:tcW w:w="1395" w:type="dxa"/>
            <w:vMerge w:val="continue"/>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85" w:type="dxa"/>
            <w:vAlign w:val="center"/>
          </w:tcPr>
          <w:p>
            <w:pPr>
              <w:shd w:val="clear" w:color="auto" w:fill="auto"/>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highlight w:val="none"/>
                <w:shd w:val="clear" w:color="auto" w:fill="auto"/>
                <w:lang w:val="en-US" w:eastAsia="zh-CN" w:bidi="ar-SA"/>
              </w:rPr>
            </w:pPr>
            <w:r>
              <w:rPr>
                <w:rFonts w:hint="default" w:ascii="Times New Roman" w:hAnsi="Times New Roman" w:eastAsia="宋体" w:cs="Times New Roman"/>
                <w:color w:val="auto"/>
                <w:sz w:val="20"/>
                <w:szCs w:val="20"/>
                <w:highlight w:val="none"/>
                <w:shd w:val="clear" w:color="auto" w:fill="auto"/>
              </w:rPr>
              <w:t>Ⅳ</w:t>
            </w:r>
            <w:r>
              <w:rPr>
                <w:rFonts w:hint="default" w:ascii="Times New Roman" w:hAnsi="Times New Roman" w:cs="Times New Roman"/>
                <w:color w:val="auto"/>
                <w:sz w:val="20"/>
                <w:szCs w:val="20"/>
                <w:highlight w:val="none"/>
                <w:shd w:val="clear" w:color="auto" w:fill="auto"/>
              </w:rPr>
              <w:t>类水</w:t>
            </w:r>
            <w:r>
              <w:rPr>
                <w:rFonts w:hint="eastAsia" w:ascii="Times New Roman" w:hAnsi="Times New Roman" w:cs="Times New Roman"/>
                <w:color w:val="auto"/>
                <w:sz w:val="20"/>
                <w:szCs w:val="20"/>
                <w:highlight w:val="none"/>
                <w:shd w:val="clear" w:color="auto" w:fill="auto"/>
                <w:lang w:eastAsia="zh-CN"/>
              </w:rPr>
              <w:t>功能区</w:t>
            </w:r>
            <w:r>
              <w:rPr>
                <w:rFonts w:hint="eastAsia" w:ascii="Times New Roman" w:hAnsi="Times New Roman" w:cs="Times New Roman"/>
                <w:color w:val="auto"/>
                <w:sz w:val="20"/>
                <w:szCs w:val="20"/>
                <w:highlight w:val="none"/>
                <w:shd w:val="clear" w:color="auto" w:fill="auto"/>
                <w:lang w:val="en-US" w:eastAsia="zh-CN"/>
              </w:rPr>
              <w:t>/自然沟、渠</w:t>
            </w:r>
            <w:r>
              <w:rPr>
                <w:rFonts w:hint="default" w:ascii="Times New Roman" w:hAnsi="Times New Roman" w:cs="Times New Roman"/>
                <w:color w:val="auto"/>
                <w:sz w:val="20"/>
                <w:szCs w:val="20"/>
                <w:highlight w:val="none"/>
                <w:shd w:val="clear" w:color="auto" w:fill="auto"/>
                <w:lang w:val="en-US" w:eastAsia="zh-CN"/>
              </w:rPr>
              <w:t>/</w:t>
            </w:r>
            <w:r>
              <w:rPr>
                <w:rFonts w:hint="default" w:ascii="Times New Roman" w:hAnsi="Times New Roman" w:cs="Times New Roman"/>
                <w:color w:val="auto"/>
                <w:sz w:val="20"/>
                <w:szCs w:val="20"/>
                <w:highlight w:val="none"/>
                <w:shd w:val="clear" w:color="auto" w:fill="auto"/>
              </w:rPr>
              <w:t>排放高度不符合要求</w:t>
            </w:r>
            <w:r>
              <w:rPr>
                <w:rFonts w:hint="default" w:ascii="Times New Roman" w:hAnsi="Times New Roman" w:cs="Times New Roman"/>
                <w:color w:val="auto"/>
                <w:sz w:val="20"/>
                <w:szCs w:val="20"/>
                <w:highlight w:val="none"/>
                <w:shd w:val="clear" w:color="auto" w:fill="auto"/>
                <w:lang w:val="en-US" w:eastAsia="zh-CN"/>
              </w:rPr>
              <w:t>/</w:t>
            </w:r>
            <w:r>
              <w:rPr>
                <w:rFonts w:hint="default" w:ascii="Times New Roman" w:hAnsi="Times New Roman" w:cs="Times New Roman"/>
                <w:color w:val="auto"/>
                <w:sz w:val="20"/>
                <w:szCs w:val="20"/>
                <w:highlight w:val="none"/>
                <w:shd w:val="clear" w:color="auto" w:fill="auto"/>
              </w:rPr>
              <w:t>改变排污口位置</w:t>
            </w:r>
          </w:p>
        </w:tc>
        <w:tc>
          <w:tcPr>
            <w:tcW w:w="2522" w:type="dxa"/>
            <w:vAlign w:val="center"/>
          </w:tcPr>
          <w:p>
            <w:pPr>
              <w:shd w:val="clear" w:color="auto" w:fill="auto"/>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highlight w:val="none"/>
                <w:shd w:val="clear" w:color="auto" w:fill="auto"/>
                <w:lang w:val="en-US" w:eastAsia="zh-CN" w:bidi="ar-SA"/>
              </w:rPr>
            </w:pPr>
            <w:r>
              <w:rPr>
                <w:rFonts w:hint="default" w:ascii="Times New Roman" w:hAnsi="Times New Roman" w:cs="Times New Roman"/>
                <w:color w:val="auto"/>
                <w:sz w:val="20"/>
                <w:szCs w:val="20"/>
                <w:highlight w:val="none"/>
                <w:shd w:val="clear" w:color="auto" w:fill="auto"/>
              </w:rPr>
              <w:t>2</w:t>
            </w:r>
          </w:p>
        </w:tc>
      </w:tr>
      <w:tr>
        <w:trPr>
          <w:trHeight w:val="351" w:hRule="atLeast"/>
        </w:trPr>
        <w:tc>
          <w:tcPr>
            <w:tcW w:w="1395" w:type="dxa"/>
            <w:vMerge w:val="continue"/>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85" w:type="dxa"/>
            <w:vAlign w:val="center"/>
          </w:tcPr>
          <w:p>
            <w:pPr>
              <w:shd w:val="clear" w:color="auto" w:fill="auto"/>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highlight w:val="none"/>
                <w:shd w:val="clear" w:color="auto" w:fill="auto"/>
                <w:lang w:val="en-US" w:eastAsia="zh-CN" w:bidi="ar-SA"/>
              </w:rPr>
            </w:pPr>
            <w:r>
              <w:rPr>
                <w:rFonts w:hint="default" w:ascii="Times New Roman" w:hAnsi="Times New Roman" w:eastAsia="宋体" w:cs="Times New Roman"/>
                <w:color w:val="auto"/>
                <w:sz w:val="20"/>
                <w:szCs w:val="20"/>
                <w:highlight w:val="none"/>
                <w:shd w:val="clear" w:color="auto" w:fill="auto"/>
              </w:rPr>
              <w:t>Ⅲ</w:t>
            </w:r>
            <w:r>
              <w:rPr>
                <w:rFonts w:hint="default" w:ascii="Times New Roman" w:hAnsi="Times New Roman" w:cs="Times New Roman"/>
                <w:color w:val="auto"/>
                <w:sz w:val="20"/>
                <w:szCs w:val="20"/>
                <w:highlight w:val="none"/>
                <w:shd w:val="clear" w:color="auto" w:fill="auto"/>
              </w:rPr>
              <w:t>类水</w:t>
            </w:r>
            <w:r>
              <w:rPr>
                <w:rFonts w:hint="eastAsia" w:ascii="Times New Roman" w:hAnsi="Times New Roman" w:cs="Times New Roman"/>
                <w:color w:val="auto"/>
                <w:sz w:val="20"/>
                <w:szCs w:val="20"/>
                <w:highlight w:val="none"/>
                <w:shd w:val="clear" w:color="auto" w:fill="auto"/>
                <w:lang w:eastAsia="zh-CN"/>
              </w:rPr>
              <w:t>功能区</w:t>
            </w:r>
            <w:r>
              <w:rPr>
                <w:rFonts w:hint="default" w:ascii="Times New Roman" w:hAnsi="Times New Roman" w:cs="Times New Roman"/>
                <w:color w:val="auto"/>
                <w:sz w:val="20"/>
                <w:szCs w:val="20"/>
                <w:highlight w:val="none"/>
                <w:shd w:val="clear" w:color="auto" w:fill="auto"/>
                <w:lang w:val="en-US" w:eastAsia="zh-CN"/>
              </w:rPr>
              <w:t>/</w:t>
            </w:r>
            <w:r>
              <w:rPr>
                <w:rFonts w:hint="default" w:ascii="Times New Roman" w:hAnsi="Times New Roman" w:cs="Times New Roman"/>
                <w:color w:val="auto"/>
                <w:sz w:val="20"/>
                <w:szCs w:val="20"/>
                <w:highlight w:val="none"/>
                <w:shd w:val="clear" w:color="auto" w:fill="auto"/>
              </w:rPr>
              <w:t>规定是有组织排放，实际为无组织排放</w:t>
            </w:r>
          </w:p>
        </w:tc>
        <w:tc>
          <w:tcPr>
            <w:tcW w:w="2522" w:type="dxa"/>
            <w:vAlign w:val="center"/>
          </w:tcPr>
          <w:p>
            <w:pPr>
              <w:shd w:val="clear" w:color="auto" w:fill="auto"/>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highlight w:val="none"/>
                <w:shd w:val="clear" w:color="auto" w:fill="auto"/>
                <w:lang w:val="en-US" w:eastAsia="zh-CN" w:bidi="ar-SA"/>
              </w:rPr>
            </w:pPr>
            <w:r>
              <w:rPr>
                <w:rFonts w:hint="default" w:ascii="Times New Roman" w:hAnsi="Times New Roman" w:cs="Times New Roman"/>
                <w:color w:val="auto"/>
                <w:sz w:val="20"/>
                <w:szCs w:val="20"/>
                <w:highlight w:val="none"/>
                <w:shd w:val="clear" w:color="auto" w:fill="auto"/>
              </w:rPr>
              <w:t>3</w:t>
            </w:r>
          </w:p>
        </w:tc>
      </w:tr>
      <w:tr>
        <w:trPr>
          <w:trHeight w:val="351" w:hRule="atLeast"/>
        </w:trPr>
        <w:tc>
          <w:tcPr>
            <w:tcW w:w="1395" w:type="dxa"/>
            <w:vMerge w:val="continue"/>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85" w:type="dxa"/>
            <w:vAlign w:val="center"/>
          </w:tcPr>
          <w:p>
            <w:pPr>
              <w:shd w:val="clear" w:color="auto" w:fill="auto"/>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highlight w:val="none"/>
                <w:shd w:val="clear" w:color="auto" w:fill="auto"/>
                <w:lang w:val="en-US" w:eastAsia="zh-CN" w:bidi="ar-SA"/>
              </w:rPr>
            </w:pPr>
            <w:r>
              <w:rPr>
                <w:rFonts w:hint="default" w:ascii="Times New Roman" w:hAnsi="Times New Roman" w:eastAsia="宋体" w:cs="Times New Roman"/>
                <w:color w:val="auto"/>
                <w:sz w:val="20"/>
                <w:szCs w:val="20"/>
                <w:highlight w:val="none"/>
                <w:shd w:val="clear" w:color="auto" w:fill="auto"/>
              </w:rPr>
              <w:t>Ⅱ</w:t>
            </w:r>
            <w:r>
              <w:rPr>
                <w:rFonts w:hint="default" w:ascii="Times New Roman" w:hAnsi="Times New Roman" w:cs="Times New Roman"/>
                <w:color w:val="auto"/>
                <w:sz w:val="20"/>
                <w:szCs w:val="20"/>
                <w:highlight w:val="none"/>
                <w:shd w:val="clear" w:color="auto" w:fill="auto"/>
              </w:rPr>
              <w:t>类水</w:t>
            </w:r>
            <w:r>
              <w:rPr>
                <w:rFonts w:hint="eastAsia" w:ascii="Times New Roman" w:hAnsi="Times New Roman" w:cs="Times New Roman"/>
                <w:color w:val="auto"/>
                <w:sz w:val="20"/>
                <w:szCs w:val="20"/>
                <w:highlight w:val="none"/>
                <w:shd w:val="clear" w:color="auto" w:fill="auto"/>
                <w:lang w:eastAsia="zh-CN"/>
              </w:rPr>
              <w:t>功能区</w:t>
            </w:r>
          </w:p>
        </w:tc>
        <w:tc>
          <w:tcPr>
            <w:tcW w:w="2522" w:type="dxa"/>
            <w:vAlign w:val="center"/>
          </w:tcPr>
          <w:p>
            <w:pPr>
              <w:shd w:val="clear" w:color="auto" w:fill="auto"/>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highlight w:val="none"/>
                <w:shd w:val="clear" w:color="auto" w:fill="auto"/>
                <w:lang w:val="en-US" w:eastAsia="zh-CN" w:bidi="ar-SA"/>
              </w:rPr>
            </w:pPr>
            <w:r>
              <w:rPr>
                <w:rFonts w:hint="default" w:ascii="Times New Roman" w:hAnsi="Times New Roman" w:cs="Times New Roman"/>
                <w:color w:val="auto"/>
                <w:sz w:val="20"/>
                <w:szCs w:val="20"/>
                <w:highlight w:val="none"/>
                <w:shd w:val="clear" w:color="auto" w:fill="auto"/>
              </w:rPr>
              <w:t>4</w:t>
            </w:r>
          </w:p>
        </w:tc>
      </w:tr>
      <w:tr>
        <w:trPr>
          <w:trHeight w:val="351" w:hRule="atLeast"/>
        </w:trPr>
        <w:tc>
          <w:tcPr>
            <w:tcW w:w="1395" w:type="dxa"/>
            <w:vMerge w:val="continue"/>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85" w:type="dxa"/>
            <w:vAlign w:val="center"/>
          </w:tcPr>
          <w:p>
            <w:pPr>
              <w:shd w:val="clear" w:color="auto" w:fill="auto"/>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highlight w:val="none"/>
                <w:shd w:val="clear" w:color="auto" w:fill="auto"/>
                <w:lang w:val="en-US" w:eastAsia="zh-CN" w:bidi="ar-SA"/>
              </w:rPr>
            </w:pPr>
            <w:r>
              <w:rPr>
                <w:rFonts w:hint="default" w:ascii="Times New Roman" w:hAnsi="Times New Roman" w:eastAsia="宋体" w:cs="Times New Roman"/>
                <w:color w:val="auto"/>
                <w:sz w:val="20"/>
                <w:szCs w:val="20"/>
                <w:highlight w:val="none"/>
                <w:shd w:val="clear" w:color="auto" w:fill="auto"/>
              </w:rPr>
              <w:t>Ⅰ</w:t>
            </w:r>
            <w:r>
              <w:rPr>
                <w:rFonts w:hint="default" w:ascii="Times New Roman" w:hAnsi="Times New Roman" w:cs="Times New Roman"/>
                <w:color w:val="auto"/>
                <w:sz w:val="20"/>
                <w:szCs w:val="20"/>
                <w:highlight w:val="none"/>
                <w:shd w:val="clear" w:color="auto" w:fill="auto"/>
              </w:rPr>
              <w:t>类水</w:t>
            </w:r>
            <w:r>
              <w:rPr>
                <w:rFonts w:hint="eastAsia" w:ascii="Times New Roman" w:hAnsi="Times New Roman" w:cs="Times New Roman"/>
                <w:color w:val="auto"/>
                <w:sz w:val="20"/>
                <w:szCs w:val="20"/>
                <w:highlight w:val="none"/>
                <w:shd w:val="clear" w:color="auto" w:fill="auto"/>
                <w:lang w:eastAsia="zh-CN"/>
              </w:rPr>
              <w:t>功能区</w:t>
            </w:r>
            <w:r>
              <w:rPr>
                <w:rFonts w:hint="default" w:ascii="Times New Roman" w:hAnsi="Times New Roman" w:cs="Times New Roman"/>
                <w:color w:val="auto"/>
                <w:sz w:val="20"/>
                <w:szCs w:val="20"/>
                <w:highlight w:val="none"/>
                <w:shd w:val="clear" w:color="auto" w:fill="auto"/>
                <w:lang w:val="en-US" w:eastAsia="zh-CN"/>
              </w:rPr>
              <w:t>/</w:t>
            </w:r>
            <w:r>
              <w:rPr>
                <w:rFonts w:hint="default" w:ascii="Times New Roman" w:hAnsi="Times New Roman" w:cs="Times New Roman"/>
                <w:color w:val="auto"/>
                <w:sz w:val="20"/>
                <w:szCs w:val="20"/>
                <w:highlight w:val="none"/>
                <w:shd w:val="clear" w:color="auto" w:fill="auto"/>
              </w:rPr>
              <w:t>无组织</w:t>
            </w:r>
            <w:r>
              <w:rPr>
                <w:rFonts w:hint="default" w:ascii="Times New Roman" w:hAnsi="Times New Roman" w:cs="Times New Roman"/>
                <w:color w:val="auto"/>
                <w:sz w:val="20"/>
                <w:szCs w:val="20"/>
                <w:highlight w:val="none"/>
                <w:shd w:val="clear" w:color="auto" w:fill="auto"/>
                <w:lang w:eastAsia="zh-CN"/>
              </w:rPr>
              <w:t>排放位置改变</w:t>
            </w:r>
            <w:r>
              <w:rPr>
                <w:rFonts w:hint="default" w:ascii="Times New Roman" w:hAnsi="Times New Roman" w:cs="Times New Roman"/>
                <w:color w:val="auto"/>
                <w:sz w:val="20"/>
                <w:szCs w:val="20"/>
                <w:highlight w:val="none"/>
                <w:shd w:val="clear" w:color="auto" w:fill="auto"/>
              </w:rPr>
              <w:t>，造成防护距离改变</w:t>
            </w:r>
          </w:p>
        </w:tc>
        <w:tc>
          <w:tcPr>
            <w:tcW w:w="2522" w:type="dxa"/>
            <w:vAlign w:val="center"/>
          </w:tcPr>
          <w:p>
            <w:pPr>
              <w:shd w:val="clear" w:color="auto" w:fill="auto"/>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highlight w:val="none"/>
                <w:shd w:val="clear" w:color="auto" w:fill="auto"/>
                <w:lang w:val="en-US" w:eastAsia="zh-CN" w:bidi="ar-SA"/>
              </w:rPr>
            </w:pPr>
            <w:r>
              <w:rPr>
                <w:rFonts w:hint="default" w:ascii="Times New Roman" w:hAnsi="Times New Roman" w:cs="Times New Roman"/>
                <w:color w:val="auto"/>
                <w:sz w:val="20"/>
                <w:szCs w:val="20"/>
                <w:highlight w:val="none"/>
                <w:shd w:val="clear" w:color="auto" w:fill="auto"/>
              </w:rPr>
              <w:t>5</w:t>
            </w:r>
          </w:p>
        </w:tc>
      </w:tr>
      <w:tr>
        <w:trPr>
          <w:trHeight w:val="351" w:hRule="atLeast"/>
        </w:trPr>
        <w:tc>
          <w:tcPr>
            <w:tcW w:w="1395" w:type="dxa"/>
            <w:vMerge w:val="restart"/>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污染物类别</w:t>
            </w:r>
          </w:p>
        </w:tc>
        <w:tc>
          <w:tcPr>
            <w:tcW w:w="5085" w:type="dxa"/>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 xml:space="preserve">农业生产、汽车修理废气/畜禽养殖废气/机械、生活废水/生活废水 </w:t>
            </w:r>
            <w:r>
              <w:rPr>
                <w:rFonts w:hint="eastAsia" w:ascii="Times New Roman" w:hAnsi="Times New Roman" w:cs="Times New Roman"/>
                <w:color w:val="auto"/>
                <w:sz w:val="20"/>
                <w:szCs w:val="20"/>
                <w:shd w:val="clear" w:color="auto" w:fill="auto"/>
                <w:lang w:val="en-US" w:eastAsia="zh-CN"/>
              </w:rPr>
              <w:t>/规模以下畜禽养殖废水</w:t>
            </w:r>
          </w:p>
        </w:tc>
        <w:tc>
          <w:tcPr>
            <w:tcW w:w="2522" w:type="dxa"/>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51" w:hRule="atLeast"/>
        </w:trPr>
        <w:tc>
          <w:tcPr>
            <w:tcW w:w="1395" w:type="dxa"/>
            <w:vMerge w:val="continue"/>
            <w:vAlign w:val="center"/>
          </w:tcPr>
          <w:p>
            <w:pPr>
              <w:shd w:val="clear" w:color="auto" w:fill="auto"/>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085" w:type="dxa"/>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 xml:space="preserve">服务业废水 </w:t>
            </w:r>
            <w:r>
              <w:rPr>
                <w:rFonts w:hint="eastAsia" w:ascii="Times New Roman" w:hAnsi="Times New Roman" w:cs="Times New Roman"/>
                <w:color w:val="auto"/>
                <w:sz w:val="20"/>
                <w:szCs w:val="20"/>
                <w:shd w:val="clear" w:color="auto" w:fill="auto"/>
                <w:lang w:val="en-US" w:eastAsia="zh-CN"/>
              </w:rPr>
              <w:t>/规模化畜禽养殖废水</w:t>
            </w:r>
            <w:r>
              <w:rPr>
                <w:rFonts w:hint="default" w:ascii="Times New Roman" w:hAnsi="Times New Roman" w:cs="Times New Roman"/>
                <w:color w:val="auto"/>
                <w:sz w:val="20"/>
                <w:szCs w:val="20"/>
                <w:shd w:val="clear" w:color="auto" w:fill="auto"/>
              </w:rPr>
              <w:t>/燃煤锅炉废气</w:t>
            </w:r>
          </w:p>
        </w:tc>
        <w:tc>
          <w:tcPr>
            <w:tcW w:w="2522" w:type="dxa"/>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51" w:hRule="atLeast"/>
        </w:trPr>
        <w:tc>
          <w:tcPr>
            <w:tcW w:w="1395" w:type="dxa"/>
            <w:vMerge w:val="continue"/>
            <w:vAlign w:val="center"/>
          </w:tcPr>
          <w:p>
            <w:pPr>
              <w:shd w:val="clear" w:color="auto" w:fill="auto"/>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085" w:type="dxa"/>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一般工业废气/含恶臭污染物的废气/医疗废气/实验室废气/一般工业废水</w:t>
            </w:r>
          </w:p>
        </w:tc>
        <w:tc>
          <w:tcPr>
            <w:tcW w:w="2522" w:type="dxa"/>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51" w:hRule="atLeast"/>
        </w:trPr>
        <w:tc>
          <w:tcPr>
            <w:tcW w:w="1395" w:type="dxa"/>
            <w:vMerge w:val="continue"/>
            <w:vAlign w:val="center"/>
          </w:tcPr>
          <w:p>
            <w:pPr>
              <w:shd w:val="clear" w:color="auto" w:fill="auto"/>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085" w:type="dxa"/>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火电、钢铁、石化、水泥、炼焦、有色、化工废气、烟尘/含其他有毒有害物质的废水、医疗废水</w:t>
            </w:r>
          </w:p>
        </w:tc>
        <w:tc>
          <w:tcPr>
            <w:tcW w:w="2522" w:type="dxa"/>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51" w:hRule="atLeast"/>
        </w:trPr>
        <w:tc>
          <w:tcPr>
            <w:tcW w:w="1395" w:type="dxa"/>
            <w:vMerge w:val="continue"/>
            <w:vAlign w:val="center"/>
          </w:tcPr>
          <w:p>
            <w:pPr>
              <w:shd w:val="clear" w:color="auto" w:fill="auto"/>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085" w:type="dxa"/>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含有毒有害物质的废气/含一类污染物或重金属、病原体、放射性物质的废水</w:t>
            </w:r>
          </w:p>
        </w:tc>
        <w:tc>
          <w:tcPr>
            <w:tcW w:w="2522" w:type="dxa"/>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95"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持续时间</w:t>
            </w:r>
          </w:p>
        </w:tc>
        <w:tc>
          <w:tcPr>
            <w:tcW w:w="5085" w:type="dxa"/>
            <w:vAlign w:val="center"/>
          </w:tcPr>
          <w:p>
            <w:pPr>
              <w:snapToGrid w:val="0"/>
              <w:spacing w:before="0" w:beforeAutospacing="0" w:after="0" w:afterAutospacing="0" w:line="240" w:lineRule="auto"/>
              <w:ind w:left="0" w:right="0"/>
              <w:jc w:val="center"/>
              <w:rPr>
                <w:rFonts w:hint="default" w:ascii="Times New Roman" w:hAnsi="Times New Roman" w:cs="Times New Roman"/>
                <w:b w:val="0"/>
                <w:bCs w:val="0"/>
                <w:color w:val="auto"/>
                <w:sz w:val="20"/>
                <w:szCs w:val="20"/>
                <w:shd w:val="clear" w:color="auto" w:fill="auto"/>
              </w:rPr>
            </w:pPr>
            <w:r>
              <w:rPr>
                <w:rFonts w:hint="default" w:ascii="Times New Roman" w:hAnsi="Times New Roman" w:cs="Times New Roman"/>
                <w:color w:val="auto"/>
                <w:sz w:val="20"/>
                <w:szCs w:val="20"/>
                <w:shd w:val="clear" w:color="auto" w:fill="auto"/>
              </w:rPr>
              <w:t>1个月</w:t>
            </w:r>
            <w:r>
              <w:rPr>
                <w:rFonts w:hint="default" w:ascii="Times New Roman" w:hAnsi="Times New Roman" w:cs="Times New Roman"/>
                <w:color w:val="auto"/>
                <w:sz w:val="20"/>
                <w:szCs w:val="20"/>
                <w:shd w:val="clear" w:color="auto" w:fill="auto"/>
                <w:lang w:val="en-US"/>
              </w:rPr>
              <w:t>以下</w:t>
            </w:r>
            <w:r>
              <w:rPr>
                <w:rFonts w:hint="default" w:ascii="Times New Roman" w:hAnsi="Times New Roman" w:cs="Times New Roman"/>
                <w:color w:val="auto"/>
                <w:sz w:val="20"/>
                <w:szCs w:val="20"/>
                <w:shd w:val="clear" w:color="auto" w:fill="auto"/>
              </w:rPr>
              <w:t>的</w:t>
            </w:r>
          </w:p>
        </w:tc>
        <w:tc>
          <w:tcPr>
            <w:tcW w:w="252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85" w:type="dxa"/>
            <w:vAlign w:val="center"/>
          </w:tcPr>
          <w:p>
            <w:pPr>
              <w:snapToGrid w:val="0"/>
              <w:spacing w:before="0" w:beforeAutospacing="0" w:after="0" w:afterAutospacing="0" w:line="240" w:lineRule="auto"/>
              <w:ind w:left="0" w:right="0"/>
              <w:jc w:val="center"/>
              <w:rPr>
                <w:rFonts w:hint="default" w:ascii="Times New Roman" w:hAnsi="Times New Roman" w:cs="Times New Roman"/>
                <w:b w:val="0"/>
                <w:bCs w:val="0"/>
                <w:color w:val="auto"/>
                <w:sz w:val="20"/>
                <w:szCs w:val="20"/>
                <w:shd w:val="clear" w:color="auto" w:fill="auto"/>
              </w:rPr>
            </w:pPr>
            <w:r>
              <w:rPr>
                <w:rFonts w:hint="default" w:ascii="Times New Roman" w:hAnsi="Times New Roman" w:cs="Times New Roman"/>
                <w:color w:val="auto"/>
                <w:sz w:val="20"/>
                <w:szCs w:val="20"/>
                <w:shd w:val="clear" w:color="auto" w:fill="auto"/>
              </w:rPr>
              <w:t>1个月以上3个月以下的</w:t>
            </w:r>
          </w:p>
        </w:tc>
        <w:tc>
          <w:tcPr>
            <w:tcW w:w="252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85" w:type="dxa"/>
            <w:vAlign w:val="center"/>
          </w:tcPr>
          <w:p>
            <w:pPr>
              <w:snapToGrid w:val="0"/>
              <w:spacing w:before="0" w:beforeAutospacing="0" w:after="0" w:afterAutospacing="0" w:line="240" w:lineRule="auto"/>
              <w:ind w:left="0" w:right="0"/>
              <w:jc w:val="center"/>
              <w:rPr>
                <w:rFonts w:hint="default" w:ascii="Times New Roman" w:hAnsi="Times New Roman" w:cs="Times New Roman"/>
                <w:b w:val="0"/>
                <w:bCs w:val="0"/>
                <w:color w:val="auto"/>
                <w:sz w:val="20"/>
                <w:szCs w:val="20"/>
                <w:shd w:val="clear" w:color="auto" w:fill="auto"/>
              </w:rPr>
            </w:pPr>
            <w:r>
              <w:rPr>
                <w:rFonts w:hint="default" w:ascii="Times New Roman" w:hAnsi="Times New Roman" w:cs="Times New Roman"/>
                <w:color w:val="auto"/>
                <w:sz w:val="20"/>
                <w:szCs w:val="20"/>
                <w:shd w:val="clear" w:color="auto" w:fill="auto"/>
              </w:rPr>
              <w:t>3个月以上6个月以下的</w:t>
            </w:r>
          </w:p>
        </w:tc>
        <w:tc>
          <w:tcPr>
            <w:tcW w:w="252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85" w:type="dxa"/>
            <w:vAlign w:val="center"/>
          </w:tcPr>
          <w:p>
            <w:pPr>
              <w:snapToGrid w:val="0"/>
              <w:spacing w:before="0" w:beforeAutospacing="0" w:after="0" w:afterAutospacing="0" w:line="240" w:lineRule="auto"/>
              <w:ind w:left="0" w:right="0"/>
              <w:jc w:val="center"/>
              <w:rPr>
                <w:rFonts w:hint="default" w:ascii="Times New Roman" w:hAnsi="Times New Roman" w:cs="Times New Roman"/>
                <w:b w:val="0"/>
                <w:bCs w:val="0"/>
                <w:color w:val="auto"/>
                <w:sz w:val="20"/>
                <w:szCs w:val="20"/>
                <w:shd w:val="clear" w:color="auto" w:fill="auto"/>
              </w:rPr>
            </w:pPr>
            <w:r>
              <w:rPr>
                <w:rFonts w:hint="default" w:ascii="Times New Roman" w:hAnsi="Times New Roman" w:cs="Times New Roman"/>
                <w:color w:val="auto"/>
                <w:sz w:val="20"/>
                <w:szCs w:val="20"/>
                <w:shd w:val="clear" w:color="auto" w:fill="auto"/>
              </w:rPr>
              <w:t>6个月以上1年以下的</w:t>
            </w:r>
          </w:p>
        </w:tc>
        <w:tc>
          <w:tcPr>
            <w:tcW w:w="252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85" w:type="dxa"/>
            <w:vAlign w:val="center"/>
          </w:tcPr>
          <w:p>
            <w:pPr>
              <w:snapToGrid w:val="0"/>
              <w:spacing w:before="0" w:beforeAutospacing="0" w:after="0" w:afterAutospacing="0" w:line="240" w:lineRule="auto"/>
              <w:ind w:left="0" w:right="0"/>
              <w:jc w:val="center"/>
              <w:rPr>
                <w:rFonts w:hint="default" w:ascii="Times New Roman" w:hAnsi="Times New Roman" w:cs="Times New Roman"/>
                <w:b w:val="0"/>
                <w:bCs w:val="0"/>
                <w:color w:val="auto"/>
                <w:sz w:val="20"/>
                <w:szCs w:val="20"/>
                <w:shd w:val="clear" w:color="auto" w:fill="auto"/>
              </w:rPr>
            </w:pPr>
            <w:r>
              <w:rPr>
                <w:rFonts w:hint="default" w:ascii="Times New Roman" w:hAnsi="Times New Roman" w:cs="Times New Roman"/>
                <w:color w:val="auto"/>
                <w:sz w:val="20"/>
                <w:szCs w:val="20"/>
                <w:shd w:val="clear" w:color="auto" w:fill="auto"/>
              </w:rPr>
              <w:t>1年以上的</w:t>
            </w:r>
          </w:p>
        </w:tc>
        <w:tc>
          <w:tcPr>
            <w:tcW w:w="252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95"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085" w:type="dxa"/>
            <w:vAlign w:val="center"/>
          </w:tcPr>
          <w:p>
            <w:pPr>
              <w:snapToGrid w:val="0"/>
              <w:spacing w:before="0" w:beforeAutospacing="0" w:after="0" w:afterAutospacing="0" w:line="240" w:lineRule="auto"/>
              <w:ind w:left="0" w:right="0"/>
              <w:jc w:val="center"/>
              <w:rPr>
                <w:rFonts w:hint="default" w:ascii="Times New Roman" w:hAnsi="Times New Roman" w:cs="Times New Roman"/>
                <w:b w:val="0"/>
                <w:bCs w:val="0"/>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52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85" w:type="dxa"/>
            <w:vAlign w:val="center"/>
          </w:tcPr>
          <w:p>
            <w:pPr>
              <w:snapToGrid w:val="0"/>
              <w:spacing w:before="0" w:beforeAutospacing="0" w:after="0" w:afterAutospacing="0" w:line="240" w:lineRule="auto"/>
              <w:ind w:left="0" w:right="0"/>
              <w:jc w:val="center"/>
              <w:rPr>
                <w:rFonts w:hint="default" w:ascii="Times New Roman" w:hAnsi="Times New Roman" w:cs="Times New Roman"/>
                <w:b w:val="0"/>
                <w:bCs w:val="0"/>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52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85" w:type="dxa"/>
            <w:vAlign w:val="center"/>
          </w:tcPr>
          <w:p>
            <w:pPr>
              <w:snapToGrid w:val="0"/>
              <w:spacing w:before="0" w:beforeAutospacing="0" w:after="0" w:afterAutospacing="0" w:line="240" w:lineRule="auto"/>
              <w:ind w:left="0" w:right="0"/>
              <w:jc w:val="center"/>
              <w:rPr>
                <w:rFonts w:hint="default" w:ascii="Times New Roman" w:hAnsi="Times New Roman" w:cs="Times New Roman"/>
                <w:b w:val="0"/>
                <w:bCs w:val="0"/>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52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85" w:type="dxa"/>
            <w:vAlign w:val="center"/>
          </w:tcPr>
          <w:p>
            <w:pPr>
              <w:snapToGrid w:val="0"/>
              <w:spacing w:before="0" w:beforeAutospacing="0" w:after="0" w:afterAutospacing="0" w:line="240" w:lineRule="auto"/>
              <w:ind w:left="0" w:right="0"/>
              <w:jc w:val="center"/>
              <w:rPr>
                <w:rFonts w:hint="default" w:ascii="Times New Roman" w:hAnsi="Times New Roman" w:cs="Times New Roman"/>
                <w:b w:val="0"/>
                <w:bCs w:val="0"/>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52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trPr>
        <w:tc>
          <w:tcPr>
            <w:tcW w:w="1395"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管理类别</w:t>
            </w:r>
          </w:p>
        </w:tc>
        <w:tc>
          <w:tcPr>
            <w:tcW w:w="5085"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简</w:t>
            </w:r>
            <w:r>
              <w:rPr>
                <w:rFonts w:hint="default" w:ascii="Times New Roman" w:hAnsi="Times New Roman" w:cs="Times New Roman"/>
                <w:color w:val="auto"/>
                <w:sz w:val="20"/>
                <w:szCs w:val="20"/>
                <w:shd w:val="clear" w:color="auto" w:fill="auto"/>
                <w:lang w:eastAsia="zh-CN"/>
              </w:rPr>
              <w:t>化</w:t>
            </w:r>
            <w:r>
              <w:rPr>
                <w:rFonts w:hint="default" w:ascii="Times New Roman" w:hAnsi="Times New Roman" w:cs="Times New Roman"/>
                <w:color w:val="auto"/>
                <w:sz w:val="20"/>
                <w:szCs w:val="20"/>
                <w:shd w:val="clear" w:color="auto" w:fill="auto"/>
              </w:rPr>
              <w:t>管理</w:t>
            </w:r>
          </w:p>
        </w:tc>
        <w:tc>
          <w:tcPr>
            <w:tcW w:w="252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85" w:type="dxa"/>
            <w:vAlign w:val="center"/>
          </w:tcPr>
          <w:p>
            <w:pPr>
              <w:snapToGrid w:val="0"/>
              <w:spacing w:before="0" w:beforeAutospacing="0" w:after="0" w:afterAutospacing="0"/>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重点管理</w:t>
            </w:r>
          </w:p>
        </w:tc>
        <w:tc>
          <w:tcPr>
            <w:tcW w:w="252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95"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085"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52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425" w:hRule="atLeast"/>
        </w:trPr>
        <w:tc>
          <w:tcPr>
            <w:tcW w:w="139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8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52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39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8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52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425" w:hRule="atLeast"/>
        </w:trPr>
        <w:tc>
          <w:tcPr>
            <w:tcW w:w="1395"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8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52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425" w:hRule="atLeast"/>
        </w:trPr>
        <w:tc>
          <w:tcPr>
            <w:tcW w:w="1395"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5085" w:type="dxa"/>
            <w:vAlign w:val="center"/>
          </w:tcPr>
          <w:p>
            <w:pPr>
              <w:snapToGrid w:val="0"/>
              <w:spacing w:before="0" w:beforeAutospacing="0" w:after="0" w:afterAutospacing="0"/>
              <w:ind w:left="0" w:right="0" w:firstLine="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52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85" w:type="dxa"/>
            <w:vAlign w:val="center"/>
          </w:tcPr>
          <w:p>
            <w:pPr>
              <w:snapToGrid w:val="0"/>
              <w:spacing w:before="0" w:beforeAutospacing="0" w:after="0" w:afterAutospacing="0"/>
              <w:ind w:left="0" w:right="0" w:firstLine="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52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39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85" w:type="dxa"/>
            <w:vAlign w:val="center"/>
          </w:tcPr>
          <w:p>
            <w:pPr>
              <w:snapToGrid w:val="0"/>
              <w:spacing w:before="0" w:beforeAutospacing="0" w:after="0" w:afterAutospacing="0"/>
              <w:ind w:left="0" w:right="0" w:firstLine="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52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395" w:type="dxa"/>
            <w:vMerge w:val="restart"/>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8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52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395" w:type="dxa"/>
            <w:vMerge w:val="continue"/>
            <w:vAlign w:val="center"/>
          </w:tcPr>
          <w:p>
            <w:pPr>
              <w:shd w:val="clear" w:color="auto" w:fill="auto"/>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08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2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395" w:type="dxa"/>
            <w:vMerge w:val="continue"/>
            <w:vAlign w:val="center"/>
          </w:tcPr>
          <w:p>
            <w:pPr>
              <w:shd w:val="clear" w:color="auto" w:fill="auto"/>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08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52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395" w:type="dxa"/>
            <w:vMerge w:val="continue"/>
            <w:vAlign w:val="center"/>
          </w:tcPr>
          <w:p>
            <w:pPr>
              <w:shd w:val="clear" w:color="auto" w:fill="auto"/>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08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52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425" w:hRule="atLeast"/>
        </w:trPr>
        <w:tc>
          <w:tcPr>
            <w:tcW w:w="1395" w:type="dxa"/>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07" w:type="dxa"/>
            <w:gridSpan w:val="2"/>
            <w:vAlign w:val="center"/>
          </w:tcPr>
          <w:p>
            <w:pPr>
              <w:shd w:val="clear" w:color="auto" w:fill="auto"/>
              <w:spacing w:before="0" w:beforeAutospacing="0" w:after="0" w:afterAutospacing="0" w:line="320" w:lineRule="exact"/>
              <w:ind w:left="0" w:right="0"/>
              <w:rPr>
                <w:rFonts w:hint="default" w:ascii="Times New Roman" w:hAnsi="Times New Roman" w:cs="Times New Roman"/>
                <w:color w:val="auto"/>
                <w:sz w:val="20"/>
                <w:szCs w:val="20"/>
                <w:shd w:val="clear" w:color="auto" w:fill="auto"/>
              </w:rPr>
            </w:pPr>
          </w:p>
        </w:tc>
      </w:tr>
    </w:tbl>
    <w:p>
      <w:pPr>
        <w:shd w:val="clear" w:color="auto" w:fill="auto"/>
        <w:spacing w:line="590" w:lineRule="exact"/>
        <w:ind w:firstLine="640" w:firstLineChars="200"/>
        <w:outlineLvl w:val="9"/>
        <w:rPr>
          <w:rFonts w:hint="default" w:ascii="Times New Roman" w:hAnsi="Times New Roman" w:eastAsia="方正仿宋_GBK" w:cs="Times New Roman"/>
          <w:color w:val="auto"/>
          <w:sz w:val="32"/>
          <w:szCs w:val="32"/>
          <w:shd w:val="clear" w:color="auto" w:fill="auto"/>
          <w:lang w:val="en-US" w:eastAsia="zh-CN"/>
        </w:rPr>
      </w:pPr>
    </w:p>
    <w:p>
      <w:pPr>
        <w:shd w:val="clear" w:color="auto" w:fill="auto"/>
        <w:spacing w:line="200" w:lineRule="exact"/>
        <w:ind w:firstLine="640" w:firstLineChars="200"/>
        <w:outlineLvl w:val="9"/>
        <w:rPr>
          <w:rFonts w:hint="default" w:ascii="Times New Roman" w:hAnsi="Times New Roman" w:eastAsia="方正仿宋_GBK" w:cs="Times New Roman"/>
          <w:color w:val="auto"/>
          <w:sz w:val="32"/>
          <w:szCs w:val="32"/>
          <w:shd w:val="clear" w:color="auto" w:fill="auto"/>
          <w:lang w:val="en-US" w:eastAsia="zh-CN"/>
        </w:rPr>
      </w:pPr>
      <w:r>
        <w:rPr>
          <w:rFonts w:hint="default" w:ascii="Times New Roman" w:hAnsi="Times New Roman" w:eastAsia="方正仿宋_GBK" w:cs="Times New Roman"/>
          <w:color w:val="auto"/>
          <w:sz w:val="32"/>
          <w:szCs w:val="32"/>
          <w:shd w:val="clear" w:color="auto" w:fill="auto"/>
          <w:lang w:val="en-US" w:eastAsia="zh-CN"/>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5153"/>
        <w:gridCol w:w="2531"/>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九</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排污许可管理类</w:t>
            </w:r>
          </w:p>
        </w:tc>
      </w:tr>
      <w:tr>
        <w:trPr>
          <w:trHeight w:val="397" w:hRule="atLeast"/>
          <w:jc w:val="center"/>
        </w:trPr>
        <w:tc>
          <w:tcPr>
            <w:tcW w:w="1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84" w:type="dxa"/>
            <w:gridSpan w:val="2"/>
            <w:vAlign w:val="center"/>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cs="Times New Roman"/>
                <w:color w:val="auto"/>
                <w:sz w:val="20"/>
                <w:szCs w:val="20"/>
                <w:shd w:val="clear" w:color="auto" w:fill="auto"/>
              </w:rPr>
            </w:pPr>
            <w:bookmarkStart w:id="427" w:name="_Toc9029"/>
            <w:r>
              <w:rPr>
                <w:rFonts w:hint="default" w:ascii="Times New Roman" w:hAnsi="Times New Roman" w:cs="Times New Roman"/>
                <w:color w:val="auto"/>
                <w:sz w:val="20"/>
                <w:szCs w:val="20"/>
                <w:shd w:val="clear" w:color="auto" w:fill="auto"/>
              </w:rPr>
              <w:t>11</w:t>
            </w:r>
            <w:bookmarkEnd w:id="427"/>
          </w:p>
        </w:tc>
      </w:tr>
      <w:tr>
        <w:trPr>
          <w:trHeight w:val="397" w:hRule="atLeast"/>
          <w:jc w:val="center"/>
        </w:trPr>
        <w:tc>
          <w:tcPr>
            <w:tcW w:w="1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84" w:type="dxa"/>
            <w:gridSpan w:val="2"/>
            <w:vAlign w:val="top"/>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eastAsia="宋体" w:cs="Times New Roman"/>
                <w:color w:val="auto"/>
                <w:sz w:val="20"/>
                <w:szCs w:val="20"/>
                <w:shd w:val="clear" w:color="auto" w:fill="auto"/>
                <w:lang w:eastAsia="zh-CN"/>
              </w:rPr>
            </w:pPr>
            <w:bookmarkStart w:id="428" w:name="_Toc16198"/>
            <w:r>
              <w:rPr>
                <w:rFonts w:hint="default" w:ascii="Times New Roman" w:hAnsi="Times New Roman" w:cs="Times New Roman"/>
                <w:color w:val="auto"/>
                <w:sz w:val="20"/>
                <w:szCs w:val="20"/>
                <w:shd w:val="clear" w:color="auto" w:fill="auto"/>
              </w:rPr>
              <w:t>损毁或者擅自移动、改变污染物排放自动监测设备</w:t>
            </w:r>
            <w:r>
              <w:rPr>
                <w:rFonts w:hint="default" w:ascii="Times New Roman" w:hAnsi="Times New Roman" w:cs="Times New Roman"/>
                <w:color w:val="auto"/>
                <w:sz w:val="20"/>
                <w:szCs w:val="20"/>
                <w:shd w:val="clear" w:color="auto" w:fill="auto"/>
                <w:lang w:eastAsia="zh-CN"/>
              </w:rPr>
              <w:t>的</w:t>
            </w:r>
            <w:bookmarkEnd w:id="428"/>
          </w:p>
        </w:tc>
      </w:tr>
      <w:tr>
        <w:trPr>
          <w:trHeight w:val="397" w:hRule="atLeast"/>
          <w:jc w:val="center"/>
        </w:trPr>
        <w:tc>
          <w:tcPr>
            <w:tcW w:w="1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84" w:type="dxa"/>
            <w:gridSpan w:val="2"/>
            <w:vAlign w:val="top"/>
          </w:tcPr>
          <w:p>
            <w:pPr>
              <w:pStyle w:val="18"/>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《排污许可管理条例》第二十条第一款</w:t>
            </w:r>
            <w:r>
              <w:rPr>
                <w:rFonts w:hint="default" w:ascii="Times New Roman" w:hAnsi="Times New Roman" w:cs="Times New Roman"/>
                <w:color w:val="auto"/>
                <w:kern w:val="2"/>
                <w:sz w:val="21"/>
                <w:szCs w:val="21"/>
                <w:shd w:val="clear" w:color="auto" w:fill="auto"/>
              </w:rPr>
              <w:t xml:space="preserve"> 实行排污许可重点管理的排污单位，应当依法安装、使用、维护污染物排放自动监测设备，并与生态环境主管部门的监控设备联网。</w:t>
            </w:r>
          </w:p>
        </w:tc>
      </w:tr>
      <w:tr>
        <w:trPr>
          <w:trHeight w:val="1590" w:hRule="atLeast"/>
          <w:jc w:val="center"/>
        </w:trPr>
        <w:tc>
          <w:tcPr>
            <w:tcW w:w="1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84" w:type="dxa"/>
            <w:gridSpan w:val="2"/>
            <w:vAlign w:val="center"/>
          </w:tcPr>
          <w:p>
            <w:pPr>
              <w:widowControl/>
              <w:shd w:val="clear" w:color="auto" w:fill="auto"/>
              <w:snapToGrid w:val="0"/>
              <w:spacing w:before="0" w:beforeAutospacing="0" w:after="0" w:afterAutospacing="0" w:line="320" w:lineRule="exact"/>
              <w:ind w:left="0" w:right="0" w:firstLine="422" w:firstLineChars="200"/>
              <w:jc w:val="both"/>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《排污许可管理条例》第三十六条第三项</w:t>
            </w:r>
            <w:r>
              <w:rPr>
                <w:rFonts w:hint="default" w:ascii="Times New Roman" w:hAnsi="Times New Roman" w:cs="Times New Roman"/>
                <w:color w:val="auto"/>
                <w:kern w:val="0"/>
                <w:sz w:val="20"/>
                <w:szCs w:val="20"/>
                <w:shd w:val="clear" w:color="auto" w:fill="auto"/>
              </w:rPr>
              <w:t xml:space="preserve"> 违反本条例规定，排污单位有下列行为之一的，由生态环境主管部门责令改正，处2万元以上20万元以下的罚款；拒不改正的，责令停产整治：</w:t>
            </w:r>
          </w:p>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（三）损毁或者擅自移动、改变污染物排放自动监测设备；</w:t>
            </w:r>
          </w:p>
        </w:tc>
      </w:tr>
      <w:tr>
        <w:trPr>
          <w:trHeight w:val="442" w:hRule="atLeast"/>
          <w:jc w:val="center"/>
        </w:trPr>
        <w:tc>
          <w:tcPr>
            <w:tcW w:w="1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42" w:hRule="atLeast"/>
          <w:jc w:val="center"/>
        </w:trPr>
        <w:tc>
          <w:tcPr>
            <w:tcW w:w="13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造成监测数据误差超过技术规范允许范围1倍以</w:t>
            </w:r>
            <w:r>
              <w:rPr>
                <w:rFonts w:hint="default" w:ascii="Times New Roman" w:hAnsi="Times New Roman" w:cs="Times New Roman"/>
                <w:color w:val="auto"/>
                <w:sz w:val="20"/>
                <w:szCs w:val="20"/>
                <w:shd w:val="clear" w:color="auto" w:fill="auto"/>
                <w:lang w:eastAsia="zh-CN"/>
              </w:rPr>
              <w:t>下</w:t>
            </w:r>
            <w:r>
              <w:rPr>
                <w:rFonts w:hint="default" w:ascii="Times New Roman" w:hAnsi="Times New Roman" w:cs="Times New Roman"/>
                <w:color w:val="auto"/>
                <w:sz w:val="20"/>
                <w:szCs w:val="20"/>
                <w:shd w:val="clear" w:color="auto" w:fill="auto"/>
              </w:rPr>
              <w:t>的</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造成监测数据误差超过技术规范允许范围1倍</w:t>
            </w:r>
            <w:r>
              <w:rPr>
                <w:rFonts w:hint="default"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2倍以</w:t>
            </w:r>
            <w:r>
              <w:rPr>
                <w:rFonts w:hint="default" w:ascii="Times New Roman" w:hAnsi="Times New Roman" w:cs="Times New Roman"/>
                <w:color w:val="auto"/>
                <w:sz w:val="20"/>
                <w:szCs w:val="20"/>
                <w:shd w:val="clear" w:color="auto" w:fill="auto"/>
                <w:lang w:eastAsia="zh-CN"/>
              </w:rPr>
              <w:t>下</w:t>
            </w:r>
            <w:r>
              <w:rPr>
                <w:rFonts w:hint="default" w:ascii="Times New Roman" w:hAnsi="Times New Roman" w:cs="Times New Roman"/>
                <w:color w:val="auto"/>
                <w:sz w:val="20"/>
                <w:szCs w:val="20"/>
                <w:shd w:val="clear" w:color="auto" w:fill="auto"/>
              </w:rPr>
              <w:t>的</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造成监测数据误差超过技术规范允许范围2倍以上3倍以</w:t>
            </w:r>
            <w:r>
              <w:rPr>
                <w:rFonts w:hint="default" w:ascii="Times New Roman" w:hAnsi="Times New Roman" w:cs="Times New Roman"/>
                <w:color w:val="auto"/>
                <w:sz w:val="20"/>
                <w:szCs w:val="20"/>
                <w:shd w:val="clear" w:color="auto" w:fill="auto"/>
                <w:lang w:eastAsia="zh-CN"/>
              </w:rPr>
              <w:t>下</w:t>
            </w:r>
            <w:r>
              <w:rPr>
                <w:rFonts w:hint="default" w:ascii="Times New Roman" w:hAnsi="Times New Roman" w:cs="Times New Roman"/>
                <w:color w:val="auto"/>
                <w:sz w:val="20"/>
                <w:szCs w:val="20"/>
                <w:shd w:val="clear" w:color="auto" w:fill="auto"/>
              </w:rPr>
              <w:t>的</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42"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造成监测数据误差超过技术规范允许范围3倍以上的</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42" w:hRule="atLeast"/>
          <w:jc w:val="center"/>
        </w:trPr>
        <w:tc>
          <w:tcPr>
            <w:tcW w:w="13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自动监测</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数据有效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传输率</w:t>
            </w: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自动监测季度数据有效传输率</w:t>
            </w:r>
            <w:r>
              <w:rPr>
                <w:rFonts w:hint="eastAsia" w:ascii="Times New Roman" w:hAnsi="Times New Roman" w:cs="Times New Roman"/>
                <w:color w:val="auto"/>
                <w:sz w:val="20"/>
                <w:szCs w:val="20"/>
                <w:shd w:val="clear" w:color="auto" w:fill="auto"/>
                <w:lang w:eastAsia="zh-CN"/>
              </w:rPr>
              <w:t>9</w:t>
            </w:r>
            <w:r>
              <w:rPr>
                <w:rFonts w:hint="eastAsia" w:ascii="Times New Roman" w:hAnsi="Times New Roman" w:cs="Times New Roman"/>
                <w:color w:val="auto"/>
                <w:sz w:val="20"/>
                <w:szCs w:val="20"/>
                <w:shd w:val="clear" w:color="auto" w:fill="auto"/>
                <w:lang w:val="en-US" w:eastAsia="zh-CN"/>
              </w:rPr>
              <w:t>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9</w:t>
            </w:r>
            <w:r>
              <w:rPr>
                <w:rFonts w:hint="eastAsia" w:ascii="Times New Roman" w:hAnsi="Times New Roman" w:cs="Times New Roman"/>
                <w:color w:val="auto"/>
                <w:sz w:val="20"/>
                <w:szCs w:val="20"/>
                <w:shd w:val="clear" w:color="auto" w:fill="auto"/>
                <w:lang w:val="en-US" w:eastAsia="zh-CN"/>
              </w:rPr>
              <w:t>9</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自动监测季度数据有效传输率</w:t>
            </w:r>
            <w:r>
              <w:rPr>
                <w:rFonts w:hint="eastAsia" w:ascii="Times New Roman" w:hAnsi="Times New Roman" w:cs="Times New Roman"/>
                <w:color w:val="auto"/>
                <w:sz w:val="20"/>
                <w:szCs w:val="20"/>
                <w:shd w:val="clear" w:color="auto" w:fill="auto"/>
                <w:lang w:val="en-US" w:eastAsia="zh-CN"/>
              </w:rPr>
              <w:t>85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9</w:t>
            </w:r>
            <w:r>
              <w:rPr>
                <w:rFonts w:hint="eastAsia" w:ascii="Times New Roman" w:hAnsi="Times New Roman" w:cs="Times New Roman"/>
                <w:color w:val="auto"/>
                <w:sz w:val="20"/>
                <w:szCs w:val="20"/>
                <w:shd w:val="clear" w:color="auto" w:fill="auto"/>
                <w:lang w:val="en-US" w:eastAsia="zh-CN"/>
              </w:rPr>
              <w:t>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442"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自动监测季度数据有效传输率</w:t>
            </w:r>
            <w:r>
              <w:rPr>
                <w:rFonts w:hint="eastAsia" w:ascii="Times New Roman" w:hAnsi="Times New Roman" w:cs="Times New Roman"/>
                <w:color w:val="auto"/>
                <w:sz w:val="20"/>
                <w:szCs w:val="20"/>
                <w:shd w:val="clear" w:color="auto" w:fill="auto"/>
                <w:lang w:val="en-US" w:eastAsia="zh-CN"/>
              </w:rPr>
              <w:t>75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以上</w:t>
            </w:r>
            <w:r>
              <w:rPr>
                <w:rFonts w:hint="eastAsia" w:ascii="Times New Roman" w:hAnsi="Times New Roman" w:cs="Times New Roman"/>
                <w:color w:val="auto"/>
                <w:sz w:val="20"/>
                <w:szCs w:val="20"/>
                <w:shd w:val="clear" w:color="auto" w:fill="auto"/>
                <w:lang w:val="en-US" w:eastAsia="zh-CN"/>
              </w:rPr>
              <w:t>85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42"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自动监测季度数据有效传输率60%</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75%</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4</w:t>
            </w:r>
          </w:p>
        </w:tc>
      </w:tr>
      <w:tr>
        <w:trPr>
          <w:trHeight w:val="442"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自动监测季度数据有效传输率60%</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42" w:hRule="atLeast"/>
          <w:jc w:val="center"/>
        </w:trPr>
        <w:tc>
          <w:tcPr>
            <w:tcW w:w="13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发生时段</w:t>
            </w: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一般期间</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jc w:val="center"/>
        </w:trPr>
        <w:tc>
          <w:tcPr>
            <w:tcW w:w="1376"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重污染天气黄色预警期间</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42" w:hRule="atLeast"/>
          <w:jc w:val="center"/>
        </w:trPr>
        <w:tc>
          <w:tcPr>
            <w:tcW w:w="1376"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重污染天气橙色预警期间</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jc w:val="center"/>
        </w:trPr>
        <w:tc>
          <w:tcPr>
            <w:tcW w:w="1376"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重污染天气红色预警期间</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42" w:hRule="atLeast"/>
          <w:jc w:val="center"/>
        </w:trPr>
        <w:tc>
          <w:tcPr>
            <w:tcW w:w="1376"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特殊或重大活动期间</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42" w:hRule="atLeast"/>
          <w:jc w:val="center"/>
        </w:trPr>
        <w:tc>
          <w:tcPr>
            <w:tcW w:w="13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持续时间</w:t>
            </w: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w:t>
            </w:r>
            <w:r>
              <w:rPr>
                <w:rFonts w:hint="default" w:ascii="Times New Roman" w:hAnsi="Times New Roman" w:cs="Times New Roman"/>
                <w:color w:val="auto"/>
                <w:sz w:val="20"/>
                <w:szCs w:val="20"/>
                <w:shd w:val="clear" w:color="auto" w:fill="auto"/>
                <w:lang w:val="en-US"/>
              </w:rPr>
              <w:t>以下</w:t>
            </w:r>
            <w:r>
              <w:rPr>
                <w:rFonts w:hint="default" w:ascii="Times New Roman" w:hAnsi="Times New Roman" w:cs="Times New Roman"/>
                <w:color w:val="auto"/>
                <w:sz w:val="20"/>
                <w:szCs w:val="20"/>
                <w:shd w:val="clear" w:color="auto" w:fill="auto"/>
              </w:rPr>
              <w:t>的</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1个月以上3个月以下的</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42"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3个月以上6个月以下的</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6个月以上1年以下的</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42"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1年以上的</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42" w:hRule="atLeast"/>
          <w:jc w:val="center"/>
        </w:trPr>
        <w:tc>
          <w:tcPr>
            <w:tcW w:w="1376"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153"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5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442" w:hRule="atLeast"/>
          <w:jc w:val="center"/>
        </w:trPr>
        <w:tc>
          <w:tcPr>
            <w:tcW w:w="137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1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5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442" w:hRule="atLeast"/>
          <w:jc w:val="center"/>
        </w:trPr>
        <w:tc>
          <w:tcPr>
            <w:tcW w:w="137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5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442" w:hRule="atLeast"/>
          <w:jc w:val="center"/>
        </w:trPr>
        <w:tc>
          <w:tcPr>
            <w:tcW w:w="137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5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53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5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5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5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53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84"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pacing w:line="590" w:lineRule="exact"/>
        <w:ind w:firstLine="0" w:firstLineChars="0"/>
        <w:outlineLvl w:val="9"/>
        <w:rPr>
          <w:rFonts w:ascii="Times New Roman" w:hAnsi="Times New Roman" w:eastAsia="方正楷体_GBK" w:cs="Times New Roman"/>
          <w:bCs/>
          <w:color w:val="auto"/>
          <w:sz w:val="32"/>
          <w:szCs w:val="32"/>
          <w:shd w:val="clear" w:color="auto" w:fill="auto"/>
        </w:rPr>
      </w:pPr>
    </w:p>
    <w:p>
      <w:pPr>
        <w:shd w:val="clear" w:color="auto" w:fill="auto"/>
        <w:spacing w:line="590" w:lineRule="exact"/>
        <w:ind w:firstLine="0" w:firstLineChars="0"/>
        <w:outlineLvl w:val="9"/>
        <w:rPr>
          <w:rFonts w:ascii="Times New Roman" w:hAnsi="Times New Roman" w:eastAsia="方正楷体_GBK" w:cs="Times New Roman"/>
          <w:bCs/>
          <w:color w:val="auto"/>
          <w:sz w:val="32"/>
          <w:szCs w:val="32"/>
          <w:shd w:val="clear" w:color="auto" w:fill="auto"/>
        </w:rPr>
      </w:pPr>
    </w:p>
    <w:p>
      <w:pPr>
        <w:shd w:val="clear" w:color="auto" w:fill="auto"/>
        <w:spacing w:line="200" w:lineRule="exact"/>
        <w:ind w:firstLine="640" w:firstLineChars="200"/>
        <w:outlineLvl w:val="9"/>
        <w:rPr>
          <w:rFonts w:ascii="Times New Roman" w:hAnsi="Times New Roman" w:eastAsia="方正楷体_GBK" w:cs="Times New Roman"/>
          <w:bCs/>
          <w:color w:val="auto"/>
          <w:sz w:val="32"/>
          <w:szCs w:val="32"/>
          <w:shd w:val="clear" w:color="auto" w:fill="auto"/>
        </w:rPr>
      </w:pPr>
      <w:r>
        <w:rPr>
          <w:rFonts w:ascii="Times New Roman" w:hAnsi="Times New Roman" w:eastAsia="方正楷体_GBK" w:cs="Times New Roman"/>
          <w:bCs/>
          <w:color w:val="auto"/>
          <w:sz w:val="32"/>
          <w:szCs w:val="32"/>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5416"/>
        <w:gridCol w:w="2311"/>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九</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排污许可管理类</w:t>
            </w:r>
          </w:p>
        </w:tc>
      </w:tr>
      <w:tr>
        <w:trPr>
          <w:trHeight w:val="397" w:hRule="atLeast"/>
          <w:jc w:val="center"/>
        </w:trPr>
        <w:tc>
          <w:tcPr>
            <w:tcW w:w="13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27" w:type="dxa"/>
            <w:gridSpan w:val="2"/>
            <w:vAlign w:val="center"/>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cs="Times New Roman"/>
                <w:color w:val="auto"/>
                <w:sz w:val="20"/>
                <w:szCs w:val="20"/>
                <w:shd w:val="clear" w:color="auto" w:fill="auto"/>
              </w:rPr>
            </w:pPr>
            <w:bookmarkStart w:id="429" w:name="_Toc21094"/>
            <w:r>
              <w:rPr>
                <w:rFonts w:hint="default" w:ascii="Times New Roman" w:hAnsi="Times New Roman" w:cs="Times New Roman"/>
                <w:color w:val="auto"/>
                <w:sz w:val="20"/>
                <w:szCs w:val="20"/>
                <w:shd w:val="clear" w:color="auto" w:fill="auto"/>
              </w:rPr>
              <w:t>12</w:t>
            </w:r>
            <w:bookmarkEnd w:id="429"/>
          </w:p>
        </w:tc>
      </w:tr>
      <w:tr>
        <w:trPr>
          <w:trHeight w:val="397" w:hRule="atLeast"/>
          <w:jc w:val="center"/>
        </w:trPr>
        <w:tc>
          <w:tcPr>
            <w:tcW w:w="13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27" w:type="dxa"/>
            <w:gridSpan w:val="2"/>
            <w:vAlign w:val="center"/>
          </w:tcPr>
          <w:p>
            <w:pPr>
              <w:shd w:val="clear" w:color="auto" w:fill="auto"/>
              <w:snapToGrid w:val="0"/>
              <w:spacing w:before="0" w:beforeAutospacing="0" w:after="0" w:afterAutospacing="0" w:line="320" w:lineRule="exact"/>
              <w:ind w:left="0" w:right="0" w:firstLine="420" w:firstLineChars="200"/>
              <w:jc w:val="left"/>
              <w:outlineLvl w:val="0"/>
              <w:rPr>
                <w:rFonts w:hint="default" w:ascii="Times New Roman" w:hAnsi="Times New Roman" w:eastAsia="宋体" w:cs="Times New Roman"/>
                <w:color w:val="auto"/>
                <w:sz w:val="20"/>
                <w:szCs w:val="20"/>
                <w:shd w:val="clear" w:color="auto" w:fill="auto"/>
                <w:lang w:eastAsia="zh-CN"/>
              </w:rPr>
            </w:pPr>
            <w:bookmarkStart w:id="430" w:name="_Toc23566"/>
            <w:r>
              <w:rPr>
                <w:rFonts w:hint="default" w:ascii="Times New Roman" w:hAnsi="Times New Roman" w:cs="Times New Roman"/>
                <w:color w:val="auto"/>
                <w:sz w:val="20"/>
                <w:szCs w:val="20"/>
                <w:shd w:val="clear" w:color="auto" w:fill="auto"/>
              </w:rPr>
              <w:t>未按照排污许可证规定安装、使用污染物排放自动监测设备并与生态环境主管部门的监控设备联网，或者未保证污染物排放自动监测设备正常运行</w:t>
            </w:r>
            <w:r>
              <w:rPr>
                <w:rFonts w:hint="default" w:ascii="Times New Roman" w:hAnsi="Times New Roman" w:cs="Times New Roman"/>
                <w:color w:val="auto"/>
                <w:sz w:val="20"/>
                <w:szCs w:val="20"/>
                <w:shd w:val="clear" w:color="auto" w:fill="auto"/>
                <w:lang w:eastAsia="zh-CN"/>
              </w:rPr>
              <w:t>的</w:t>
            </w:r>
            <w:bookmarkEnd w:id="430"/>
          </w:p>
        </w:tc>
      </w:tr>
      <w:tr>
        <w:trPr>
          <w:trHeight w:val="1890" w:hRule="atLeast"/>
          <w:jc w:val="center"/>
        </w:trPr>
        <w:tc>
          <w:tcPr>
            <w:tcW w:w="13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27" w:type="dxa"/>
            <w:gridSpan w:val="2"/>
            <w:vAlign w:val="center"/>
          </w:tcPr>
          <w:p>
            <w:pPr>
              <w:pStyle w:val="18"/>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 xml:space="preserve">《排污许可管理条例》第二十条 </w:t>
            </w:r>
            <w:r>
              <w:rPr>
                <w:rFonts w:hint="default" w:ascii="Times New Roman" w:hAnsi="Times New Roman" w:cs="Times New Roman"/>
                <w:color w:val="auto"/>
                <w:kern w:val="2"/>
                <w:sz w:val="21"/>
                <w:szCs w:val="21"/>
                <w:shd w:val="clear" w:color="auto" w:fill="auto"/>
              </w:rPr>
              <w:t>实行排污许可重点管理的排污单位，应当依法安装、使用、维护污染物排放自动监测设备，并与生态环境主管部门的监控设备联网。</w:t>
            </w:r>
          </w:p>
          <w:p>
            <w:pPr>
              <w:pStyle w:val="19"/>
              <w:shd w:val="clear" w:color="auto" w:fill="auto"/>
              <w:snapToGrid w:val="0"/>
              <w:spacing w:before="0" w:beforeAutospacing="0" w:after="0" w:afterAutospacing="0" w:line="320" w:lineRule="exact"/>
              <w:ind w:left="0" w:right="0" w:firstLine="482"/>
              <w:jc w:val="both"/>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排污单位发现污染物排放自动监测设备传输数据异常的，应当及时报告生态环境主管部门，并进行检查、修复。</w:t>
            </w:r>
          </w:p>
        </w:tc>
      </w:tr>
      <w:tr>
        <w:trPr>
          <w:trHeight w:val="1810" w:hRule="atLeast"/>
          <w:jc w:val="center"/>
        </w:trPr>
        <w:tc>
          <w:tcPr>
            <w:tcW w:w="13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27" w:type="dxa"/>
            <w:gridSpan w:val="2"/>
            <w:vAlign w:val="center"/>
          </w:tcPr>
          <w:p>
            <w:pPr>
              <w:widowControl/>
              <w:shd w:val="clear" w:color="auto" w:fill="auto"/>
              <w:snapToGrid w:val="0"/>
              <w:spacing w:before="0" w:beforeAutospacing="0" w:after="0" w:afterAutospacing="0" w:line="320" w:lineRule="exact"/>
              <w:ind w:left="0" w:right="0" w:firstLine="422" w:firstLineChars="200"/>
              <w:jc w:val="both"/>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《排污许可管理条例》第三十六条第四项</w:t>
            </w:r>
            <w:r>
              <w:rPr>
                <w:rFonts w:hint="default" w:ascii="Times New Roman" w:hAnsi="Times New Roman" w:cs="Times New Roman"/>
                <w:color w:val="auto"/>
                <w:kern w:val="0"/>
                <w:sz w:val="20"/>
                <w:szCs w:val="20"/>
                <w:shd w:val="clear" w:color="auto" w:fill="auto"/>
              </w:rPr>
              <w:t xml:space="preserve"> 违反本条例规定，排污单位有下列行为之一的，由生态环境主管部门责令改正，处2万元以上20万元以下的罚款；拒不改正的，责令停产整治：</w:t>
            </w:r>
          </w:p>
          <w:p>
            <w:pPr>
              <w:pStyle w:val="19"/>
              <w:shd w:val="clear" w:color="auto" w:fill="auto"/>
              <w:snapToGrid w:val="0"/>
              <w:spacing w:before="0" w:beforeAutospacing="0" w:after="0" w:afterAutospacing="0" w:line="320" w:lineRule="exact"/>
              <w:ind w:left="0" w:right="0" w:firstLine="420" w:firstLineChars="200"/>
              <w:jc w:val="both"/>
              <w:rPr>
                <w:rFonts w:hint="default" w:ascii="Times New Roman" w:hAnsi="Times New Roman" w:cs="Times New Roman"/>
                <w:b/>
                <w:bCs/>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（四）未按照排污许可证规定安装、使用污染物排放自动监测设备并与生态环境主管部门的监控设备联网，或者未保证污染物排放自动监测设备正常运行；</w:t>
            </w:r>
          </w:p>
        </w:tc>
      </w:tr>
      <w:tr>
        <w:trPr>
          <w:trHeight w:val="397" w:hRule="atLeast"/>
          <w:jc w:val="center"/>
        </w:trPr>
        <w:tc>
          <w:tcPr>
            <w:tcW w:w="13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jc w:val="center"/>
        </w:trPr>
        <w:tc>
          <w:tcPr>
            <w:tcW w:w="1333" w:type="dxa"/>
            <w:vMerge w:val="restart"/>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自动监测设备安装、运行维护不符合相关技术规范的</w:t>
            </w:r>
          </w:p>
        </w:tc>
        <w:tc>
          <w:tcPr>
            <w:tcW w:w="2311"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3" w:type="dxa"/>
            <w:vMerge w:val="continue"/>
            <w:vAlign w:val="center"/>
          </w:tcPr>
          <w:p>
            <w:pPr>
              <w:shd w:val="clear" w:color="auto" w:fill="auto"/>
              <w:spacing w:before="0" w:beforeAutospacing="0" w:after="0" w:afterAutospacing="0" w:line="320" w:lineRule="exact"/>
              <w:ind w:left="0" w:right="0"/>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自动监测设备已安装， 未按照规定与生态环境主管部门监控设备联网的</w:t>
            </w:r>
          </w:p>
        </w:tc>
        <w:tc>
          <w:tcPr>
            <w:tcW w:w="2311" w:type="dxa"/>
            <w:vAlign w:val="center"/>
          </w:tcPr>
          <w:p>
            <w:pPr>
              <w:shd w:val="clear" w:color="auto" w:fill="auto"/>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3</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未安装污染物自动监测设备</w:t>
            </w:r>
            <w:r>
              <w:rPr>
                <w:rFonts w:hint="default" w:ascii="Times New Roman" w:hAnsi="Times New Roman" w:cs="Times New Roman"/>
                <w:color w:val="auto"/>
                <w:sz w:val="20"/>
                <w:szCs w:val="20"/>
                <w:shd w:val="clear" w:color="auto" w:fill="auto"/>
                <w:lang/>
              </w:rPr>
              <w:t>/</w:t>
            </w:r>
            <w:r>
              <w:rPr>
                <w:rFonts w:hint="default" w:ascii="Times New Roman" w:hAnsi="Times New Roman" w:cs="Times New Roman"/>
                <w:color w:val="auto"/>
                <w:sz w:val="20"/>
                <w:szCs w:val="20"/>
                <w:shd w:val="clear" w:color="auto" w:fill="auto"/>
                <w:lang w:val="en-US"/>
              </w:rPr>
              <w:t>擅自停运部分或全部污染源自动监测设备</w:t>
            </w:r>
          </w:p>
        </w:tc>
        <w:tc>
          <w:tcPr>
            <w:tcW w:w="2311" w:type="dxa"/>
            <w:vAlign w:val="center"/>
          </w:tcPr>
          <w:p>
            <w:pPr>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监测数据</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误差</w:t>
            </w: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未保证监测设备正常运行，造成自动监测与人工监测（或者标准物质测试）数据误差超过技术规范允许范围1倍以</w:t>
            </w:r>
            <w:r>
              <w:rPr>
                <w:rFonts w:hint="default" w:ascii="Times New Roman" w:hAnsi="Times New Roman" w:cs="Times New Roman"/>
                <w:color w:val="auto"/>
                <w:sz w:val="20"/>
                <w:szCs w:val="20"/>
                <w:shd w:val="clear" w:color="auto" w:fill="auto"/>
                <w:lang w:eastAsia="zh-CN"/>
              </w:rPr>
              <w:t>下</w:t>
            </w:r>
            <w:r>
              <w:rPr>
                <w:rFonts w:hint="default" w:ascii="Times New Roman" w:hAnsi="Times New Roman" w:cs="Times New Roman"/>
                <w:color w:val="auto"/>
                <w:sz w:val="20"/>
                <w:szCs w:val="20"/>
                <w:shd w:val="clear" w:color="auto" w:fill="auto"/>
              </w:rPr>
              <w:t>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未保证监测设备正常运行，造成自动监测与人工监测（或者标准物质测试）数据误差超过技术规范允许范围1倍以上2倍以下的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未保证自动监测设备正常运行，造成自动监测与人工监测（或者标准物质测试）数据误差超过技术规范允许范围2倍以上3倍以下的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未保证自动监测设备正常运行，造成自动监测与人工监测（或者标准物质测试）数据误差超过技术规范允许范围3倍以上的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监测数据</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传输偏差</w:t>
            </w: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传输的自动监测数据与现场分析仪表数据不一致，数据偏差1%</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5%</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传输的自动监测数据与现场分析仪表数据不一致，数据偏差5%</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10%</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传输的自动监测数据与现场分析仪表数据不一致，数据偏差10%</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自动监测</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数据有效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传输率</w:t>
            </w: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自动监测季度数据有效传输率</w:t>
            </w:r>
            <w:r>
              <w:rPr>
                <w:rFonts w:hint="eastAsia" w:ascii="Times New Roman" w:hAnsi="Times New Roman" w:cs="Times New Roman"/>
                <w:color w:val="auto"/>
                <w:sz w:val="20"/>
                <w:szCs w:val="20"/>
                <w:shd w:val="clear" w:color="auto" w:fill="auto"/>
                <w:lang w:eastAsia="zh-CN"/>
              </w:rPr>
              <w:t>9</w:t>
            </w:r>
            <w:r>
              <w:rPr>
                <w:rFonts w:hint="eastAsia" w:ascii="Times New Roman" w:hAnsi="Times New Roman" w:cs="Times New Roman"/>
                <w:color w:val="auto"/>
                <w:sz w:val="20"/>
                <w:szCs w:val="20"/>
                <w:shd w:val="clear" w:color="auto" w:fill="auto"/>
                <w:lang w:val="en-US" w:eastAsia="zh-CN"/>
              </w:rPr>
              <w:t>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9</w:t>
            </w:r>
            <w:r>
              <w:rPr>
                <w:rFonts w:hint="eastAsia" w:ascii="Times New Roman" w:hAnsi="Times New Roman" w:cs="Times New Roman"/>
                <w:color w:val="auto"/>
                <w:sz w:val="20"/>
                <w:szCs w:val="20"/>
                <w:shd w:val="clear" w:color="auto" w:fill="auto"/>
                <w:lang w:val="en-US" w:eastAsia="zh-CN"/>
              </w:rPr>
              <w:t>9</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自动监测季度数据有效传输率</w:t>
            </w:r>
            <w:r>
              <w:rPr>
                <w:rFonts w:hint="eastAsia" w:ascii="Times New Roman" w:hAnsi="Times New Roman" w:cs="Times New Roman"/>
                <w:color w:val="auto"/>
                <w:sz w:val="20"/>
                <w:szCs w:val="20"/>
                <w:shd w:val="clear" w:color="auto" w:fill="auto"/>
                <w:lang w:val="en-US" w:eastAsia="zh-CN"/>
              </w:rPr>
              <w:t>85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9</w:t>
            </w:r>
            <w:r>
              <w:rPr>
                <w:rFonts w:hint="eastAsia" w:ascii="Times New Roman" w:hAnsi="Times New Roman" w:cs="Times New Roman"/>
                <w:color w:val="auto"/>
                <w:sz w:val="20"/>
                <w:szCs w:val="20"/>
                <w:shd w:val="clear" w:color="auto" w:fill="auto"/>
                <w:lang w:val="en-US" w:eastAsia="zh-CN"/>
              </w:rPr>
              <w:t>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自动监测季度数据有效传输率</w:t>
            </w:r>
            <w:r>
              <w:rPr>
                <w:rFonts w:hint="eastAsia" w:ascii="Times New Roman" w:hAnsi="Times New Roman" w:cs="Times New Roman"/>
                <w:color w:val="auto"/>
                <w:sz w:val="20"/>
                <w:szCs w:val="20"/>
                <w:shd w:val="clear" w:color="auto" w:fill="auto"/>
                <w:lang w:val="en-US" w:eastAsia="zh-CN"/>
              </w:rPr>
              <w:t>75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以上</w:t>
            </w:r>
            <w:r>
              <w:rPr>
                <w:rFonts w:hint="eastAsia" w:ascii="Times New Roman" w:hAnsi="Times New Roman" w:cs="Times New Roman"/>
                <w:color w:val="auto"/>
                <w:sz w:val="20"/>
                <w:szCs w:val="20"/>
                <w:shd w:val="clear" w:color="auto" w:fill="auto"/>
                <w:lang w:val="en-US" w:eastAsia="zh-CN"/>
              </w:rPr>
              <w:t>85</w:t>
            </w:r>
            <w:r>
              <w:rPr>
                <w:rFonts w:hint="default" w:ascii="Times New Roman" w:hAnsi="Times New Roman" w:cs="Times New Roman"/>
                <w:color w:val="auto"/>
                <w:sz w:val="20"/>
                <w:szCs w:val="20"/>
                <w:shd w:val="clear" w:color="auto" w:fill="auto"/>
              </w:rPr>
              <w:t>%</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自动监测季度数据有效传输率60%</w:t>
            </w:r>
            <w:r>
              <w:rPr>
                <w:rFonts w:hint="eastAsia" w:ascii="Times New Roman" w:hAnsi="Times New Roman" w:cs="Times New Roman"/>
                <w:color w:val="auto"/>
                <w:sz w:val="20"/>
                <w:szCs w:val="20"/>
                <w:shd w:val="clear" w:color="auto" w:fill="auto"/>
                <w:lang w:eastAsia="zh-CN"/>
              </w:rPr>
              <w:t>以上</w:t>
            </w:r>
            <w:r>
              <w:rPr>
                <w:rFonts w:hint="default" w:ascii="Times New Roman" w:hAnsi="Times New Roman" w:cs="Times New Roman"/>
                <w:color w:val="auto"/>
                <w:sz w:val="20"/>
                <w:szCs w:val="20"/>
                <w:shd w:val="clear" w:color="auto" w:fill="auto"/>
              </w:rPr>
              <w:t>75%</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4</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自动监测季度数据有效传输率60%</w:t>
            </w:r>
            <w:r>
              <w:rPr>
                <w:rFonts w:hint="eastAsia"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发生时段</w:t>
            </w: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一般期间</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3"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重污染天气黄色预警期间</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333"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重污染天气橙色预警期间</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33"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重污染天气红色预警期间</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33"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特殊或重大活动期间</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持续时间</w:t>
            </w: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w:t>
            </w:r>
            <w:r>
              <w:rPr>
                <w:rFonts w:hint="default" w:ascii="Times New Roman" w:hAnsi="Times New Roman" w:cs="Times New Roman"/>
                <w:color w:val="auto"/>
                <w:sz w:val="20"/>
                <w:szCs w:val="20"/>
                <w:shd w:val="clear" w:color="auto" w:fill="auto"/>
                <w:lang w:val="en-US"/>
              </w:rPr>
              <w:t>以下</w:t>
            </w:r>
            <w:r>
              <w:rPr>
                <w:rFonts w:hint="default" w:ascii="Times New Roman" w:hAnsi="Times New Roman" w:cs="Times New Roman"/>
                <w:color w:val="auto"/>
                <w:sz w:val="20"/>
                <w:szCs w:val="20"/>
                <w:shd w:val="clear" w:color="auto" w:fill="auto"/>
              </w:rPr>
              <w:t>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1个月以上3个月以下的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3个月以上6个月以下的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6个月以上1年以下的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1年以上的</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3"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改正时间</w:t>
            </w:r>
          </w:p>
        </w:tc>
        <w:tc>
          <w:tcPr>
            <w:tcW w:w="541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4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4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4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3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4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27"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pacing w:line="590" w:lineRule="exact"/>
        <w:ind w:firstLine="0" w:firstLineChars="0"/>
        <w:outlineLvl w:val="9"/>
        <w:rPr>
          <w:rFonts w:ascii="Times New Roman" w:hAnsi="Times New Roman" w:eastAsia="方正楷体_GBK" w:cs="Times New Roman"/>
          <w:bCs/>
          <w:color w:val="auto"/>
          <w:sz w:val="32"/>
          <w:szCs w:val="32"/>
          <w:shd w:val="clear" w:color="auto" w:fill="auto"/>
        </w:rPr>
      </w:pPr>
    </w:p>
    <w:p>
      <w:pPr>
        <w:shd w:val="clear" w:color="auto" w:fill="auto"/>
        <w:spacing w:line="200" w:lineRule="exact"/>
        <w:ind w:firstLine="640" w:firstLineChars="200"/>
        <w:outlineLvl w:val="9"/>
        <w:rPr>
          <w:rFonts w:ascii="Times New Roman" w:hAnsi="Times New Roman" w:eastAsia="方正楷体_GBK" w:cs="Times New Roman"/>
          <w:bCs/>
          <w:color w:val="auto"/>
          <w:sz w:val="32"/>
          <w:szCs w:val="32"/>
          <w:shd w:val="clear" w:color="auto" w:fill="auto"/>
        </w:rPr>
      </w:pPr>
      <w:r>
        <w:rPr>
          <w:rFonts w:ascii="Times New Roman" w:hAnsi="Times New Roman" w:eastAsia="方正楷体_GBK" w:cs="Times New Roman"/>
          <w:bCs/>
          <w:color w:val="auto"/>
          <w:sz w:val="32"/>
          <w:szCs w:val="32"/>
          <w:shd w:val="clear" w:color="auto" w:fill="auto"/>
        </w:rPr>
        <w:br w:type="page"/>
      </w:r>
    </w:p>
    <w:tbl>
      <w:tblPr>
        <w:tblW w:w="9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5351"/>
        <w:gridCol w:w="2363"/>
      </w:tblGrid>
      <w:tr>
        <w:trPr>
          <w:trHeight w:val="397" w:hRule="atLeast"/>
          <w:jc w:val="center"/>
        </w:trPr>
        <w:tc>
          <w:tcPr>
            <w:tcW w:w="9047"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九</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排污许可管理类</w:t>
            </w:r>
          </w:p>
        </w:tc>
      </w:tr>
      <w:tr>
        <w:trPr>
          <w:trHeight w:val="397" w:hRule="atLeast"/>
          <w:jc w:val="center"/>
        </w:trPr>
        <w:tc>
          <w:tcPr>
            <w:tcW w:w="13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14" w:type="dxa"/>
            <w:gridSpan w:val="2"/>
            <w:vAlign w:val="center"/>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cs="Times New Roman"/>
                <w:color w:val="auto"/>
                <w:sz w:val="20"/>
                <w:szCs w:val="20"/>
                <w:shd w:val="clear" w:color="auto" w:fill="auto"/>
              </w:rPr>
            </w:pPr>
            <w:bookmarkStart w:id="431" w:name="_Toc19636"/>
            <w:r>
              <w:rPr>
                <w:rFonts w:hint="default" w:ascii="Times New Roman" w:hAnsi="Times New Roman" w:cs="Times New Roman"/>
                <w:color w:val="auto"/>
                <w:sz w:val="20"/>
                <w:szCs w:val="20"/>
                <w:shd w:val="clear" w:color="auto" w:fill="auto"/>
              </w:rPr>
              <w:t>13</w:t>
            </w:r>
            <w:bookmarkEnd w:id="431"/>
          </w:p>
        </w:tc>
      </w:tr>
      <w:tr>
        <w:trPr>
          <w:trHeight w:val="530" w:hRule="atLeast"/>
          <w:jc w:val="center"/>
        </w:trPr>
        <w:tc>
          <w:tcPr>
            <w:tcW w:w="13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14" w:type="dxa"/>
            <w:gridSpan w:val="2"/>
            <w:vAlign w:val="center"/>
          </w:tcPr>
          <w:p>
            <w:pPr>
              <w:shd w:val="clear" w:color="auto" w:fill="auto"/>
              <w:snapToGrid w:val="0"/>
              <w:spacing w:before="0" w:beforeAutospacing="0" w:after="0" w:afterAutospacing="0" w:line="320" w:lineRule="exact"/>
              <w:ind w:left="0" w:right="0" w:firstLine="420" w:firstLineChars="200"/>
              <w:outlineLvl w:val="0"/>
              <w:rPr>
                <w:rFonts w:hint="default" w:ascii="Times New Roman" w:hAnsi="Times New Roman" w:cs="Times New Roman"/>
                <w:color w:val="auto"/>
                <w:sz w:val="20"/>
                <w:szCs w:val="20"/>
                <w:shd w:val="clear" w:color="auto" w:fill="auto"/>
              </w:rPr>
            </w:pPr>
            <w:bookmarkStart w:id="432" w:name="_Toc3542"/>
            <w:r>
              <w:rPr>
                <w:rFonts w:hint="default" w:ascii="Times New Roman" w:hAnsi="Times New Roman" w:cs="Times New Roman"/>
                <w:color w:val="auto"/>
                <w:sz w:val="20"/>
                <w:szCs w:val="20"/>
                <w:shd w:val="clear" w:color="auto" w:fill="auto"/>
              </w:rPr>
              <w:t>未按照排污许可证规定制定自行监测方案并开展自行监测；未按照排污许可证规定保存原始监测记录的</w:t>
            </w:r>
            <w:bookmarkEnd w:id="432"/>
          </w:p>
        </w:tc>
      </w:tr>
      <w:tr>
        <w:trPr>
          <w:trHeight w:val="397" w:hRule="atLeast"/>
          <w:jc w:val="center"/>
        </w:trPr>
        <w:tc>
          <w:tcPr>
            <w:tcW w:w="13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14" w:type="dxa"/>
            <w:gridSpan w:val="2"/>
            <w:vAlign w:val="top"/>
          </w:tcPr>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《排污许可管理条例》第十九条第一款</w:t>
            </w:r>
            <w:r>
              <w:rPr>
                <w:rFonts w:hint="default" w:ascii="Times New Roman" w:hAnsi="Times New Roman" w:cs="Times New Roman"/>
                <w:color w:val="auto"/>
                <w:sz w:val="21"/>
                <w:szCs w:val="21"/>
                <w:shd w:val="clear" w:color="auto" w:fill="auto"/>
              </w:rPr>
              <w:t xml:space="preserve"> 排污单位应当按照排污许可证规定和有关标准规范，依法开展自行监测，并保存原始监测记录。原始监测记录保存期限不得少于5年。</w:t>
            </w:r>
          </w:p>
        </w:tc>
      </w:tr>
      <w:tr>
        <w:trPr>
          <w:trHeight w:val="397" w:hRule="atLeast"/>
          <w:jc w:val="center"/>
        </w:trPr>
        <w:tc>
          <w:tcPr>
            <w:tcW w:w="13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14" w:type="dxa"/>
            <w:gridSpan w:val="2"/>
            <w:vAlign w:val="top"/>
          </w:tcPr>
          <w:p>
            <w:pPr>
              <w:widowControl/>
              <w:shd w:val="clear" w:color="auto" w:fill="auto"/>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《排污许可管理条例》第三十六条第五项、第六项</w:t>
            </w:r>
            <w:r>
              <w:rPr>
                <w:rFonts w:hint="default" w:ascii="Times New Roman" w:hAnsi="Times New Roman" w:cs="Times New Roman"/>
                <w:color w:val="auto"/>
                <w:kern w:val="0"/>
                <w:sz w:val="20"/>
                <w:szCs w:val="20"/>
                <w:shd w:val="clear" w:color="auto" w:fill="auto"/>
              </w:rPr>
              <w:t xml:space="preserve"> 违反本条例规定，排污单位有下列行为之一的，由生态环境主管部门责令改正，处2万元以上20万元以下的罚款；拒不改正的，责令停产整治：</w:t>
            </w:r>
          </w:p>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（五）未按照排污许可证规定制定自行监测方案并开展自行监测；</w:t>
            </w:r>
          </w:p>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（六）未按照排污许可证规定保存原始监测记录；</w:t>
            </w:r>
          </w:p>
        </w:tc>
      </w:tr>
      <w:tr>
        <w:trPr>
          <w:trHeight w:val="505" w:hRule="atLeast"/>
          <w:jc w:val="center"/>
        </w:trPr>
        <w:tc>
          <w:tcPr>
            <w:tcW w:w="13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505" w:hRule="atLeast"/>
          <w:jc w:val="center"/>
        </w:trPr>
        <w:tc>
          <w:tcPr>
            <w:tcW w:w="133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351" w:type="dxa"/>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按规定进行了监测，原始监测记录保存年限3年以上5年</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505"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按规定进行了监测，原始监测记录保存年限1年以上3年</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505"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制定自行监测方案，但未按规定开展自行监测的；</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505"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未制定自行监测方案，未按规定开展自行监测的；</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505"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未开展自行监测或无原始监测记录的</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505" w:hRule="atLeast"/>
          <w:jc w:val="center"/>
        </w:trPr>
        <w:tc>
          <w:tcPr>
            <w:tcW w:w="133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持续时间</w:t>
            </w: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w:t>
            </w:r>
            <w:r>
              <w:rPr>
                <w:rFonts w:hint="default" w:ascii="Times New Roman" w:hAnsi="Times New Roman" w:cs="Times New Roman"/>
                <w:color w:val="auto"/>
                <w:sz w:val="20"/>
                <w:szCs w:val="20"/>
                <w:shd w:val="clear" w:color="auto" w:fill="auto"/>
                <w:lang w:val="en-US"/>
              </w:rPr>
              <w:t>以下</w:t>
            </w:r>
            <w:r>
              <w:rPr>
                <w:rFonts w:hint="default" w:ascii="Times New Roman" w:hAnsi="Times New Roman" w:cs="Times New Roman"/>
                <w:color w:val="auto"/>
                <w:sz w:val="20"/>
                <w:szCs w:val="20"/>
                <w:shd w:val="clear" w:color="auto" w:fill="auto"/>
              </w:rPr>
              <w:t>的</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505"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1个月以上3个月以下的</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505"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3个月以上6个月以下的</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505"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6个月以上1年以下的</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505"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1年以上的</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505" w:hRule="atLeast"/>
          <w:jc w:val="center"/>
        </w:trPr>
        <w:tc>
          <w:tcPr>
            <w:tcW w:w="133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管理类别</w:t>
            </w:r>
          </w:p>
        </w:tc>
        <w:tc>
          <w:tcPr>
            <w:tcW w:w="5351" w:type="dxa"/>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简化管理</w:t>
            </w:r>
          </w:p>
        </w:tc>
        <w:tc>
          <w:tcPr>
            <w:tcW w:w="2363" w:type="dxa"/>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505"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重点管理</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505" w:hRule="atLeast"/>
          <w:jc w:val="center"/>
        </w:trPr>
        <w:tc>
          <w:tcPr>
            <w:tcW w:w="133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企业规模</w:t>
            </w: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微型企业</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505"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小型企业</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505"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中型企业</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505"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大型企业</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3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污染物类别</w:t>
            </w:r>
          </w:p>
        </w:tc>
        <w:tc>
          <w:tcPr>
            <w:tcW w:w="5351" w:type="dxa"/>
            <w:vAlign w:val="center"/>
          </w:tcPr>
          <w:p>
            <w:pPr>
              <w:shd w:val="clear" w:color="auto" w:fill="auto"/>
              <w:snapToGrid/>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一般工业废气</w:t>
            </w:r>
            <w:r>
              <w:rPr>
                <w:rFonts w:hint="default"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rPr>
              <w:t xml:space="preserve">生活废水 </w:t>
            </w:r>
            <w:r>
              <w:rPr>
                <w:rFonts w:hint="eastAsia" w:ascii="Times New Roman" w:hAnsi="Times New Roman" w:cs="Times New Roman"/>
                <w:color w:val="auto"/>
                <w:sz w:val="20"/>
                <w:szCs w:val="20"/>
                <w:shd w:val="clear" w:color="auto" w:fill="auto"/>
                <w:lang w:val="en-US" w:eastAsia="zh-CN"/>
              </w:rPr>
              <w:t>/规模以下畜禽养殖废水</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 xml:space="preserve">服务业废水 </w:t>
            </w:r>
            <w:r>
              <w:rPr>
                <w:rFonts w:hint="eastAsia" w:ascii="Times New Roman" w:hAnsi="Times New Roman" w:cs="Times New Roman"/>
                <w:color w:val="auto"/>
                <w:sz w:val="20"/>
                <w:szCs w:val="20"/>
                <w:shd w:val="clear" w:color="auto" w:fill="auto"/>
                <w:lang w:val="en-US" w:eastAsia="zh-CN"/>
              </w:rPr>
              <w:t>/规模化畜禽养殖废水</w:t>
            </w:r>
            <w:r>
              <w:rPr>
                <w:rFonts w:hint="default" w:ascii="Times New Roman" w:hAnsi="Times New Roman" w:cs="Times New Roman"/>
                <w:color w:val="auto"/>
                <w:sz w:val="20"/>
                <w:szCs w:val="20"/>
                <w:shd w:val="clear" w:color="auto" w:fill="auto"/>
              </w:rPr>
              <w:t>/燃煤锅炉废</w:t>
            </w:r>
            <w:r>
              <w:rPr>
                <w:rFonts w:hint="default" w:ascii="Times New Roman" w:hAnsi="Times New Roman" w:cs="Times New Roman"/>
                <w:color w:val="auto"/>
                <w:sz w:val="20"/>
                <w:szCs w:val="20"/>
                <w:shd w:val="clear" w:color="auto" w:fill="auto"/>
                <w:lang w:eastAsia="zh-CN"/>
              </w:rPr>
              <w:t>气</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火电、钢铁、石化、水泥、炼焦、有色、化工废气、烟尘</w:t>
            </w:r>
            <w:r>
              <w:rPr>
                <w:rFonts w:hint="default"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rPr>
              <w:t>一般工业废水</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含其他有毒有害物质的废水、医疗废水</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含有毒有害物质的废气</w:t>
            </w:r>
            <w:r>
              <w:rPr>
                <w:rFonts w:hint="default"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rPr>
              <w:t>含一类污染物或重金属、病原体、放射性物质的废水</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3"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改正时间</w:t>
            </w:r>
          </w:p>
        </w:tc>
        <w:tc>
          <w:tcPr>
            <w:tcW w:w="5351"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3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3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3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3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3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3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3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jc w:val="center"/>
        </w:trPr>
        <w:tc>
          <w:tcPr>
            <w:tcW w:w="133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36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3"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3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3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3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3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33"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5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36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3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14"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pacing w:line="590" w:lineRule="exact"/>
        <w:ind w:firstLine="0" w:firstLineChars="0"/>
        <w:outlineLvl w:val="9"/>
        <w:rPr>
          <w:rFonts w:ascii="Times New Roman" w:hAnsi="Times New Roman" w:eastAsia="方正楷体_GBK" w:cs="Times New Roman"/>
          <w:bCs/>
          <w:color w:val="auto"/>
          <w:sz w:val="32"/>
          <w:szCs w:val="32"/>
          <w:shd w:val="clear" w:color="auto" w:fill="auto"/>
        </w:rPr>
      </w:pPr>
    </w:p>
    <w:p>
      <w:pPr>
        <w:shd w:val="clear" w:color="auto" w:fill="auto"/>
        <w:spacing w:line="590" w:lineRule="exact"/>
        <w:ind w:firstLine="0" w:firstLineChars="0"/>
        <w:outlineLvl w:val="9"/>
        <w:rPr>
          <w:rFonts w:ascii="Times New Roman" w:hAnsi="Times New Roman" w:eastAsia="方正楷体_GBK" w:cs="Times New Roman"/>
          <w:bCs/>
          <w:color w:val="auto"/>
          <w:sz w:val="32"/>
          <w:szCs w:val="32"/>
          <w:shd w:val="clear" w:color="auto" w:fill="auto"/>
        </w:rPr>
      </w:pPr>
    </w:p>
    <w:p>
      <w:pPr>
        <w:shd w:val="clear" w:color="auto" w:fill="auto"/>
        <w:spacing w:line="590" w:lineRule="exact"/>
        <w:ind w:firstLine="0" w:firstLineChars="0"/>
        <w:outlineLvl w:val="9"/>
        <w:rPr>
          <w:rFonts w:ascii="Times New Roman" w:hAnsi="Times New Roman" w:eastAsia="方正楷体_GBK" w:cs="Times New Roman"/>
          <w:bCs/>
          <w:color w:val="auto"/>
          <w:sz w:val="32"/>
          <w:szCs w:val="32"/>
          <w:shd w:val="clear" w:color="auto" w:fill="auto"/>
        </w:rPr>
      </w:pPr>
    </w:p>
    <w:p>
      <w:pPr>
        <w:shd w:val="clear" w:color="auto" w:fill="auto"/>
        <w:spacing w:line="200" w:lineRule="exact"/>
        <w:ind w:firstLine="640" w:firstLineChars="200"/>
        <w:outlineLvl w:val="9"/>
        <w:rPr>
          <w:rFonts w:ascii="Times New Roman" w:hAnsi="Times New Roman" w:eastAsia="方正楷体_GBK" w:cs="Times New Roman"/>
          <w:bCs/>
          <w:color w:val="auto"/>
          <w:sz w:val="32"/>
          <w:szCs w:val="32"/>
          <w:shd w:val="clear" w:color="auto" w:fill="auto"/>
        </w:rPr>
      </w:pPr>
      <w:r>
        <w:rPr>
          <w:rFonts w:ascii="Times New Roman" w:hAnsi="Times New Roman" w:eastAsia="方正楷体_GBK" w:cs="Times New Roman"/>
          <w:bCs/>
          <w:color w:val="auto"/>
          <w:sz w:val="32"/>
          <w:szCs w:val="32"/>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5168"/>
        <w:gridCol w:w="2537"/>
      </w:tblGrid>
      <w:tr>
        <w:trPr>
          <w:trHeight w:val="340" w:hRule="atLeast"/>
          <w:jc w:val="center"/>
        </w:trPr>
        <w:tc>
          <w:tcPr>
            <w:tcW w:w="9060" w:type="dxa"/>
            <w:gridSpan w:val="3"/>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九</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排污许可管理类</w:t>
            </w:r>
          </w:p>
        </w:tc>
      </w:tr>
      <w:tr>
        <w:trPr>
          <w:trHeight w:val="340" w:hRule="atLeast"/>
          <w:jc w:val="center"/>
        </w:trPr>
        <w:tc>
          <w:tcPr>
            <w:tcW w:w="1355"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05" w:type="dxa"/>
            <w:gridSpan w:val="2"/>
            <w:vAlign w:val="center"/>
          </w:tcPr>
          <w:p>
            <w:pPr>
              <w:shd w:val="clear" w:color="auto" w:fill="auto"/>
              <w:wordWrap/>
              <w:adjustRightInd/>
              <w:snapToGrid w:val="0"/>
              <w:spacing w:before="0" w:beforeAutospacing="0" w:after="0" w:afterAutospacing="0" w:line="340" w:lineRule="exact"/>
              <w:ind w:left="0" w:right="0"/>
              <w:jc w:val="center"/>
              <w:textAlignment w:val="auto"/>
              <w:outlineLvl w:val="0"/>
              <w:rPr>
                <w:rFonts w:hint="default" w:ascii="Times New Roman" w:hAnsi="Times New Roman" w:cs="Times New Roman"/>
                <w:color w:val="auto"/>
                <w:sz w:val="20"/>
                <w:szCs w:val="20"/>
                <w:shd w:val="clear" w:color="auto" w:fill="auto"/>
              </w:rPr>
            </w:pPr>
            <w:bookmarkStart w:id="433" w:name="_Toc7519"/>
            <w:r>
              <w:rPr>
                <w:rFonts w:hint="default" w:ascii="Times New Roman" w:hAnsi="Times New Roman" w:cs="Times New Roman"/>
                <w:color w:val="auto"/>
                <w:sz w:val="20"/>
                <w:szCs w:val="20"/>
                <w:shd w:val="clear" w:color="auto" w:fill="auto"/>
              </w:rPr>
              <w:t>14</w:t>
            </w:r>
            <w:bookmarkEnd w:id="433"/>
          </w:p>
        </w:tc>
      </w:tr>
      <w:tr>
        <w:trPr>
          <w:trHeight w:val="340" w:hRule="atLeast"/>
          <w:jc w:val="center"/>
        </w:trPr>
        <w:tc>
          <w:tcPr>
            <w:tcW w:w="1355"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05" w:type="dxa"/>
            <w:gridSpan w:val="2"/>
            <w:vAlign w:val="center"/>
          </w:tcPr>
          <w:p>
            <w:pPr>
              <w:shd w:val="clear" w:color="auto" w:fill="auto"/>
              <w:wordWrap/>
              <w:adjustRightInd/>
              <w:snapToGrid w:val="0"/>
              <w:spacing w:before="0" w:beforeAutospacing="0" w:after="0" w:afterAutospacing="0" w:line="340" w:lineRule="exact"/>
              <w:ind w:left="0" w:right="0"/>
              <w:jc w:val="center"/>
              <w:textAlignment w:val="auto"/>
              <w:outlineLvl w:val="0"/>
              <w:rPr>
                <w:rFonts w:hint="default" w:ascii="Times New Roman" w:hAnsi="Times New Roman" w:eastAsia="宋体" w:cs="Times New Roman"/>
                <w:color w:val="auto"/>
                <w:sz w:val="20"/>
                <w:szCs w:val="20"/>
                <w:shd w:val="clear" w:color="auto" w:fill="auto"/>
                <w:lang w:val="en-US" w:eastAsia="zh-CN"/>
              </w:rPr>
            </w:pPr>
            <w:bookmarkStart w:id="434" w:name="_Toc4452"/>
            <w:r>
              <w:rPr>
                <w:rFonts w:hint="default" w:ascii="Times New Roman" w:hAnsi="Times New Roman" w:cs="Times New Roman"/>
                <w:color w:val="auto"/>
                <w:sz w:val="20"/>
                <w:szCs w:val="20"/>
                <w:shd w:val="clear" w:color="auto" w:fill="auto"/>
              </w:rPr>
              <w:t>未按照排污许可证规定公开或者不如实公开污染物排放信息</w:t>
            </w:r>
            <w:r>
              <w:rPr>
                <w:rFonts w:hint="default" w:ascii="Times New Roman" w:hAnsi="Times New Roman" w:cs="Times New Roman"/>
                <w:color w:val="auto"/>
                <w:sz w:val="20"/>
                <w:szCs w:val="20"/>
                <w:shd w:val="clear" w:color="auto" w:fill="auto"/>
                <w:lang w:eastAsia="zh-CN"/>
              </w:rPr>
              <w:t>的</w:t>
            </w:r>
            <w:bookmarkEnd w:id="434"/>
          </w:p>
        </w:tc>
      </w:tr>
      <w:tr>
        <w:trPr>
          <w:trHeight w:val="340" w:hRule="atLeast"/>
          <w:jc w:val="center"/>
        </w:trPr>
        <w:tc>
          <w:tcPr>
            <w:tcW w:w="1355"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05" w:type="dxa"/>
            <w:gridSpan w:val="2"/>
            <w:vAlign w:val="top"/>
          </w:tcPr>
          <w:p>
            <w:pPr>
              <w:shd w:val="clear" w:color="auto" w:fill="auto"/>
              <w:wordWrap/>
              <w:adjustRightInd/>
              <w:snapToGrid w:val="0"/>
              <w:spacing w:before="0" w:beforeAutospacing="0" w:after="0" w:afterAutospacing="0" w:line="340" w:lineRule="exact"/>
              <w:ind w:left="0" w:right="0" w:firstLine="422" w:firstLineChars="200"/>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 xml:space="preserve">《排污许可管理条例》第二十三条 </w:t>
            </w:r>
            <w:r>
              <w:rPr>
                <w:rFonts w:hint="default" w:ascii="Times New Roman" w:hAnsi="Times New Roman" w:cs="Times New Roman"/>
                <w:color w:val="auto"/>
                <w:kern w:val="0"/>
                <w:sz w:val="20"/>
                <w:szCs w:val="20"/>
                <w:shd w:val="clear" w:color="auto" w:fill="auto"/>
              </w:rPr>
              <w:t>排污单位应当按照排污许可证规定，如实在全国排污许可证管理信息平台上公开污染物排放信息。</w:t>
            </w:r>
          </w:p>
          <w:p>
            <w:pPr>
              <w:shd w:val="clear" w:color="auto" w:fill="auto"/>
              <w:wordWrap/>
              <w:adjustRightInd/>
              <w:snapToGrid w:val="0"/>
              <w:spacing w:before="0" w:beforeAutospacing="0" w:after="0" w:afterAutospacing="0" w:line="340" w:lineRule="exact"/>
              <w:ind w:left="0" w:right="0" w:firstLine="420" w:firstLineChars="20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0"/>
                <w:sz w:val="20"/>
                <w:szCs w:val="20"/>
                <w:shd w:val="clear" w:color="auto" w:fill="auto"/>
              </w:rPr>
              <w:t>污染物排放信息应当包括污染物排放种类、排放浓度和排放量，以及污染防治设施的建设运行情况、排污许可证执行报告、自行监测数据等；其中，水污染物排入市政排水管网的，还应当包括污水接入市政排水管网位置、排放方式等信息。</w:t>
            </w:r>
          </w:p>
        </w:tc>
      </w:tr>
      <w:tr>
        <w:trPr>
          <w:trHeight w:val="340" w:hRule="atLeast"/>
          <w:jc w:val="center"/>
        </w:trPr>
        <w:tc>
          <w:tcPr>
            <w:tcW w:w="1355"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05" w:type="dxa"/>
            <w:gridSpan w:val="2"/>
            <w:vAlign w:val="top"/>
          </w:tcPr>
          <w:p>
            <w:pPr>
              <w:widowControl/>
              <w:shd w:val="clear" w:color="auto" w:fill="auto"/>
              <w:wordWrap/>
              <w:adjustRightInd/>
              <w:snapToGrid w:val="0"/>
              <w:spacing w:before="0" w:beforeAutospacing="0" w:after="0" w:afterAutospacing="0" w:line="340" w:lineRule="exact"/>
              <w:ind w:left="0" w:right="0" w:firstLine="422" w:firstLineChars="200"/>
              <w:jc w:val="left"/>
              <w:textAlignment w:val="auto"/>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《排污许可管理条例》第三十六条第七项</w:t>
            </w:r>
            <w:r>
              <w:rPr>
                <w:rFonts w:hint="default" w:ascii="Times New Roman" w:hAnsi="Times New Roman" w:cs="Times New Roman"/>
                <w:color w:val="auto"/>
                <w:kern w:val="0"/>
                <w:sz w:val="20"/>
                <w:szCs w:val="20"/>
                <w:shd w:val="clear" w:color="auto" w:fill="auto"/>
              </w:rPr>
              <w:t xml:space="preserve"> 违反本条例规定，排污单位有下列行为之一的，由生态环境主管部门责令改正，处2万元以上20万元以下的罚款；拒不改正的，责令停产整治：</w:t>
            </w:r>
          </w:p>
          <w:p>
            <w:pPr>
              <w:shd w:val="clear" w:color="auto" w:fill="auto"/>
              <w:wordWrap/>
              <w:adjustRightInd/>
              <w:snapToGrid w:val="0"/>
              <w:spacing w:before="0" w:beforeAutospacing="0" w:after="0" w:afterAutospacing="0" w:line="340" w:lineRule="exact"/>
              <w:ind w:left="0" w:right="0" w:firstLine="420" w:firstLineChars="20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（七）未按照排污许可证规定公开或者不如实公开污染物排放信息；</w:t>
            </w:r>
          </w:p>
        </w:tc>
      </w:tr>
      <w:tr>
        <w:trPr>
          <w:trHeight w:val="340" w:hRule="atLeast"/>
          <w:jc w:val="center"/>
        </w:trPr>
        <w:tc>
          <w:tcPr>
            <w:tcW w:w="1355"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6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40" w:hRule="atLeast"/>
          <w:jc w:val="center"/>
        </w:trPr>
        <w:tc>
          <w:tcPr>
            <w:tcW w:w="1355" w:type="dxa"/>
            <w:vMerge w:val="restart"/>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6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未完全公开污染物排放信息</w:t>
            </w:r>
          </w:p>
        </w:tc>
        <w:tc>
          <w:tcPr>
            <w:tcW w:w="25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55" w:type="dxa"/>
            <w:vMerge w:val="continue"/>
            <w:vAlign w:val="center"/>
          </w:tcPr>
          <w:p>
            <w:pPr>
              <w:shd w:val="clear" w:color="auto" w:fill="auto"/>
              <w:wordWrap/>
              <w:adjustRightInd/>
              <w:snapToGrid w:val="0"/>
              <w:spacing w:before="0" w:beforeAutospacing="0" w:after="0" w:afterAutospacing="0" w:line="340" w:lineRule="exact"/>
              <w:ind w:left="0" w:right="0" w:firstLine="422"/>
              <w:jc w:val="center"/>
              <w:textAlignment w:val="auto"/>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未公开污染物排放信息</w:t>
            </w:r>
          </w:p>
        </w:tc>
        <w:tc>
          <w:tcPr>
            <w:tcW w:w="25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355" w:type="dxa"/>
            <w:vMerge w:val="continue"/>
            <w:vAlign w:val="center"/>
          </w:tcPr>
          <w:p>
            <w:pPr>
              <w:shd w:val="clear" w:color="auto" w:fill="auto"/>
              <w:wordWrap/>
              <w:adjustRightInd/>
              <w:snapToGrid w:val="0"/>
              <w:spacing w:before="0" w:beforeAutospacing="0" w:after="0" w:afterAutospacing="0" w:line="340" w:lineRule="exact"/>
              <w:ind w:left="0" w:right="0" w:firstLine="422"/>
              <w:jc w:val="center"/>
              <w:textAlignment w:val="auto"/>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公开污染物排放信息弄虚作假的</w:t>
            </w:r>
          </w:p>
        </w:tc>
        <w:tc>
          <w:tcPr>
            <w:tcW w:w="25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55" w:type="dxa"/>
            <w:vMerge w:val="restart"/>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管理类别</w:t>
            </w:r>
          </w:p>
        </w:tc>
        <w:tc>
          <w:tcPr>
            <w:tcW w:w="5168" w:type="dxa"/>
            <w:vAlign w:val="center"/>
          </w:tcPr>
          <w:p>
            <w:pPr>
              <w:widowControl/>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简化管理</w:t>
            </w:r>
          </w:p>
        </w:tc>
        <w:tc>
          <w:tcPr>
            <w:tcW w:w="2537" w:type="dxa"/>
            <w:vAlign w:val="center"/>
          </w:tcPr>
          <w:p>
            <w:pPr>
              <w:widowControl/>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40" w:hRule="atLeast"/>
          <w:jc w:val="center"/>
        </w:trPr>
        <w:tc>
          <w:tcPr>
            <w:tcW w:w="1355"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重点管理</w:t>
            </w:r>
          </w:p>
        </w:tc>
        <w:tc>
          <w:tcPr>
            <w:tcW w:w="25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40" w:hRule="atLeast"/>
          <w:jc w:val="center"/>
        </w:trPr>
        <w:tc>
          <w:tcPr>
            <w:tcW w:w="1355" w:type="dxa"/>
            <w:vMerge w:val="restart"/>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企业规模</w:t>
            </w:r>
          </w:p>
        </w:tc>
        <w:tc>
          <w:tcPr>
            <w:tcW w:w="516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微型企业</w:t>
            </w:r>
          </w:p>
        </w:tc>
        <w:tc>
          <w:tcPr>
            <w:tcW w:w="25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40" w:hRule="atLeast"/>
          <w:jc w:val="center"/>
        </w:trPr>
        <w:tc>
          <w:tcPr>
            <w:tcW w:w="1355"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16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小型企业</w:t>
            </w:r>
          </w:p>
        </w:tc>
        <w:tc>
          <w:tcPr>
            <w:tcW w:w="25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340" w:hRule="atLeast"/>
          <w:jc w:val="center"/>
        </w:trPr>
        <w:tc>
          <w:tcPr>
            <w:tcW w:w="1355"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16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中型企业</w:t>
            </w:r>
          </w:p>
        </w:tc>
        <w:tc>
          <w:tcPr>
            <w:tcW w:w="25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40" w:hRule="atLeast"/>
          <w:jc w:val="center"/>
        </w:trPr>
        <w:tc>
          <w:tcPr>
            <w:tcW w:w="1355"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16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大型企业</w:t>
            </w:r>
          </w:p>
        </w:tc>
        <w:tc>
          <w:tcPr>
            <w:tcW w:w="25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4</w:t>
            </w:r>
          </w:p>
        </w:tc>
      </w:tr>
      <w:tr>
        <w:trPr>
          <w:trHeight w:val="340" w:hRule="atLeast"/>
          <w:jc w:val="center"/>
        </w:trPr>
        <w:tc>
          <w:tcPr>
            <w:tcW w:w="1355" w:type="dxa"/>
            <w:vMerge w:val="restart"/>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污染物类别</w:t>
            </w:r>
          </w:p>
        </w:tc>
        <w:tc>
          <w:tcPr>
            <w:tcW w:w="5168" w:type="dxa"/>
            <w:vAlign w:val="center"/>
          </w:tcPr>
          <w:p>
            <w:pPr>
              <w:shd w:val="clear" w:color="auto" w:fill="auto"/>
              <w:wordWrap/>
              <w:adjustRightInd/>
              <w:snapToGrid/>
              <w:spacing w:before="0" w:beforeAutospacing="0" w:after="0" w:afterAutospacing="0" w:line="340" w:lineRule="exact"/>
              <w:ind w:left="0" w:right="0" w:firstLine="210" w:firstLineChars="100"/>
              <w:jc w:val="left"/>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 xml:space="preserve">一般工业废气/生活废水 </w:t>
            </w:r>
            <w:r>
              <w:rPr>
                <w:rFonts w:hint="eastAsia" w:ascii="Times New Roman" w:hAnsi="Times New Roman" w:cs="Times New Roman"/>
                <w:color w:val="auto"/>
                <w:sz w:val="20"/>
                <w:szCs w:val="20"/>
                <w:shd w:val="clear" w:color="auto" w:fill="auto"/>
                <w:lang w:val="en-US" w:eastAsia="zh-CN"/>
              </w:rPr>
              <w:t>/规模以下畜禽养殖废水</w:t>
            </w:r>
          </w:p>
        </w:tc>
        <w:tc>
          <w:tcPr>
            <w:tcW w:w="25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55" w:type="dxa"/>
            <w:vMerge w:val="continue"/>
            <w:vAlign w:val="center"/>
          </w:tcPr>
          <w:p>
            <w:pPr>
              <w:shd w:val="clear" w:color="auto" w:fill="auto"/>
              <w:wordWrap/>
              <w:adjustRightInd/>
              <w:snapToGrid w:val="0"/>
              <w:spacing w:before="0" w:beforeAutospacing="0" w:after="0" w:afterAutospacing="0" w:line="340" w:lineRule="exact"/>
              <w:ind w:left="0" w:right="0" w:firstLine="420"/>
              <w:jc w:val="center"/>
              <w:textAlignment w:val="auto"/>
              <w:rPr>
                <w:rFonts w:hint="default" w:ascii="Times New Roman" w:hAnsi="Times New Roman" w:cs="Times New Roman"/>
                <w:color w:val="auto"/>
                <w:sz w:val="20"/>
                <w:szCs w:val="20"/>
                <w:shd w:val="clear" w:color="auto" w:fill="auto"/>
              </w:rPr>
            </w:pPr>
          </w:p>
        </w:tc>
        <w:tc>
          <w:tcPr>
            <w:tcW w:w="516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 xml:space="preserve">服务业废水 </w:t>
            </w:r>
            <w:r>
              <w:rPr>
                <w:rFonts w:hint="eastAsia" w:ascii="Times New Roman" w:hAnsi="Times New Roman" w:cs="Times New Roman"/>
                <w:color w:val="auto"/>
                <w:sz w:val="20"/>
                <w:szCs w:val="20"/>
                <w:shd w:val="clear" w:color="auto" w:fill="auto"/>
                <w:lang w:val="en-US" w:eastAsia="zh-CN"/>
              </w:rPr>
              <w:t>/规模化畜禽养殖废水</w:t>
            </w:r>
            <w:r>
              <w:rPr>
                <w:rFonts w:hint="default" w:ascii="Times New Roman" w:hAnsi="Times New Roman" w:cs="Times New Roman"/>
                <w:color w:val="auto"/>
                <w:sz w:val="20"/>
                <w:szCs w:val="20"/>
                <w:shd w:val="clear" w:color="auto" w:fill="auto"/>
              </w:rPr>
              <w:t>/燃煤锅炉废</w:t>
            </w:r>
            <w:r>
              <w:rPr>
                <w:rFonts w:hint="default" w:ascii="Times New Roman" w:hAnsi="Times New Roman" w:cs="Times New Roman"/>
                <w:color w:val="auto"/>
                <w:sz w:val="20"/>
                <w:szCs w:val="20"/>
                <w:shd w:val="clear" w:color="auto" w:fill="auto"/>
                <w:lang w:eastAsia="zh-CN"/>
              </w:rPr>
              <w:t>气</w:t>
            </w:r>
          </w:p>
        </w:tc>
        <w:tc>
          <w:tcPr>
            <w:tcW w:w="25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40" w:hRule="atLeast"/>
          <w:jc w:val="center"/>
        </w:trPr>
        <w:tc>
          <w:tcPr>
            <w:tcW w:w="1355" w:type="dxa"/>
            <w:vMerge w:val="continue"/>
            <w:vAlign w:val="center"/>
          </w:tcPr>
          <w:p>
            <w:pPr>
              <w:shd w:val="clear" w:color="auto" w:fill="auto"/>
              <w:wordWrap/>
              <w:adjustRightInd/>
              <w:snapToGrid w:val="0"/>
              <w:spacing w:before="0" w:beforeAutospacing="0" w:after="0" w:afterAutospacing="0" w:line="340" w:lineRule="exact"/>
              <w:ind w:left="0" w:right="0" w:firstLine="420"/>
              <w:jc w:val="center"/>
              <w:textAlignment w:val="auto"/>
              <w:rPr>
                <w:rFonts w:hint="default" w:ascii="Times New Roman" w:hAnsi="Times New Roman" w:cs="Times New Roman"/>
                <w:color w:val="auto"/>
                <w:sz w:val="20"/>
                <w:szCs w:val="20"/>
                <w:shd w:val="clear" w:color="auto" w:fill="auto"/>
              </w:rPr>
            </w:pPr>
          </w:p>
        </w:tc>
        <w:tc>
          <w:tcPr>
            <w:tcW w:w="5168" w:type="dxa"/>
            <w:vAlign w:val="center"/>
          </w:tcPr>
          <w:p>
            <w:pPr>
              <w:shd w:val="clear" w:color="auto" w:fill="auto"/>
              <w:wordWrap/>
              <w:adjustRightInd/>
              <w:snapToGrid w:val="0"/>
              <w:spacing w:before="0" w:beforeAutospacing="0" w:after="0" w:afterAutospacing="0" w:line="340" w:lineRule="exact"/>
              <w:ind w:left="0" w:right="0"/>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火电、钢铁、石化、水泥、炼焦、有色、化工废气、烟尘</w:t>
            </w:r>
            <w:r>
              <w:rPr>
                <w:rFonts w:hint="default"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rPr>
              <w:t>一般工业废水</w:t>
            </w:r>
          </w:p>
        </w:tc>
        <w:tc>
          <w:tcPr>
            <w:tcW w:w="25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355" w:type="dxa"/>
            <w:vMerge w:val="continue"/>
            <w:vAlign w:val="center"/>
          </w:tcPr>
          <w:p>
            <w:pPr>
              <w:shd w:val="clear" w:color="auto" w:fill="auto"/>
              <w:wordWrap/>
              <w:adjustRightInd/>
              <w:snapToGrid w:val="0"/>
              <w:spacing w:before="0" w:beforeAutospacing="0" w:after="0" w:afterAutospacing="0" w:line="340" w:lineRule="exact"/>
              <w:ind w:left="0" w:right="0" w:firstLine="420"/>
              <w:jc w:val="center"/>
              <w:textAlignment w:val="auto"/>
              <w:rPr>
                <w:rFonts w:hint="default" w:ascii="Times New Roman" w:hAnsi="Times New Roman" w:cs="Times New Roman"/>
                <w:color w:val="auto"/>
                <w:sz w:val="20"/>
                <w:szCs w:val="20"/>
                <w:shd w:val="clear" w:color="auto" w:fill="auto"/>
              </w:rPr>
            </w:pPr>
          </w:p>
        </w:tc>
        <w:tc>
          <w:tcPr>
            <w:tcW w:w="516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含其他有毒有害物质的废水、医疗废水</w:t>
            </w:r>
          </w:p>
        </w:tc>
        <w:tc>
          <w:tcPr>
            <w:tcW w:w="25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40" w:hRule="atLeast"/>
          <w:jc w:val="center"/>
        </w:trPr>
        <w:tc>
          <w:tcPr>
            <w:tcW w:w="1355" w:type="dxa"/>
            <w:vMerge w:val="continue"/>
            <w:vAlign w:val="center"/>
          </w:tcPr>
          <w:p>
            <w:pPr>
              <w:shd w:val="clear" w:color="auto" w:fill="auto"/>
              <w:wordWrap/>
              <w:adjustRightInd/>
              <w:snapToGrid w:val="0"/>
              <w:spacing w:before="0" w:beforeAutospacing="0" w:after="0" w:afterAutospacing="0" w:line="340" w:lineRule="exact"/>
              <w:ind w:left="0" w:right="0" w:firstLine="420"/>
              <w:jc w:val="center"/>
              <w:textAlignment w:val="auto"/>
              <w:rPr>
                <w:rFonts w:hint="default" w:ascii="Times New Roman" w:hAnsi="Times New Roman" w:cs="Times New Roman"/>
                <w:color w:val="auto"/>
                <w:sz w:val="20"/>
                <w:szCs w:val="20"/>
                <w:shd w:val="clear" w:color="auto" w:fill="auto"/>
              </w:rPr>
            </w:pPr>
          </w:p>
        </w:tc>
        <w:tc>
          <w:tcPr>
            <w:tcW w:w="5168" w:type="dxa"/>
            <w:vAlign w:val="center"/>
          </w:tcPr>
          <w:p>
            <w:pPr>
              <w:shd w:val="clear" w:color="auto" w:fill="auto"/>
              <w:wordWrap/>
              <w:adjustRightInd/>
              <w:snapToGrid/>
              <w:spacing w:before="0" w:beforeAutospacing="0" w:after="0" w:afterAutospacing="0" w:line="340" w:lineRule="exact"/>
              <w:ind w:left="0" w:right="0"/>
              <w:jc w:val="left"/>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含有毒有害物质的废气/含一类污染物或重金属、病原体、放射性物质的废水</w:t>
            </w:r>
          </w:p>
        </w:tc>
        <w:tc>
          <w:tcPr>
            <w:tcW w:w="25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55" w:type="dxa"/>
            <w:vMerge w:val="restart"/>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持续时间</w:t>
            </w:r>
          </w:p>
        </w:tc>
        <w:tc>
          <w:tcPr>
            <w:tcW w:w="516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w:t>
            </w:r>
            <w:r>
              <w:rPr>
                <w:rFonts w:hint="default" w:ascii="Times New Roman" w:hAnsi="Times New Roman" w:cs="Times New Roman"/>
                <w:color w:val="auto"/>
                <w:sz w:val="20"/>
                <w:szCs w:val="20"/>
                <w:shd w:val="clear" w:color="auto" w:fill="auto"/>
                <w:lang w:val="en-US"/>
              </w:rPr>
              <w:t>以下</w:t>
            </w:r>
            <w:r>
              <w:rPr>
                <w:rFonts w:hint="default" w:ascii="Times New Roman" w:hAnsi="Times New Roman" w:cs="Times New Roman"/>
                <w:color w:val="auto"/>
                <w:sz w:val="20"/>
                <w:szCs w:val="20"/>
                <w:shd w:val="clear" w:color="auto" w:fill="auto"/>
              </w:rPr>
              <w:t>的</w:t>
            </w:r>
          </w:p>
        </w:tc>
        <w:tc>
          <w:tcPr>
            <w:tcW w:w="25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55" w:type="dxa"/>
            <w:vMerge w:val="continue"/>
            <w:vAlign w:val="center"/>
          </w:tcPr>
          <w:p>
            <w:pPr>
              <w:shd w:val="clear" w:color="auto" w:fill="auto"/>
              <w:wordWrap/>
              <w:adjustRightInd/>
              <w:snapToGrid w:val="0"/>
              <w:spacing w:before="0" w:beforeAutospacing="0" w:after="0" w:afterAutospacing="0" w:line="340" w:lineRule="exact"/>
              <w:ind w:left="0" w:right="0" w:firstLine="420"/>
              <w:jc w:val="center"/>
              <w:textAlignment w:val="auto"/>
              <w:rPr>
                <w:rFonts w:hint="default" w:ascii="Times New Roman" w:hAnsi="Times New Roman" w:cs="Times New Roman"/>
                <w:color w:val="auto"/>
                <w:sz w:val="20"/>
                <w:szCs w:val="20"/>
                <w:shd w:val="clear" w:color="auto" w:fill="auto"/>
              </w:rPr>
            </w:pPr>
          </w:p>
        </w:tc>
        <w:tc>
          <w:tcPr>
            <w:tcW w:w="516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1个月以上3个月以下的</w:t>
            </w:r>
          </w:p>
        </w:tc>
        <w:tc>
          <w:tcPr>
            <w:tcW w:w="25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40" w:hRule="atLeast"/>
          <w:jc w:val="center"/>
        </w:trPr>
        <w:tc>
          <w:tcPr>
            <w:tcW w:w="1355" w:type="dxa"/>
            <w:vMerge w:val="continue"/>
            <w:vAlign w:val="center"/>
          </w:tcPr>
          <w:p>
            <w:pPr>
              <w:shd w:val="clear" w:color="auto" w:fill="auto"/>
              <w:wordWrap/>
              <w:adjustRightInd/>
              <w:snapToGrid w:val="0"/>
              <w:spacing w:before="0" w:beforeAutospacing="0" w:after="0" w:afterAutospacing="0" w:line="340" w:lineRule="exact"/>
              <w:ind w:left="0" w:right="0" w:firstLine="420"/>
              <w:jc w:val="center"/>
              <w:textAlignment w:val="auto"/>
              <w:rPr>
                <w:rFonts w:hint="default" w:ascii="Times New Roman" w:hAnsi="Times New Roman" w:cs="Times New Roman"/>
                <w:color w:val="auto"/>
                <w:sz w:val="20"/>
                <w:szCs w:val="20"/>
                <w:shd w:val="clear" w:color="auto" w:fill="auto"/>
              </w:rPr>
            </w:pPr>
          </w:p>
        </w:tc>
        <w:tc>
          <w:tcPr>
            <w:tcW w:w="516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3个月以上6个月以下的</w:t>
            </w:r>
          </w:p>
        </w:tc>
        <w:tc>
          <w:tcPr>
            <w:tcW w:w="25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355" w:type="dxa"/>
            <w:vMerge w:val="continue"/>
            <w:vAlign w:val="center"/>
          </w:tcPr>
          <w:p>
            <w:pPr>
              <w:shd w:val="clear" w:color="auto" w:fill="auto"/>
              <w:wordWrap/>
              <w:adjustRightInd/>
              <w:snapToGrid w:val="0"/>
              <w:spacing w:before="0" w:beforeAutospacing="0" w:after="0" w:afterAutospacing="0" w:line="340" w:lineRule="exact"/>
              <w:ind w:left="0" w:right="0" w:firstLine="420"/>
              <w:jc w:val="center"/>
              <w:textAlignment w:val="auto"/>
              <w:rPr>
                <w:rFonts w:hint="default" w:ascii="Times New Roman" w:hAnsi="Times New Roman" w:cs="Times New Roman"/>
                <w:color w:val="auto"/>
                <w:sz w:val="20"/>
                <w:szCs w:val="20"/>
                <w:shd w:val="clear" w:color="auto" w:fill="auto"/>
              </w:rPr>
            </w:pPr>
          </w:p>
        </w:tc>
        <w:tc>
          <w:tcPr>
            <w:tcW w:w="516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6个月以上1年以下的</w:t>
            </w:r>
          </w:p>
        </w:tc>
        <w:tc>
          <w:tcPr>
            <w:tcW w:w="25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40" w:hRule="atLeast"/>
          <w:jc w:val="center"/>
        </w:trPr>
        <w:tc>
          <w:tcPr>
            <w:tcW w:w="1355" w:type="dxa"/>
            <w:vMerge w:val="continue"/>
            <w:vAlign w:val="center"/>
          </w:tcPr>
          <w:p>
            <w:pPr>
              <w:shd w:val="clear" w:color="auto" w:fill="auto"/>
              <w:wordWrap/>
              <w:adjustRightInd/>
              <w:snapToGrid w:val="0"/>
              <w:spacing w:before="0" w:beforeAutospacing="0" w:after="0" w:afterAutospacing="0" w:line="340" w:lineRule="exact"/>
              <w:ind w:left="0" w:right="0" w:firstLine="420"/>
              <w:jc w:val="center"/>
              <w:textAlignment w:val="auto"/>
              <w:rPr>
                <w:rFonts w:hint="default" w:ascii="Times New Roman" w:hAnsi="Times New Roman" w:cs="Times New Roman"/>
                <w:color w:val="auto"/>
                <w:sz w:val="20"/>
                <w:szCs w:val="20"/>
                <w:shd w:val="clear" w:color="auto" w:fill="auto"/>
              </w:rPr>
            </w:pPr>
          </w:p>
        </w:tc>
        <w:tc>
          <w:tcPr>
            <w:tcW w:w="516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1年以上的</w:t>
            </w:r>
          </w:p>
        </w:tc>
        <w:tc>
          <w:tcPr>
            <w:tcW w:w="25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55" w:type="dxa"/>
            <w:vMerge w:val="restart"/>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168"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color w:val="auto"/>
                <w:kern w:val="2"/>
                <w:sz w:val="21"/>
                <w:szCs w:val="21"/>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5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40" w:hRule="atLeast"/>
          <w:jc w:val="center"/>
        </w:trPr>
        <w:tc>
          <w:tcPr>
            <w:tcW w:w="1355"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16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5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40" w:hRule="atLeast"/>
          <w:jc w:val="center"/>
        </w:trPr>
        <w:tc>
          <w:tcPr>
            <w:tcW w:w="1355"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5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40" w:hRule="atLeast"/>
          <w:jc w:val="center"/>
        </w:trPr>
        <w:tc>
          <w:tcPr>
            <w:tcW w:w="1355"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68"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537"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69" w:hRule="atLeast"/>
          <w:jc w:val="center"/>
        </w:trPr>
        <w:tc>
          <w:tcPr>
            <w:tcW w:w="1355"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51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53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355"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3</w:t>
            </w:r>
          </w:p>
        </w:tc>
      </w:tr>
      <w:tr>
        <w:trPr>
          <w:trHeight w:val="369"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369" w:hRule="atLeast"/>
          <w:jc w:val="center"/>
        </w:trPr>
        <w:tc>
          <w:tcPr>
            <w:tcW w:w="1355"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16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53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5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05"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pacing w:line="590" w:lineRule="exact"/>
        <w:ind w:firstLine="0" w:firstLineChars="0"/>
        <w:outlineLvl w:val="9"/>
        <w:rPr>
          <w:rFonts w:ascii="Times New Roman" w:hAnsi="Times New Roman" w:eastAsia="方正楷体_GBK" w:cs="Times New Roman"/>
          <w:bCs/>
          <w:color w:val="auto"/>
          <w:sz w:val="32"/>
          <w:szCs w:val="32"/>
          <w:shd w:val="clear" w:color="auto" w:fill="auto"/>
        </w:rPr>
      </w:pPr>
    </w:p>
    <w:p>
      <w:pPr>
        <w:shd w:val="clear" w:color="auto" w:fill="auto"/>
        <w:rPr>
          <w:rFonts w:ascii="Times New Roman" w:hAnsi="Times New Roman" w:cs="Times New Roman"/>
          <w:color w:val="auto"/>
          <w:shd w:val="clear" w:color="auto" w:fill="auto"/>
        </w:rPr>
      </w:pPr>
    </w:p>
    <w:p>
      <w:pPr>
        <w:shd w:val="clear" w:color="auto" w:fill="auto"/>
        <w:spacing w:line="590" w:lineRule="exact"/>
        <w:ind w:firstLine="0" w:firstLineChars="0"/>
        <w:outlineLvl w:val="9"/>
        <w:rPr>
          <w:rFonts w:ascii="Times New Roman" w:hAnsi="Times New Roman" w:eastAsia="方正楷体_GBK" w:cs="Times New Roman"/>
          <w:bCs/>
          <w:color w:val="auto"/>
          <w:sz w:val="32"/>
          <w:szCs w:val="32"/>
          <w:shd w:val="clear" w:color="auto" w:fill="auto"/>
        </w:rPr>
      </w:pPr>
    </w:p>
    <w:p>
      <w:pPr>
        <w:shd w:val="clear" w:color="auto" w:fill="auto"/>
        <w:spacing w:line="200" w:lineRule="exact"/>
        <w:ind w:firstLine="640" w:firstLineChars="200"/>
        <w:outlineLvl w:val="9"/>
        <w:rPr>
          <w:rFonts w:ascii="Times New Roman" w:hAnsi="Times New Roman" w:eastAsia="方正楷体_GBK" w:cs="Times New Roman"/>
          <w:bCs/>
          <w:color w:val="auto"/>
          <w:sz w:val="32"/>
          <w:szCs w:val="32"/>
          <w:shd w:val="clear" w:color="auto" w:fill="auto"/>
        </w:rPr>
      </w:pPr>
      <w:r>
        <w:rPr>
          <w:rFonts w:ascii="Times New Roman" w:hAnsi="Times New Roman" w:eastAsia="方正楷体_GBK" w:cs="Times New Roman"/>
          <w:bCs/>
          <w:color w:val="auto"/>
          <w:sz w:val="32"/>
          <w:szCs w:val="32"/>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5021"/>
        <w:gridCol w:w="2649"/>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九</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排污许可管理类</w:t>
            </w:r>
          </w:p>
        </w:tc>
      </w:tr>
      <w:tr>
        <w:trPr>
          <w:trHeight w:val="397"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70" w:type="dxa"/>
            <w:gridSpan w:val="2"/>
            <w:vAlign w:val="center"/>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cs="Times New Roman"/>
                <w:color w:val="auto"/>
                <w:sz w:val="20"/>
                <w:szCs w:val="20"/>
                <w:shd w:val="clear" w:color="auto" w:fill="auto"/>
              </w:rPr>
            </w:pPr>
            <w:bookmarkStart w:id="435" w:name="_Toc15142"/>
            <w:r>
              <w:rPr>
                <w:rFonts w:hint="default" w:ascii="Times New Roman" w:hAnsi="Times New Roman" w:cs="Times New Roman"/>
                <w:color w:val="auto"/>
                <w:sz w:val="20"/>
                <w:szCs w:val="20"/>
                <w:shd w:val="clear" w:color="auto" w:fill="auto"/>
              </w:rPr>
              <w:t>15</w:t>
            </w:r>
            <w:bookmarkEnd w:id="435"/>
          </w:p>
        </w:tc>
      </w:tr>
      <w:tr>
        <w:trPr>
          <w:trHeight w:val="397"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70" w:type="dxa"/>
            <w:gridSpan w:val="2"/>
            <w:vAlign w:val="top"/>
          </w:tcPr>
          <w:p>
            <w:pPr>
              <w:shd w:val="clear" w:color="auto" w:fill="auto"/>
              <w:snapToGrid w:val="0"/>
              <w:spacing w:before="0" w:beforeAutospacing="0" w:after="0" w:afterAutospacing="0" w:line="320" w:lineRule="exact"/>
              <w:ind w:left="0" w:right="0" w:firstLine="420" w:firstLineChars="200"/>
              <w:outlineLvl w:val="0"/>
              <w:rPr>
                <w:rFonts w:hint="default" w:ascii="Times New Roman" w:hAnsi="Times New Roman" w:eastAsia="宋体" w:cs="Times New Roman"/>
                <w:color w:val="auto"/>
                <w:sz w:val="20"/>
                <w:szCs w:val="20"/>
                <w:shd w:val="clear" w:color="auto" w:fill="auto"/>
                <w:lang w:eastAsia="zh-CN"/>
              </w:rPr>
            </w:pPr>
            <w:bookmarkStart w:id="436" w:name="_Toc9053"/>
            <w:r>
              <w:rPr>
                <w:rFonts w:hint="default" w:ascii="Times New Roman" w:hAnsi="Times New Roman" w:cs="Times New Roman"/>
                <w:color w:val="auto"/>
                <w:sz w:val="20"/>
                <w:szCs w:val="20"/>
                <w:shd w:val="clear" w:color="auto" w:fill="auto"/>
              </w:rPr>
              <w:t>发现污染物排放自动监测设备传输数据异常或者污染物排放超过污染物排放标准等异常情况不报告</w:t>
            </w:r>
            <w:r>
              <w:rPr>
                <w:rFonts w:hint="default" w:ascii="Times New Roman" w:hAnsi="Times New Roman" w:cs="Times New Roman"/>
                <w:color w:val="auto"/>
                <w:sz w:val="20"/>
                <w:szCs w:val="20"/>
                <w:shd w:val="clear" w:color="auto" w:fill="auto"/>
                <w:lang w:eastAsia="zh-CN"/>
              </w:rPr>
              <w:t>的</w:t>
            </w:r>
            <w:bookmarkEnd w:id="436"/>
          </w:p>
        </w:tc>
      </w:tr>
      <w:tr>
        <w:trPr>
          <w:trHeight w:val="397"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70" w:type="dxa"/>
            <w:gridSpan w:val="2"/>
            <w:vAlign w:val="top"/>
          </w:tcPr>
          <w:p>
            <w:pPr>
              <w:shd w:val="clear" w:color="auto" w:fill="auto"/>
              <w:spacing w:before="0" w:beforeAutospacing="0" w:after="0" w:afterAutospacing="0" w:line="320" w:lineRule="exact"/>
              <w:ind w:left="0" w:right="0" w:firstLine="422" w:firstLineChars="200"/>
              <w:rPr>
                <w:rFonts w:hint="default" w:ascii="Times New Roman" w:hAnsi="Times New Roman" w:cs="Times New Roman"/>
                <w:color w:val="auto"/>
                <w:sz w:val="20"/>
                <w:szCs w:val="21"/>
                <w:shd w:val="clear" w:color="auto" w:fill="auto"/>
              </w:rPr>
            </w:pPr>
            <w:r>
              <w:rPr>
                <w:rFonts w:hint="default" w:ascii="Times New Roman" w:hAnsi="Times New Roman" w:cs="Times New Roman"/>
                <w:b/>
                <w:bCs/>
                <w:color w:val="auto"/>
                <w:kern w:val="0"/>
                <w:sz w:val="20"/>
                <w:szCs w:val="20"/>
                <w:shd w:val="clear" w:color="auto" w:fill="auto"/>
              </w:rPr>
              <w:t>《排污许可管理条例》</w:t>
            </w:r>
            <w:r>
              <w:rPr>
                <w:rFonts w:hint="default" w:ascii="Times New Roman" w:hAnsi="Times New Roman" w:cs="Times New Roman"/>
                <w:b/>
                <w:bCs/>
                <w:color w:val="auto"/>
                <w:sz w:val="20"/>
                <w:szCs w:val="21"/>
                <w:shd w:val="clear" w:color="auto" w:fill="auto"/>
              </w:rPr>
              <w:t>第二十条第二款</w:t>
            </w:r>
            <w:r>
              <w:rPr>
                <w:rFonts w:hint="default" w:ascii="Times New Roman" w:hAnsi="Times New Roman" w:cs="Times New Roman"/>
                <w:color w:val="auto"/>
                <w:sz w:val="20"/>
                <w:szCs w:val="21"/>
                <w:shd w:val="clear" w:color="auto" w:fill="auto"/>
              </w:rPr>
              <w:t xml:space="preserve"> 排污单位发现污染物排放自动监测设备传输数据异常的，应当及时报告生态环境主管部门，并进行检查、修复。</w:t>
            </w:r>
          </w:p>
          <w:p>
            <w:pPr>
              <w:shd w:val="clear" w:color="auto" w:fill="auto"/>
              <w:spacing w:before="0" w:beforeAutospacing="0" w:after="0" w:afterAutospacing="0" w:line="320" w:lineRule="exact"/>
              <w:ind w:left="0" w:right="0" w:firstLine="422" w:firstLineChars="200"/>
              <w:rPr>
                <w:rFonts w:hint="default" w:ascii="Times New Roman" w:hAnsi="Times New Roman" w:cs="Times New Roman"/>
                <w:color w:val="auto"/>
                <w:sz w:val="20"/>
                <w:szCs w:val="21"/>
                <w:shd w:val="clear" w:color="auto" w:fill="auto"/>
              </w:rPr>
            </w:pPr>
            <w:r>
              <w:rPr>
                <w:rFonts w:hint="default" w:ascii="Times New Roman" w:hAnsi="Times New Roman" w:cs="Times New Roman"/>
                <w:b/>
                <w:bCs/>
                <w:color w:val="auto"/>
                <w:kern w:val="0"/>
                <w:sz w:val="20"/>
                <w:szCs w:val="20"/>
                <w:shd w:val="clear" w:color="auto" w:fill="auto"/>
              </w:rPr>
              <w:t>《排污许可管理条例》</w:t>
            </w:r>
            <w:r>
              <w:rPr>
                <w:rFonts w:hint="default" w:ascii="Times New Roman" w:hAnsi="Times New Roman" w:cs="Times New Roman"/>
                <w:b/>
                <w:bCs/>
                <w:color w:val="auto"/>
                <w:sz w:val="20"/>
                <w:szCs w:val="21"/>
                <w:shd w:val="clear" w:color="auto" w:fill="auto"/>
              </w:rPr>
              <w:t>第二十一条第二款</w:t>
            </w:r>
            <w:r>
              <w:rPr>
                <w:rFonts w:hint="default" w:ascii="Times New Roman" w:hAnsi="Times New Roman" w:cs="Times New Roman"/>
                <w:color w:val="auto"/>
                <w:sz w:val="20"/>
                <w:szCs w:val="21"/>
                <w:shd w:val="clear" w:color="auto" w:fill="auto"/>
              </w:rPr>
              <w:t xml:space="preserve"> 排污单位发现污染物排放超过污染物排放标准等异常情况时，应当立即采取措施消除、减轻危害后果，如实进行环境管理台账记录，并报告生态环境主管部门，说明原因。超过污染物排放标准等异常情况下的污染物排放计入排污单位的污染物排放量。</w:t>
            </w:r>
          </w:p>
        </w:tc>
      </w:tr>
      <w:tr>
        <w:trPr>
          <w:trHeight w:val="1616"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70" w:type="dxa"/>
            <w:gridSpan w:val="2"/>
            <w:vAlign w:val="top"/>
          </w:tcPr>
          <w:p>
            <w:pPr>
              <w:widowControl/>
              <w:shd w:val="clear" w:color="auto" w:fill="auto"/>
              <w:snapToGrid w:val="0"/>
              <w:spacing w:before="0" w:beforeAutospacing="0" w:after="0" w:afterAutospacing="0" w:line="320" w:lineRule="exact"/>
              <w:ind w:left="0" w:right="0" w:firstLine="422" w:firstLineChars="20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《排污许可管理条例》第三十六条第八项</w:t>
            </w:r>
            <w:r>
              <w:rPr>
                <w:rFonts w:hint="default" w:ascii="Times New Roman" w:hAnsi="Times New Roman" w:cs="Times New Roman"/>
                <w:color w:val="auto"/>
                <w:kern w:val="0"/>
                <w:sz w:val="20"/>
                <w:szCs w:val="20"/>
                <w:shd w:val="clear" w:color="auto" w:fill="auto"/>
              </w:rPr>
              <w:t xml:space="preserve"> 违反本条例规定，排污单位有下列行为之一的，由生态环境主管部门责令改正，处2万元以上20万元以下的罚款；拒不改正的，责令停产整治：</w:t>
            </w:r>
          </w:p>
          <w:p>
            <w:pPr>
              <w:pStyle w:val="19"/>
              <w:shd w:val="clear" w:color="auto" w:fill="auto"/>
              <w:snapToGrid w:val="0"/>
              <w:spacing w:before="0" w:beforeAutospacing="0" w:after="0" w:afterAutospacing="0" w:line="320" w:lineRule="exact"/>
              <w:ind w:left="0" w:right="0" w:firstLine="482"/>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（八）发现污染物排放自动监测设备传输数据异常或者污染物排放超过污染物排放标准等异常情况不报告；</w:t>
            </w:r>
          </w:p>
        </w:tc>
      </w:tr>
      <w:tr>
        <w:trPr>
          <w:trHeight w:val="510"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510"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rPr>
              <w:t>★违</w:t>
            </w:r>
            <w:r>
              <w:rPr>
                <w:rFonts w:hint="default" w:ascii="Times New Roman" w:hAnsi="Times New Roman" w:cs="Times New Roman"/>
                <w:b/>
                <w:bCs/>
                <w:color w:val="auto"/>
                <w:sz w:val="20"/>
                <w:szCs w:val="20"/>
                <w:shd w:val="clear" w:color="auto" w:fill="auto"/>
                <w:lang w:val="en-US"/>
              </w:rPr>
              <w:t>法事实</w:t>
            </w:r>
          </w:p>
        </w:tc>
        <w:tc>
          <w:tcPr>
            <w:tcW w:w="5021" w:type="dxa"/>
            <w:vAlign w:val="center"/>
          </w:tcPr>
          <w:p>
            <w:pPr>
              <w:pStyle w:val="18"/>
              <w:shd w:val="clear" w:color="auto" w:fill="auto"/>
              <w:snapToGrid w:val="0"/>
              <w:spacing w:before="0" w:beforeAutospacing="0" w:after="0" w:afterAutospacing="0" w:line="320" w:lineRule="exact"/>
              <w:ind w:left="0" w:right="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发现污染物排放自动监测设备传输数据异常或者污染物排放超过污染物排放标准等异常情况6小时以上12小时以下未报告的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510"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发现污染物排放自动监测设备传输数据异常或者污染物排放超过污染物排放标准等异常情况12小时以上24小时以下未报告的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510"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发现污染物排放自动监测设备传输数据异常或者污染物排放超过污染物排放标准等异常情况24小时以上36小时以下未报告的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510"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发现污染物排放自动监测设备传输数据异常或者污染物排放超过污染物排放标准等异常情况36小时以上48小时以下未报告的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510"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发现污染物排放自动监测设备传输数据异常或者污染物排放超过污染物排放标准等异常情况48小时以</w:t>
            </w:r>
            <w:r>
              <w:rPr>
                <w:rFonts w:hint="default" w:ascii="Times New Roman" w:hAnsi="Times New Roman" w:cs="Times New Roman"/>
                <w:color w:val="auto"/>
                <w:sz w:val="21"/>
                <w:szCs w:val="21"/>
                <w:shd w:val="clear" w:color="auto" w:fill="auto"/>
                <w:lang w:val="en-US"/>
              </w:rPr>
              <w:t>上</w:t>
            </w:r>
            <w:r>
              <w:rPr>
                <w:rFonts w:hint="default" w:ascii="Times New Roman" w:hAnsi="Times New Roman" w:cs="Times New Roman"/>
                <w:color w:val="auto"/>
                <w:sz w:val="21"/>
                <w:szCs w:val="21"/>
                <w:shd w:val="clear" w:color="auto" w:fill="auto"/>
              </w:rPr>
              <w:t>未报告的</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510"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发生时段</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0"/>
                <w:shd w:val="clear" w:color="auto" w:fill="auto"/>
              </w:rPr>
              <w:t>一般期间</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510" w:hRule="atLeast"/>
          <w:jc w:val="center"/>
        </w:trPr>
        <w:tc>
          <w:tcPr>
            <w:tcW w:w="1390"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0"/>
                <w:shd w:val="clear" w:color="auto" w:fill="auto"/>
              </w:rPr>
              <w:t>重污染天气黄色预警期间</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510" w:hRule="atLeast"/>
          <w:jc w:val="center"/>
        </w:trPr>
        <w:tc>
          <w:tcPr>
            <w:tcW w:w="1390"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0"/>
                <w:shd w:val="clear" w:color="auto" w:fill="auto"/>
              </w:rPr>
              <w:t>重污染天气橙色预警期间</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510" w:hRule="atLeast"/>
          <w:jc w:val="center"/>
        </w:trPr>
        <w:tc>
          <w:tcPr>
            <w:tcW w:w="1390"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0"/>
                <w:shd w:val="clear" w:color="auto" w:fill="auto"/>
              </w:rPr>
              <w:t>重污染天气红色预警期间</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510" w:hRule="atLeast"/>
          <w:jc w:val="center"/>
        </w:trPr>
        <w:tc>
          <w:tcPr>
            <w:tcW w:w="1390"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0"/>
                <w:shd w:val="clear" w:color="auto" w:fill="auto"/>
              </w:rPr>
              <w:t>特殊或重大活动期间</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523"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污染物类别</w:t>
            </w:r>
          </w:p>
        </w:tc>
        <w:tc>
          <w:tcPr>
            <w:tcW w:w="5021"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农业生产、畜禽养殖废气/工业扬尘废气/机械、汽车修理废气/生活废水</w:t>
            </w:r>
            <w:r>
              <w:rPr>
                <w:rFonts w:hint="eastAsia" w:ascii="Times New Roman" w:hAnsi="Times New Roman" w:cs="Times New Roman"/>
                <w:color w:val="auto"/>
                <w:sz w:val="20"/>
                <w:szCs w:val="20"/>
                <w:shd w:val="clear" w:color="auto" w:fill="auto"/>
                <w:lang w:val="en-US" w:eastAsia="zh-CN"/>
              </w:rPr>
              <w:t>/规模以下畜禽养殖废水</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122"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 xml:space="preserve">服务业废水 </w:t>
            </w:r>
            <w:r>
              <w:rPr>
                <w:rFonts w:hint="eastAsia" w:ascii="Times New Roman" w:hAnsi="Times New Roman" w:cs="Times New Roman"/>
                <w:color w:val="auto"/>
                <w:sz w:val="20"/>
                <w:szCs w:val="20"/>
                <w:shd w:val="clear" w:color="auto" w:fill="auto"/>
                <w:lang w:val="en-US" w:eastAsia="zh-CN"/>
              </w:rPr>
              <w:t>/规模化畜禽养殖废水</w:t>
            </w:r>
            <w:r>
              <w:rPr>
                <w:rFonts w:hint="default" w:ascii="Times New Roman" w:hAnsi="Times New Roman" w:cs="Times New Roman"/>
                <w:color w:val="auto"/>
                <w:sz w:val="20"/>
                <w:szCs w:val="20"/>
                <w:shd w:val="clear" w:color="auto" w:fill="auto"/>
              </w:rPr>
              <w:t>/燃煤锅炉废气</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172"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一般工业废气/含恶臭污染物的废气/医疗废气/实验室废气/一般工业废水</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86"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火电、钢铁、石化、水泥、炼焦、有色、化工废气、烟尘/含其他有毒有害物质的废水、医疗废水</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165"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含有毒有害物质的废气/含一类污染物或重金属、病原体、放射性物质的废水</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165"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165"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165"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165"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165"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管理类别</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简化管理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165"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重点管理</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92" w:hRule="atLeast"/>
          <w:jc w:val="center"/>
        </w:trPr>
        <w:tc>
          <w:tcPr>
            <w:tcW w:w="1390"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改正时间</w:t>
            </w:r>
          </w:p>
        </w:tc>
        <w:tc>
          <w:tcPr>
            <w:tcW w:w="5021"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2" w:hRule="atLeast"/>
          <w:jc w:val="center"/>
        </w:trPr>
        <w:tc>
          <w:tcPr>
            <w:tcW w:w="1390"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2" w:hRule="atLeast"/>
          <w:jc w:val="center"/>
        </w:trPr>
        <w:tc>
          <w:tcPr>
            <w:tcW w:w="1390"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92" w:hRule="atLeast"/>
          <w:jc w:val="center"/>
        </w:trPr>
        <w:tc>
          <w:tcPr>
            <w:tcW w:w="1390"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2"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502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两年内受到同类处罚1次</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两年内受到同类处罚2次以上</w:t>
            </w:r>
          </w:p>
        </w:tc>
        <w:tc>
          <w:tcPr>
            <w:tcW w:w="264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90"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90"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p>
        </w:tc>
        <w:tc>
          <w:tcPr>
            <w:tcW w:w="502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64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9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70"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pacing w:line="590" w:lineRule="exact"/>
        <w:ind w:firstLine="0" w:firstLineChars="0"/>
        <w:outlineLvl w:val="9"/>
        <w:rPr>
          <w:rFonts w:ascii="Times New Roman" w:hAnsi="Times New Roman" w:eastAsia="方正楷体_GBK" w:cs="Times New Roman"/>
          <w:bCs/>
          <w:color w:val="auto"/>
          <w:sz w:val="32"/>
          <w:szCs w:val="32"/>
          <w:shd w:val="clear" w:color="auto" w:fill="auto"/>
        </w:rPr>
      </w:pPr>
    </w:p>
    <w:p>
      <w:pPr>
        <w:shd w:val="clear" w:color="auto" w:fill="auto"/>
        <w:spacing w:line="200" w:lineRule="exact"/>
        <w:ind w:firstLine="640" w:firstLineChars="200"/>
        <w:outlineLvl w:val="9"/>
        <w:rPr>
          <w:rFonts w:ascii="Times New Roman" w:hAnsi="Times New Roman" w:eastAsia="方正楷体_GBK" w:cs="Times New Roman"/>
          <w:bCs/>
          <w:color w:val="auto"/>
          <w:sz w:val="32"/>
          <w:szCs w:val="32"/>
          <w:shd w:val="clear" w:color="auto" w:fill="auto"/>
        </w:rPr>
      </w:pPr>
      <w:r>
        <w:rPr>
          <w:rFonts w:ascii="Times New Roman" w:hAnsi="Times New Roman" w:eastAsia="方正楷体_GBK" w:cs="Times New Roman"/>
          <w:bCs/>
          <w:color w:val="auto"/>
          <w:sz w:val="32"/>
          <w:szCs w:val="32"/>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392"/>
        <w:gridCol w:w="2120"/>
      </w:tblGrid>
      <w:tr>
        <w:trPr>
          <w:trHeight w:val="397" w:hRule="atLeast"/>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九</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排污许可管理类</w:t>
            </w:r>
          </w:p>
        </w:tc>
      </w:tr>
      <w:tr>
        <w:trPr>
          <w:trHeight w:val="397"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512" w:type="dxa"/>
            <w:gridSpan w:val="2"/>
            <w:vAlign w:val="center"/>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cs="Times New Roman"/>
                <w:color w:val="auto"/>
                <w:sz w:val="20"/>
                <w:szCs w:val="20"/>
                <w:shd w:val="clear" w:color="auto" w:fill="auto"/>
              </w:rPr>
            </w:pPr>
            <w:bookmarkStart w:id="437" w:name="_Toc5491"/>
            <w:r>
              <w:rPr>
                <w:rFonts w:hint="default" w:ascii="Times New Roman" w:hAnsi="Times New Roman" w:cs="Times New Roman"/>
                <w:color w:val="auto"/>
                <w:sz w:val="20"/>
                <w:szCs w:val="20"/>
                <w:shd w:val="clear" w:color="auto" w:fill="auto"/>
              </w:rPr>
              <w:t>16</w:t>
            </w:r>
            <w:bookmarkEnd w:id="437"/>
          </w:p>
        </w:tc>
      </w:tr>
      <w:tr>
        <w:trPr>
          <w:trHeight w:val="397"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512" w:type="dxa"/>
            <w:gridSpan w:val="2"/>
            <w:vAlign w:val="center"/>
          </w:tcPr>
          <w:p>
            <w:pPr>
              <w:pStyle w:val="18"/>
              <w:shd w:val="clear" w:color="auto" w:fill="auto"/>
              <w:snapToGrid w:val="0"/>
              <w:spacing w:before="0" w:beforeAutospacing="0" w:after="0" w:afterAutospacing="0" w:line="320" w:lineRule="exact"/>
              <w:ind w:left="0" w:right="0"/>
              <w:jc w:val="center"/>
              <w:outlineLvl w:val="0"/>
              <w:rPr>
                <w:rFonts w:hint="default" w:ascii="Times New Roman" w:hAnsi="Times New Roman" w:eastAsia="宋体" w:cs="Times New Roman"/>
                <w:color w:val="auto"/>
                <w:kern w:val="2"/>
                <w:sz w:val="21"/>
                <w:szCs w:val="21"/>
                <w:shd w:val="clear" w:color="auto" w:fill="auto"/>
                <w:lang w:eastAsia="zh-CN"/>
              </w:rPr>
            </w:pPr>
            <w:bookmarkStart w:id="438" w:name="_Toc28022"/>
            <w:r>
              <w:rPr>
                <w:rFonts w:hint="default" w:ascii="Times New Roman" w:hAnsi="Times New Roman" w:cs="Times New Roman"/>
                <w:color w:val="auto"/>
                <w:kern w:val="2"/>
                <w:sz w:val="21"/>
                <w:szCs w:val="21"/>
                <w:shd w:val="clear" w:color="auto" w:fill="auto"/>
              </w:rPr>
              <w:t>未建立环境管理台账记录制度，或者未按照排污许可证规定记录</w:t>
            </w:r>
            <w:r>
              <w:rPr>
                <w:rFonts w:hint="default" w:ascii="Times New Roman" w:hAnsi="Times New Roman" w:cs="Times New Roman"/>
                <w:color w:val="auto"/>
                <w:kern w:val="2"/>
                <w:sz w:val="21"/>
                <w:szCs w:val="21"/>
                <w:shd w:val="clear" w:color="auto" w:fill="auto"/>
                <w:lang w:eastAsia="zh-CN"/>
              </w:rPr>
              <w:t>的</w:t>
            </w:r>
            <w:bookmarkEnd w:id="438"/>
          </w:p>
        </w:tc>
      </w:tr>
      <w:tr>
        <w:trPr>
          <w:trHeight w:val="397"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512" w:type="dxa"/>
            <w:gridSpan w:val="2"/>
            <w:vAlign w:val="top"/>
          </w:tcPr>
          <w:p>
            <w:pPr>
              <w:pStyle w:val="18"/>
              <w:shd w:val="clear" w:color="auto" w:fill="auto"/>
              <w:snapToGrid w:val="0"/>
              <w:spacing w:before="0" w:beforeAutospacing="0" w:after="0" w:afterAutospacing="0" w:line="320" w:lineRule="exact"/>
              <w:ind w:left="0" w:right="0" w:firstLine="357"/>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color w:val="auto"/>
                <w:kern w:val="2"/>
                <w:sz w:val="21"/>
                <w:szCs w:val="21"/>
                <w:shd w:val="clear" w:color="auto" w:fill="auto"/>
              </w:rPr>
              <w:t>《排污许可管理条例》</w:t>
            </w:r>
            <w:r>
              <w:rPr>
                <w:rFonts w:hint="default" w:ascii="Times New Roman" w:hAnsi="Times New Roman" w:cs="Times New Roman"/>
                <w:b/>
                <w:bCs/>
                <w:color w:val="auto"/>
                <w:kern w:val="2"/>
                <w:sz w:val="21"/>
                <w:szCs w:val="21"/>
                <w:shd w:val="clear" w:color="auto" w:fill="auto"/>
              </w:rPr>
              <w:t xml:space="preserve">第二十一条第一款 </w:t>
            </w:r>
            <w:r>
              <w:rPr>
                <w:rFonts w:hint="default" w:ascii="Times New Roman" w:hAnsi="Times New Roman" w:cs="Times New Roman"/>
                <w:color w:val="auto"/>
                <w:kern w:val="2"/>
                <w:sz w:val="21"/>
                <w:szCs w:val="21"/>
                <w:shd w:val="clear" w:color="auto" w:fill="auto"/>
              </w:rPr>
              <w:t>排污单位应当建立环境管理台账记录制度，按照排污许可证规定的格式、内容和频次，如实记录主要生产设施、污染防治设施运行情况以及污染物排放浓度、排放量。环境管理台账记录保存期限不得少于5年。</w:t>
            </w:r>
          </w:p>
        </w:tc>
      </w:tr>
      <w:tr>
        <w:trPr>
          <w:trHeight w:val="397"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512" w:type="dxa"/>
            <w:gridSpan w:val="2"/>
            <w:vAlign w:val="top"/>
          </w:tcPr>
          <w:p>
            <w:pPr>
              <w:pStyle w:val="18"/>
              <w:shd w:val="clear" w:color="auto" w:fill="auto"/>
              <w:snapToGrid w:val="0"/>
              <w:spacing w:before="0" w:beforeAutospacing="0" w:after="0" w:afterAutospacing="0" w:line="320" w:lineRule="exact"/>
              <w:ind w:left="0" w:right="0" w:firstLine="36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color w:val="auto"/>
                <w:kern w:val="2"/>
                <w:sz w:val="21"/>
                <w:szCs w:val="21"/>
                <w:shd w:val="clear" w:color="auto" w:fill="auto"/>
              </w:rPr>
              <w:t>《排污许可管理条例》</w:t>
            </w:r>
            <w:r>
              <w:rPr>
                <w:rFonts w:hint="default" w:ascii="Times New Roman" w:hAnsi="Times New Roman" w:cs="Times New Roman"/>
                <w:b/>
                <w:bCs/>
                <w:color w:val="auto"/>
                <w:kern w:val="2"/>
                <w:sz w:val="21"/>
                <w:szCs w:val="21"/>
                <w:shd w:val="clear" w:color="auto" w:fill="auto"/>
              </w:rPr>
              <w:t xml:space="preserve">第三十七条第一项 </w:t>
            </w:r>
            <w:r>
              <w:rPr>
                <w:rFonts w:hint="default" w:ascii="Times New Roman" w:hAnsi="Times New Roman" w:cs="Times New Roman"/>
                <w:color w:val="auto"/>
                <w:kern w:val="2"/>
                <w:sz w:val="21"/>
                <w:szCs w:val="21"/>
                <w:shd w:val="clear" w:color="auto" w:fill="auto"/>
              </w:rPr>
              <w:t>违反本条例规定，排污单位有下列行为之一的，由生态环境主管部门责令改正，处每次5千元以上2万元以下的罚款；法律另有规定的，从其规定：</w:t>
            </w:r>
          </w:p>
          <w:p>
            <w:pPr>
              <w:pStyle w:val="18"/>
              <w:shd w:val="clear" w:color="auto" w:fill="auto"/>
              <w:snapToGrid w:val="0"/>
              <w:spacing w:before="0" w:beforeAutospacing="0" w:after="0" w:afterAutospacing="0" w:line="320" w:lineRule="exact"/>
              <w:ind w:left="0" w:right="0" w:firstLine="36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（一）未建立环境管理台账记录制度，或者未按照排污许可证规定记录；</w:t>
            </w:r>
          </w:p>
        </w:tc>
      </w:tr>
      <w:tr>
        <w:trPr>
          <w:trHeight w:val="397"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3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3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1"/>
                <w:shd w:val="clear" w:color="auto" w:fill="auto"/>
              </w:rPr>
              <w:t>未建立环境管理台账记录制度</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1"/>
                <w:shd w:val="clear" w:color="auto" w:fill="auto"/>
              </w:rPr>
              <w:t>环境管理台账记录不全</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未建立</w:t>
            </w:r>
            <w:r>
              <w:rPr>
                <w:rFonts w:hint="default" w:ascii="Times New Roman" w:hAnsi="Times New Roman" w:cs="Times New Roman"/>
                <w:color w:val="auto"/>
                <w:sz w:val="20"/>
                <w:szCs w:val="21"/>
                <w:shd w:val="clear" w:color="auto" w:fill="auto"/>
              </w:rPr>
              <w:t>环境管理台账</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1"/>
                <w:shd w:val="clear" w:color="auto" w:fill="auto"/>
              </w:rPr>
              <w:t>环境管理台账</w:t>
            </w:r>
            <w:r>
              <w:rPr>
                <w:rFonts w:hint="default" w:ascii="Times New Roman" w:hAnsi="Times New Roman" w:cs="Times New Roman"/>
                <w:color w:val="auto"/>
                <w:sz w:val="20"/>
                <w:szCs w:val="20"/>
                <w:shd w:val="clear" w:color="auto" w:fill="auto"/>
              </w:rPr>
              <w:t>未如实记录</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3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小型企业</w:t>
            </w:r>
          </w:p>
        </w:tc>
        <w:tc>
          <w:tcPr>
            <w:tcW w:w="21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中型企业</w:t>
            </w:r>
          </w:p>
        </w:tc>
        <w:tc>
          <w:tcPr>
            <w:tcW w:w="21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大型企业</w:t>
            </w:r>
          </w:p>
        </w:tc>
        <w:tc>
          <w:tcPr>
            <w:tcW w:w="21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4</w:t>
            </w:r>
          </w:p>
        </w:tc>
      </w:tr>
      <w:tr>
        <w:trPr>
          <w:trHeight w:val="397"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管理类别</w:t>
            </w:r>
          </w:p>
        </w:tc>
        <w:tc>
          <w:tcPr>
            <w:tcW w:w="5392"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lang w:eastAsia="zh-CN"/>
              </w:rPr>
            </w:pPr>
            <w:r>
              <w:rPr>
                <w:rFonts w:hint="default" w:ascii="Times New Roman" w:hAnsi="Times New Roman" w:cs="Times New Roman"/>
                <w:color w:val="auto"/>
                <w:sz w:val="21"/>
                <w:szCs w:val="21"/>
                <w:shd w:val="clear" w:color="auto" w:fill="auto"/>
                <w:lang w:eastAsia="zh-CN"/>
              </w:rPr>
              <w:t>简化管理</w:t>
            </w:r>
          </w:p>
        </w:tc>
        <w:tc>
          <w:tcPr>
            <w:tcW w:w="21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sz w:val="21"/>
                <w:szCs w:val="21"/>
                <w:shd w:val="clear" w:color="auto" w:fill="auto"/>
                <w:lang w:val="en-US" w:eastAsia="zh-CN"/>
              </w:rPr>
              <w:t>1</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392"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lang w:eastAsia="zh-CN"/>
              </w:rPr>
            </w:pPr>
            <w:r>
              <w:rPr>
                <w:rFonts w:hint="default" w:ascii="Times New Roman" w:hAnsi="Times New Roman" w:cs="Times New Roman"/>
                <w:color w:val="auto"/>
                <w:sz w:val="21"/>
                <w:szCs w:val="21"/>
                <w:shd w:val="clear" w:color="auto" w:fill="auto"/>
                <w:lang w:eastAsia="zh-CN"/>
              </w:rPr>
              <w:t>重点管理</w:t>
            </w:r>
          </w:p>
        </w:tc>
        <w:tc>
          <w:tcPr>
            <w:tcW w:w="212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lang w:val="en-US" w:eastAsia="zh-CN"/>
              </w:rPr>
            </w:pPr>
            <w:r>
              <w:rPr>
                <w:rFonts w:hint="default" w:ascii="Times New Roman" w:hAnsi="Times New Roman" w:cs="Times New Roman"/>
                <w:color w:val="auto"/>
                <w:sz w:val="21"/>
                <w:szCs w:val="21"/>
                <w:shd w:val="clear" w:color="auto" w:fill="auto"/>
                <w:lang w:val="en-US" w:eastAsia="zh-CN"/>
              </w:rPr>
              <w:t>3</w:t>
            </w:r>
          </w:p>
        </w:tc>
      </w:tr>
      <w:tr>
        <w:trPr>
          <w:trHeight w:val="397"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污染物类别</w:t>
            </w:r>
          </w:p>
        </w:tc>
        <w:tc>
          <w:tcPr>
            <w:tcW w:w="5392"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 xml:space="preserve">农业生产、畜禽养殖废气/工业扬尘废气/机械、汽车修理废气/生活废水 </w:t>
            </w:r>
            <w:r>
              <w:rPr>
                <w:rFonts w:hint="eastAsia" w:ascii="Times New Roman" w:hAnsi="Times New Roman" w:cs="Times New Roman"/>
                <w:color w:val="auto"/>
                <w:sz w:val="20"/>
                <w:szCs w:val="20"/>
                <w:shd w:val="clear" w:color="auto" w:fill="auto"/>
                <w:lang w:val="en-US" w:eastAsia="zh-CN"/>
              </w:rPr>
              <w:t>/规模以下畜禽养殖废水</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 xml:space="preserve">服务业废水 </w:t>
            </w:r>
            <w:r>
              <w:rPr>
                <w:rFonts w:hint="eastAsia" w:ascii="Times New Roman" w:hAnsi="Times New Roman" w:cs="Times New Roman"/>
                <w:color w:val="auto"/>
                <w:sz w:val="20"/>
                <w:szCs w:val="20"/>
                <w:shd w:val="clear" w:color="auto" w:fill="auto"/>
                <w:lang w:val="en-US" w:eastAsia="zh-CN"/>
              </w:rPr>
              <w:t>/规模化畜禽养殖废水</w:t>
            </w:r>
            <w:r>
              <w:rPr>
                <w:rFonts w:hint="default" w:ascii="Times New Roman" w:hAnsi="Times New Roman" w:cs="Times New Roman"/>
                <w:color w:val="auto"/>
                <w:sz w:val="20"/>
                <w:szCs w:val="20"/>
                <w:shd w:val="clear" w:color="auto" w:fill="auto"/>
              </w:rPr>
              <w:t>/燃煤锅炉废气</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一般工业废气/含恶臭污染物的废气/医疗废气/实验室废气/一般工业废水</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火电、钢铁、石化、水泥、炼焦、有色、化工废气、烟尘/含其他有毒有害物质的废水、医疗废水</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含有毒有害物质的废气/含一类污染物或重金属、病原体、放射性物质的废水</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持续时间</w:t>
            </w:r>
          </w:p>
        </w:tc>
        <w:tc>
          <w:tcPr>
            <w:tcW w:w="53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w:t>
            </w:r>
            <w:r>
              <w:rPr>
                <w:rFonts w:hint="default" w:ascii="Times New Roman" w:hAnsi="Times New Roman" w:cs="Times New Roman"/>
                <w:color w:val="auto"/>
                <w:sz w:val="20"/>
                <w:szCs w:val="20"/>
                <w:shd w:val="clear" w:color="auto" w:fill="auto"/>
                <w:lang w:val="en-US"/>
              </w:rPr>
              <w:t>以下</w:t>
            </w:r>
            <w:r>
              <w:rPr>
                <w:rFonts w:hint="default" w:ascii="Times New Roman" w:hAnsi="Times New Roman" w:cs="Times New Roman"/>
                <w:color w:val="auto"/>
                <w:sz w:val="20"/>
                <w:szCs w:val="20"/>
                <w:shd w:val="clear" w:color="auto" w:fill="auto"/>
              </w:rPr>
              <w:t>的</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1个月以上3个月以下的</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3个月以上6个月以下的</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6个月以上1年以下的</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1年以上的</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539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两年内受到同类处罚1次</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90"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两年内受到同类处罚2次以上</w:t>
            </w:r>
          </w:p>
        </w:tc>
        <w:tc>
          <w:tcPr>
            <w:tcW w:w="212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39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1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1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1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92"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12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97"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51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pacing w:line="590" w:lineRule="exact"/>
        <w:ind w:firstLine="0" w:firstLineChars="0"/>
        <w:outlineLvl w:val="9"/>
        <w:rPr>
          <w:rFonts w:ascii="Times New Roman" w:hAnsi="Times New Roman" w:eastAsia="方正楷体_GBK" w:cs="Times New Roman"/>
          <w:bCs/>
          <w:color w:val="auto"/>
          <w:sz w:val="32"/>
          <w:szCs w:val="32"/>
          <w:shd w:val="clear" w:color="auto" w:fill="auto"/>
        </w:rPr>
      </w:pPr>
    </w:p>
    <w:p>
      <w:pPr>
        <w:shd w:val="clear" w:color="auto" w:fill="auto"/>
        <w:spacing w:line="200" w:lineRule="exact"/>
        <w:ind w:firstLine="640" w:firstLineChars="200"/>
        <w:outlineLvl w:val="9"/>
        <w:rPr>
          <w:rFonts w:ascii="Times New Roman" w:hAnsi="Times New Roman" w:eastAsia="方正楷体_GBK" w:cs="Times New Roman"/>
          <w:bCs/>
          <w:color w:val="auto"/>
          <w:sz w:val="32"/>
          <w:szCs w:val="32"/>
          <w:shd w:val="clear" w:color="auto" w:fill="auto"/>
        </w:rPr>
      </w:pPr>
      <w:r>
        <w:rPr>
          <w:rFonts w:ascii="Times New Roman" w:hAnsi="Times New Roman" w:eastAsia="方正楷体_GBK" w:cs="Times New Roman"/>
          <w:bCs/>
          <w:color w:val="auto"/>
          <w:sz w:val="32"/>
          <w:szCs w:val="32"/>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5179"/>
        <w:gridCol w:w="2519"/>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九</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排污许可管理类</w:t>
            </w:r>
          </w:p>
        </w:tc>
      </w:tr>
      <w:tr>
        <w:trPr>
          <w:trHeight w:val="397" w:hRule="atLeast"/>
          <w:jc w:val="center"/>
        </w:trPr>
        <w:tc>
          <w:tcPr>
            <w:tcW w:w="1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8" w:type="dxa"/>
            <w:gridSpan w:val="2"/>
            <w:vAlign w:val="center"/>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cs="Times New Roman"/>
                <w:color w:val="auto"/>
                <w:sz w:val="20"/>
                <w:szCs w:val="20"/>
                <w:shd w:val="clear" w:color="auto" w:fill="auto"/>
              </w:rPr>
            </w:pPr>
            <w:bookmarkStart w:id="439" w:name="_Toc3916"/>
            <w:r>
              <w:rPr>
                <w:rFonts w:hint="default" w:ascii="Times New Roman" w:hAnsi="Times New Roman" w:cs="Times New Roman"/>
                <w:color w:val="auto"/>
                <w:sz w:val="20"/>
                <w:szCs w:val="20"/>
                <w:shd w:val="clear" w:color="auto" w:fill="auto"/>
              </w:rPr>
              <w:t>17</w:t>
            </w:r>
            <w:bookmarkEnd w:id="439"/>
          </w:p>
        </w:tc>
      </w:tr>
      <w:tr>
        <w:trPr>
          <w:trHeight w:val="397" w:hRule="atLeast"/>
          <w:jc w:val="center"/>
        </w:trPr>
        <w:tc>
          <w:tcPr>
            <w:tcW w:w="1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8" w:type="dxa"/>
            <w:gridSpan w:val="2"/>
            <w:vAlign w:val="top"/>
          </w:tcPr>
          <w:p>
            <w:pPr>
              <w:shd w:val="clear" w:color="auto" w:fill="auto"/>
              <w:snapToGrid w:val="0"/>
              <w:spacing w:before="0" w:beforeAutospacing="0" w:after="0" w:afterAutospacing="0" w:line="320" w:lineRule="exact"/>
              <w:ind w:left="0" w:right="0"/>
              <w:jc w:val="left"/>
              <w:outlineLvl w:val="0"/>
              <w:rPr>
                <w:rFonts w:hint="default" w:ascii="Times New Roman" w:hAnsi="Times New Roman" w:eastAsia="宋体" w:cs="Times New Roman"/>
                <w:color w:val="auto"/>
                <w:sz w:val="20"/>
                <w:szCs w:val="20"/>
                <w:shd w:val="clear" w:color="auto" w:fill="auto"/>
                <w:lang w:eastAsia="zh-CN"/>
              </w:rPr>
            </w:pPr>
            <w:bookmarkStart w:id="440" w:name="_Toc19994"/>
            <w:r>
              <w:rPr>
                <w:rFonts w:hint="default" w:ascii="Times New Roman" w:hAnsi="Times New Roman" w:cs="Times New Roman"/>
                <w:color w:val="auto"/>
                <w:sz w:val="20"/>
                <w:szCs w:val="20"/>
                <w:shd w:val="clear" w:color="auto" w:fill="auto"/>
              </w:rPr>
              <w:t>未如实记录主要生产设施及污染防治设施运行情况或者污染物排放浓度、排放量</w:t>
            </w:r>
            <w:r>
              <w:rPr>
                <w:rFonts w:hint="default" w:ascii="Times New Roman" w:hAnsi="Times New Roman" w:cs="Times New Roman"/>
                <w:color w:val="auto"/>
                <w:sz w:val="20"/>
                <w:szCs w:val="20"/>
                <w:shd w:val="clear" w:color="auto" w:fill="auto"/>
                <w:lang w:eastAsia="zh-CN"/>
              </w:rPr>
              <w:t>的</w:t>
            </w:r>
            <w:bookmarkEnd w:id="440"/>
          </w:p>
        </w:tc>
      </w:tr>
      <w:tr>
        <w:trPr>
          <w:trHeight w:val="397" w:hRule="atLeast"/>
          <w:jc w:val="center"/>
        </w:trPr>
        <w:tc>
          <w:tcPr>
            <w:tcW w:w="1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8" w:type="dxa"/>
            <w:gridSpan w:val="2"/>
            <w:vAlign w:val="top"/>
          </w:tcPr>
          <w:p>
            <w:pPr>
              <w:pStyle w:val="18"/>
              <w:shd w:val="clear" w:color="auto" w:fill="auto"/>
              <w:snapToGrid w:val="0"/>
              <w:spacing w:before="0" w:beforeAutospacing="0" w:after="0" w:afterAutospacing="0" w:line="320" w:lineRule="exact"/>
              <w:ind w:left="0" w:right="0" w:firstLine="357"/>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 xml:space="preserve">《排污许可管理条例》第二十一条第一款 </w:t>
            </w:r>
            <w:r>
              <w:rPr>
                <w:rFonts w:hint="default" w:ascii="Times New Roman" w:hAnsi="Times New Roman" w:cs="Times New Roman"/>
                <w:color w:val="auto"/>
                <w:kern w:val="2"/>
                <w:sz w:val="21"/>
                <w:szCs w:val="21"/>
                <w:shd w:val="clear" w:color="auto" w:fill="auto"/>
              </w:rPr>
              <w:t>排污单位应当建立环境管理台账记录制度，按照排污许可证规定的格式、内容和频次，如实记录主要生产设施、污染防治设施运行情况以及污染物排放浓度、排放量。环境管理台账记录保存期限不得少于5年。</w:t>
            </w:r>
          </w:p>
        </w:tc>
      </w:tr>
      <w:tr>
        <w:trPr>
          <w:trHeight w:val="397" w:hRule="atLeast"/>
          <w:jc w:val="center"/>
        </w:trPr>
        <w:tc>
          <w:tcPr>
            <w:tcW w:w="1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8" w:type="dxa"/>
            <w:gridSpan w:val="2"/>
            <w:vAlign w:val="top"/>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 xml:space="preserve">《排污许可管理条例》第三十七条第二项 </w:t>
            </w:r>
            <w:r>
              <w:rPr>
                <w:rFonts w:hint="default" w:ascii="Times New Roman" w:hAnsi="Times New Roman" w:cs="Times New Roman"/>
                <w:color w:val="auto"/>
                <w:kern w:val="2"/>
                <w:sz w:val="21"/>
                <w:szCs w:val="21"/>
                <w:shd w:val="clear" w:color="auto" w:fill="auto"/>
              </w:rPr>
              <w:t>违反本条例规定，排污单位有下列行为之一的，由生态环境主管部门责令改正，处每次5千元以上2万元以下的罚款；法律另有规定的，从其规定：</w:t>
            </w:r>
          </w:p>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（二）未如实记录主要生产设施及污染防治设施运行情况或者污染物排放浓度、排放量；</w:t>
            </w:r>
          </w:p>
        </w:tc>
      </w:tr>
      <w:tr>
        <w:trPr>
          <w:trHeight w:val="425" w:hRule="atLeast"/>
          <w:jc w:val="center"/>
        </w:trPr>
        <w:tc>
          <w:tcPr>
            <w:tcW w:w="1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jc w:val="center"/>
        </w:trPr>
        <w:tc>
          <w:tcPr>
            <w:tcW w:w="136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1"/>
                <w:shd w:val="clear" w:color="auto" w:fill="auto"/>
              </w:rPr>
              <w:t>未按照排污许可证规定记录环境管理台账</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环境管理台账记录弄虚作假</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jc w:val="center"/>
        </w:trPr>
        <w:tc>
          <w:tcPr>
            <w:tcW w:w="136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管理类别</w:t>
            </w: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简化管理</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425"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重点管理</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425" w:hRule="atLeast"/>
          <w:jc w:val="center"/>
        </w:trPr>
        <w:tc>
          <w:tcPr>
            <w:tcW w:w="136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污染物类别</w:t>
            </w: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 xml:space="preserve">一般工业废气/生活废水 </w:t>
            </w:r>
            <w:r>
              <w:rPr>
                <w:rFonts w:hint="eastAsia" w:ascii="Times New Roman" w:hAnsi="Times New Roman" w:cs="Times New Roman"/>
                <w:color w:val="auto"/>
                <w:sz w:val="20"/>
                <w:szCs w:val="20"/>
                <w:shd w:val="clear" w:color="auto" w:fill="auto"/>
                <w:lang w:val="en-US" w:eastAsia="zh-CN"/>
              </w:rPr>
              <w:t>/规模以下畜禽养殖废水</w:t>
            </w:r>
            <w:r>
              <w:rPr>
                <w:rFonts w:hint="default" w:ascii="Times New Roman" w:hAnsi="Times New Roman" w:cs="Times New Roman"/>
                <w:color w:val="auto"/>
                <w:sz w:val="20"/>
                <w:szCs w:val="20"/>
                <w:shd w:val="clear" w:color="auto" w:fill="auto"/>
              </w:rPr>
              <w:t>/Ⅰ类一般工业固体废物</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服务业废水</w:t>
            </w:r>
            <w:r>
              <w:rPr>
                <w:rFonts w:hint="eastAsia" w:ascii="Times New Roman" w:hAnsi="Times New Roman" w:cs="Times New Roman"/>
                <w:color w:val="auto"/>
                <w:sz w:val="20"/>
                <w:szCs w:val="20"/>
                <w:shd w:val="clear" w:color="auto" w:fill="auto"/>
                <w:lang w:val="en-US" w:eastAsia="zh-CN"/>
              </w:rPr>
              <w:t>/规模化畜禽养殖废水</w:t>
            </w:r>
            <w:r>
              <w:rPr>
                <w:rFonts w:hint="default" w:ascii="Times New Roman" w:hAnsi="Times New Roman" w:cs="Times New Roman"/>
                <w:color w:val="auto"/>
                <w:sz w:val="20"/>
                <w:szCs w:val="20"/>
                <w:shd w:val="clear" w:color="auto" w:fill="auto"/>
              </w:rPr>
              <w:t>/燃煤锅炉废气</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火电、钢铁、石化、水泥、炼焦、有色、化工废气、烟尘/含恶臭污染物的废气/医疗废气/实验室废气/一般工业废水/Ⅱ类一般工业固体废物</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含其他有毒有害物质的废水、医疗废水</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含有毒有害物质的废气/含一类污染物或重金属、病原体、放射性物质的废水/危险废物</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jc w:val="center"/>
        </w:trPr>
        <w:tc>
          <w:tcPr>
            <w:tcW w:w="136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持续时间</w:t>
            </w: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w:t>
            </w:r>
            <w:r>
              <w:rPr>
                <w:rFonts w:hint="default" w:ascii="Times New Roman" w:hAnsi="Times New Roman" w:cs="Times New Roman"/>
                <w:color w:val="auto"/>
                <w:sz w:val="20"/>
                <w:szCs w:val="20"/>
                <w:shd w:val="clear" w:color="auto" w:fill="auto"/>
                <w:lang w:val="en-US"/>
              </w:rPr>
              <w:t>以下</w:t>
            </w:r>
            <w:r>
              <w:rPr>
                <w:rFonts w:hint="default" w:ascii="Times New Roman" w:hAnsi="Times New Roman" w:cs="Times New Roman"/>
                <w:color w:val="auto"/>
                <w:sz w:val="20"/>
                <w:szCs w:val="20"/>
                <w:shd w:val="clear" w:color="auto" w:fill="auto"/>
              </w:rPr>
              <w:t>的</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1个月以上3个月以下的</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3个月以上6个月以下的</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6个月以上1年以下的</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25"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1年以上的</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51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1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51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51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8" w:type="dxa"/>
            <w:gridSpan w:val="2"/>
            <w:vAlign w:val="center"/>
          </w:tcPr>
          <w:p>
            <w:pPr>
              <w:shd w:val="clear" w:color="auto" w:fill="auto"/>
              <w:snapToGrid w:val="0"/>
              <w:spacing w:before="0" w:beforeAutospacing="0" w:after="0" w:afterAutospacing="0" w:line="320" w:lineRule="exact"/>
              <w:ind w:left="0" w:right="0" w:firstLine="420" w:firstLineChars="200"/>
              <w:rPr>
                <w:rFonts w:hint="default" w:ascii="Times New Roman" w:hAnsi="Times New Roman" w:cs="Times New Roman"/>
                <w:color w:val="auto"/>
                <w:sz w:val="20"/>
                <w:szCs w:val="20"/>
                <w:shd w:val="clear" w:color="auto" w:fill="auto"/>
              </w:rPr>
            </w:pPr>
          </w:p>
        </w:tc>
      </w:tr>
    </w:tbl>
    <w:p>
      <w:pPr>
        <w:shd w:val="clear" w:color="auto" w:fill="auto"/>
        <w:rPr>
          <w:rFonts w:ascii="Times New Roman" w:hAnsi="Times New Roman" w:cs="Times New Roman"/>
          <w:b/>
          <w:bCs/>
          <w:color w:val="auto"/>
          <w:shd w:val="clear" w:color="auto" w:fill="auto"/>
        </w:rPr>
      </w:pPr>
    </w:p>
    <w:p>
      <w:pPr>
        <w:shd w:val="clear" w:color="auto" w:fill="auto"/>
        <w:spacing w:line="590" w:lineRule="exact"/>
        <w:ind w:firstLine="0" w:firstLineChars="0"/>
        <w:outlineLvl w:val="9"/>
        <w:rPr>
          <w:rFonts w:ascii="Times New Roman" w:hAnsi="Times New Roman" w:eastAsia="方正楷体_GBK" w:cs="Times New Roman"/>
          <w:bCs/>
          <w:color w:val="auto"/>
          <w:sz w:val="32"/>
          <w:szCs w:val="32"/>
          <w:shd w:val="clear" w:color="auto" w:fill="auto"/>
        </w:rPr>
      </w:pPr>
    </w:p>
    <w:p>
      <w:pPr>
        <w:shd w:val="clear" w:color="auto" w:fill="auto"/>
        <w:spacing w:line="590" w:lineRule="exact"/>
        <w:ind w:firstLine="0" w:firstLineChars="0"/>
        <w:outlineLvl w:val="9"/>
        <w:rPr>
          <w:rFonts w:ascii="Times New Roman" w:hAnsi="Times New Roman" w:eastAsia="方正楷体_GBK" w:cs="Times New Roman"/>
          <w:bCs/>
          <w:color w:val="auto"/>
          <w:sz w:val="32"/>
          <w:szCs w:val="32"/>
          <w:shd w:val="clear" w:color="auto" w:fill="auto"/>
        </w:rPr>
      </w:pPr>
    </w:p>
    <w:p>
      <w:pPr>
        <w:shd w:val="clear" w:color="auto" w:fill="auto"/>
        <w:spacing w:line="200" w:lineRule="exact"/>
        <w:ind w:firstLine="640" w:firstLineChars="200"/>
        <w:outlineLvl w:val="9"/>
        <w:rPr>
          <w:rFonts w:ascii="Times New Roman" w:hAnsi="Times New Roman" w:eastAsia="方正楷体_GBK" w:cs="Times New Roman"/>
          <w:bCs/>
          <w:color w:val="auto"/>
          <w:sz w:val="32"/>
          <w:szCs w:val="32"/>
          <w:shd w:val="clear" w:color="auto" w:fill="auto"/>
        </w:rPr>
      </w:pPr>
      <w:r>
        <w:rPr>
          <w:rFonts w:ascii="Times New Roman" w:hAnsi="Times New Roman" w:eastAsia="方正楷体_GBK" w:cs="Times New Roman"/>
          <w:bCs/>
          <w:color w:val="auto"/>
          <w:sz w:val="32"/>
          <w:szCs w:val="32"/>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5179"/>
        <w:gridCol w:w="2519"/>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九</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排污许可管理类</w:t>
            </w:r>
          </w:p>
        </w:tc>
      </w:tr>
      <w:tr>
        <w:trPr>
          <w:trHeight w:val="397" w:hRule="atLeast"/>
          <w:jc w:val="center"/>
        </w:trPr>
        <w:tc>
          <w:tcPr>
            <w:tcW w:w="1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8" w:type="dxa"/>
            <w:gridSpan w:val="2"/>
            <w:vAlign w:val="center"/>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cs="Times New Roman"/>
                <w:color w:val="auto"/>
                <w:sz w:val="20"/>
                <w:szCs w:val="20"/>
                <w:shd w:val="clear" w:color="auto" w:fill="auto"/>
              </w:rPr>
            </w:pPr>
            <w:bookmarkStart w:id="441" w:name="_Toc32495"/>
            <w:r>
              <w:rPr>
                <w:rFonts w:hint="default" w:ascii="Times New Roman" w:hAnsi="Times New Roman" w:cs="Times New Roman"/>
                <w:color w:val="auto"/>
                <w:sz w:val="20"/>
                <w:szCs w:val="20"/>
                <w:shd w:val="clear" w:color="auto" w:fill="auto"/>
              </w:rPr>
              <w:t>18</w:t>
            </w:r>
            <w:bookmarkEnd w:id="441"/>
          </w:p>
        </w:tc>
      </w:tr>
      <w:tr>
        <w:trPr>
          <w:trHeight w:val="397" w:hRule="atLeast"/>
          <w:jc w:val="center"/>
        </w:trPr>
        <w:tc>
          <w:tcPr>
            <w:tcW w:w="1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8" w:type="dxa"/>
            <w:gridSpan w:val="2"/>
            <w:vAlign w:val="top"/>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eastAsia="宋体" w:cs="Times New Roman"/>
                <w:color w:val="auto"/>
                <w:sz w:val="20"/>
                <w:szCs w:val="20"/>
                <w:shd w:val="clear" w:color="auto" w:fill="auto"/>
                <w:lang w:eastAsia="zh-CN"/>
              </w:rPr>
            </w:pPr>
            <w:bookmarkStart w:id="442" w:name="_Toc22055"/>
            <w:r>
              <w:rPr>
                <w:rFonts w:hint="default" w:ascii="Times New Roman" w:hAnsi="Times New Roman" w:cs="Times New Roman"/>
                <w:color w:val="auto"/>
                <w:sz w:val="20"/>
                <w:szCs w:val="20"/>
                <w:shd w:val="clear" w:color="auto" w:fill="auto"/>
              </w:rPr>
              <w:t>未按照排污许可证规定提交排污许可证执行报告</w:t>
            </w:r>
            <w:r>
              <w:rPr>
                <w:rFonts w:hint="default" w:ascii="Times New Roman" w:hAnsi="Times New Roman" w:cs="Times New Roman"/>
                <w:color w:val="auto"/>
                <w:sz w:val="20"/>
                <w:szCs w:val="20"/>
                <w:shd w:val="clear" w:color="auto" w:fill="auto"/>
                <w:lang w:eastAsia="zh-CN"/>
              </w:rPr>
              <w:t>的</w:t>
            </w:r>
            <w:bookmarkEnd w:id="442"/>
          </w:p>
        </w:tc>
      </w:tr>
      <w:tr>
        <w:trPr>
          <w:trHeight w:val="397" w:hRule="atLeast"/>
          <w:jc w:val="center"/>
        </w:trPr>
        <w:tc>
          <w:tcPr>
            <w:tcW w:w="1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8" w:type="dxa"/>
            <w:gridSpan w:val="2"/>
            <w:vAlign w:val="top"/>
          </w:tcPr>
          <w:p>
            <w:pPr>
              <w:pStyle w:val="18"/>
              <w:shd w:val="clear" w:color="auto" w:fill="auto"/>
              <w:snapToGrid w:val="0"/>
              <w:spacing w:before="0" w:beforeAutospacing="0" w:after="0" w:afterAutospacing="0" w:line="320" w:lineRule="exact"/>
              <w:ind w:left="0" w:right="0" w:firstLine="357"/>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 xml:space="preserve">《排污许可管理条例》第二十二条第一款 </w:t>
            </w:r>
            <w:r>
              <w:rPr>
                <w:rFonts w:hint="default" w:ascii="Times New Roman" w:hAnsi="Times New Roman" w:cs="Times New Roman"/>
                <w:color w:val="auto"/>
                <w:kern w:val="2"/>
                <w:sz w:val="21"/>
                <w:szCs w:val="21"/>
                <w:shd w:val="clear" w:color="auto" w:fill="auto"/>
              </w:rPr>
              <w:t>排污单位应当按照排污许可证规定的内容、频次和时间要求，向审批部门提交排污许可证执行报告，如实报告污染物排放行为、排放浓度、排放量等。</w:t>
            </w:r>
          </w:p>
        </w:tc>
      </w:tr>
      <w:tr>
        <w:trPr>
          <w:trHeight w:val="397" w:hRule="atLeast"/>
          <w:jc w:val="center"/>
        </w:trPr>
        <w:tc>
          <w:tcPr>
            <w:tcW w:w="1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8" w:type="dxa"/>
            <w:gridSpan w:val="2"/>
            <w:vAlign w:val="top"/>
          </w:tcPr>
          <w:p>
            <w:pPr>
              <w:pStyle w:val="19"/>
              <w:shd w:val="clear" w:color="auto" w:fill="auto"/>
              <w:snapToGrid w:val="0"/>
              <w:spacing w:before="0" w:beforeAutospacing="0" w:after="0" w:afterAutospacing="0" w:line="320" w:lineRule="exact"/>
              <w:ind w:left="0" w:right="0" w:firstLine="422" w:firstLineChars="20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 xml:space="preserve">《排污许可管理条例》第三十七条第三项 </w:t>
            </w:r>
            <w:r>
              <w:rPr>
                <w:rFonts w:hint="default" w:ascii="Times New Roman" w:hAnsi="Times New Roman" w:cs="Times New Roman"/>
                <w:color w:val="auto"/>
                <w:kern w:val="2"/>
                <w:sz w:val="21"/>
                <w:szCs w:val="21"/>
                <w:shd w:val="clear" w:color="auto" w:fill="auto"/>
              </w:rPr>
              <w:t>违反本条例规定，排污单位有下列行为之一的，由生态环境主管部门责令改正，处每次5千元以上2万元以下的罚款；法律另有规定的，从其规定：</w:t>
            </w:r>
          </w:p>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（三）未按照排污许可证规定提交排污许可证执行报告；</w:t>
            </w:r>
          </w:p>
        </w:tc>
      </w:tr>
      <w:tr>
        <w:trPr>
          <w:trHeight w:val="442" w:hRule="atLeast"/>
          <w:jc w:val="center"/>
        </w:trPr>
        <w:tc>
          <w:tcPr>
            <w:tcW w:w="1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42" w:hRule="atLeast"/>
          <w:jc w:val="center"/>
        </w:trPr>
        <w:tc>
          <w:tcPr>
            <w:tcW w:w="136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排污许可证执行报告提交不及时</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排污许可证执行报告内容不全</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3</w:t>
            </w:r>
          </w:p>
        </w:tc>
      </w:tr>
      <w:tr>
        <w:trPr>
          <w:trHeight w:val="442"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排污许可证执行报告弄虚作假</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5</w:t>
            </w:r>
          </w:p>
        </w:tc>
      </w:tr>
      <w:tr>
        <w:trPr>
          <w:trHeight w:val="442" w:hRule="atLeast"/>
          <w:jc w:val="center"/>
        </w:trPr>
        <w:tc>
          <w:tcPr>
            <w:tcW w:w="136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42"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42" w:hRule="atLeast"/>
          <w:jc w:val="center"/>
        </w:trPr>
        <w:tc>
          <w:tcPr>
            <w:tcW w:w="136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管理类别</w:t>
            </w: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eastAsia="zh-CN"/>
              </w:rPr>
              <w:t>简化管理</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442"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重点管理</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442" w:hRule="atLeast"/>
          <w:jc w:val="center"/>
        </w:trPr>
        <w:tc>
          <w:tcPr>
            <w:tcW w:w="136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污染物类别</w:t>
            </w: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 xml:space="preserve">一般工业废气/生活废水 </w:t>
            </w:r>
            <w:r>
              <w:rPr>
                <w:rFonts w:hint="eastAsia" w:ascii="Times New Roman" w:hAnsi="Times New Roman" w:cs="Times New Roman"/>
                <w:color w:val="auto"/>
                <w:sz w:val="20"/>
                <w:szCs w:val="20"/>
                <w:shd w:val="clear" w:color="auto" w:fill="auto"/>
                <w:lang w:val="en-US" w:eastAsia="zh-CN"/>
              </w:rPr>
              <w:t>/规模以下畜禽养殖废水</w:t>
            </w:r>
            <w:r>
              <w:rPr>
                <w:rFonts w:hint="default" w:ascii="Times New Roman" w:hAnsi="Times New Roman" w:cs="Times New Roman"/>
                <w:color w:val="auto"/>
                <w:sz w:val="20"/>
                <w:szCs w:val="20"/>
                <w:shd w:val="clear" w:color="auto" w:fill="auto"/>
              </w:rPr>
              <w:t>/Ⅰ类一般工业固体废物</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 xml:space="preserve">服务业废水 </w:t>
            </w:r>
            <w:r>
              <w:rPr>
                <w:rFonts w:hint="eastAsia" w:ascii="Times New Roman" w:hAnsi="Times New Roman" w:cs="Times New Roman"/>
                <w:color w:val="auto"/>
                <w:sz w:val="20"/>
                <w:szCs w:val="20"/>
                <w:shd w:val="clear" w:color="auto" w:fill="auto"/>
                <w:lang w:val="en-US" w:eastAsia="zh-CN"/>
              </w:rPr>
              <w:t>/规模化畜禽养殖废水</w:t>
            </w:r>
            <w:r>
              <w:rPr>
                <w:rFonts w:hint="default" w:ascii="Times New Roman" w:hAnsi="Times New Roman" w:cs="Times New Roman"/>
                <w:color w:val="auto"/>
                <w:sz w:val="20"/>
                <w:szCs w:val="20"/>
                <w:shd w:val="clear" w:color="auto" w:fill="auto"/>
              </w:rPr>
              <w:t>/燃煤锅炉废气</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42"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火电、钢铁、石化、水泥、炼焦、有色、化工废气、烟尘/含恶臭污染物的废气/医疗废气/实验室废气/一般工业废水/Ⅱ类一般工业固体废物</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含其他有毒有害物质的废水、医疗废水</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42"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含有毒有害物质的废气/含一类污染物或重金属、病原体、放射性物质的废水/危险废物</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42" w:hRule="atLeast"/>
          <w:jc w:val="center"/>
        </w:trPr>
        <w:tc>
          <w:tcPr>
            <w:tcW w:w="136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持续时间</w:t>
            </w: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w:t>
            </w:r>
            <w:r>
              <w:rPr>
                <w:rFonts w:hint="default" w:ascii="Times New Roman" w:hAnsi="Times New Roman" w:cs="Times New Roman"/>
                <w:color w:val="auto"/>
                <w:sz w:val="20"/>
                <w:szCs w:val="20"/>
                <w:shd w:val="clear" w:color="auto" w:fill="auto"/>
                <w:lang w:val="en-US"/>
              </w:rPr>
              <w:t>以下</w:t>
            </w:r>
            <w:r>
              <w:rPr>
                <w:rFonts w:hint="default" w:ascii="Times New Roman" w:hAnsi="Times New Roman" w:cs="Times New Roman"/>
                <w:color w:val="auto"/>
                <w:sz w:val="20"/>
                <w:szCs w:val="20"/>
                <w:shd w:val="clear" w:color="auto" w:fill="auto"/>
              </w:rPr>
              <w:t>的</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1个月以上3个月以下的</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42"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3个月以上6个月以下的</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6个月以上1年以下的</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42"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1年以上的</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519"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51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1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51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519"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8" w:type="dxa"/>
            <w:gridSpan w:val="2"/>
            <w:vAlign w:val="center"/>
          </w:tcPr>
          <w:p>
            <w:pPr>
              <w:shd w:val="clear" w:color="auto" w:fill="auto"/>
              <w:snapToGrid w:val="0"/>
              <w:spacing w:before="0" w:beforeAutospacing="0" w:after="0" w:afterAutospacing="0" w:line="320" w:lineRule="exact"/>
              <w:ind w:left="0" w:right="0" w:firstLine="420" w:firstLineChars="200"/>
              <w:rPr>
                <w:rFonts w:hint="default" w:ascii="Times New Roman" w:hAnsi="Times New Roman" w:cs="Times New Roman"/>
                <w:color w:val="auto"/>
                <w:sz w:val="20"/>
                <w:szCs w:val="20"/>
                <w:shd w:val="clear" w:color="auto" w:fill="auto"/>
              </w:rPr>
            </w:pPr>
          </w:p>
        </w:tc>
      </w:tr>
    </w:tbl>
    <w:p>
      <w:pPr>
        <w:shd w:val="clear" w:color="auto" w:fill="auto"/>
        <w:spacing w:line="590" w:lineRule="exact"/>
        <w:ind w:firstLine="0" w:firstLineChars="0"/>
        <w:outlineLvl w:val="9"/>
        <w:rPr>
          <w:rFonts w:ascii="Times New Roman" w:hAnsi="Times New Roman" w:eastAsia="方正楷体_GBK" w:cs="Times New Roman"/>
          <w:bCs/>
          <w:color w:val="auto"/>
          <w:sz w:val="32"/>
          <w:szCs w:val="32"/>
          <w:shd w:val="clear" w:color="auto" w:fill="auto"/>
        </w:rPr>
      </w:pPr>
    </w:p>
    <w:p>
      <w:pPr>
        <w:shd w:val="clear" w:color="auto" w:fill="auto"/>
        <w:spacing w:line="590" w:lineRule="exact"/>
        <w:ind w:firstLine="0" w:firstLineChars="0"/>
        <w:outlineLvl w:val="9"/>
        <w:rPr>
          <w:rFonts w:ascii="Times New Roman" w:hAnsi="Times New Roman" w:eastAsia="方正楷体_GBK" w:cs="Times New Roman"/>
          <w:bCs/>
          <w:color w:val="auto"/>
          <w:sz w:val="32"/>
          <w:szCs w:val="32"/>
          <w:shd w:val="clear" w:color="auto" w:fill="auto"/>
        </w:rPr>
      </w:pPr>
    </w:p>
    <w:p>
      <w:pPr>
        <w:shd w:val="clear" w:color="auto" w:fill="auto"/>
        <w:spacing w:line="590" w:lineRule="exact"/>
        <w:ind w:firstLine="0" w:firstLineChars="0"/>
        <w:outlineLvl w:val="9"/>
        <w:rPr>
          <w:rFonts w:ascii="Times New Roman" w:hAnsi="Times New Roman" w:eastAsia="方正楷体_GBK" w:cs="Times New Roman"/>
          <w:bCs/>
          <w:color w:val="auto"/>
          <w:sz w:val="32"/>
          <w:szCs w:val="32"/>
          <w:shd w:val="clear" w:color="auto" w:fill="auto"/>
        </w:rPr>
      </w:pPr>
    </w:p>
    <w:p>
      <w:pPr>
        <w:shd w:val="clear" w:color="auto" w:fill="auto"/>
        <w:spacing w:line="200" w:lineRule="exact"/>
        <w:ind w:firstLine="640" w:firstLineChars="200"/>
        <w:outlineLvl w:val="9"/>
        <w:rPr>
          <w:rFonts w:ascii="Times New Roman" w:hAnsi="Times New Roman" w:eastAsia="方正楷体_GBK" w:cs="Times New Roman"/>
          <w:bCs/>
          <w:color w:val="auto"/>
          <w:sz w:val="32"/>
          <w:szCs w:val="32"/>
          <w:shd w:val="clear" w:color="auto" w:fill="auto"/>
        </w:rPr>
      </w:pPr>
      <w:r>
        <w:rPr>
          <w:rFonts w:ascii="Times New Roman" w:hAnsi="Times New Roman" w:eastAsia="方正楷体_GBK" w:cs="Times New Roman"/>
          <w:bCs/>
          <w:color w:val="auto"/>
          <w:sz w:val="32"/>
          <w:szCs w:val="32"/>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5344"/>
        <w:gridCol w:w="2354"/>
      </w:tblGrid>
      <w:tr>
        <w:trPr>
          <w:trHeight w:val="397" w:hRule="atLeast"/>
          <w:jc w:val="center"/>
        </w:trPr>
        <w:tc>
          <w:tcPr>
            <w:tcW w:w="9060" w:type="dxa"/>
            <w:gridSpan w:val="3"/>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九</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排污许可管理类</w:t>
            </w:r>
          </w:p>
        </w:tc>
      </w:tr>
      <w:tr>
        <w:trPr>
          <w:trHeight w:val="397" w:hRule="atLeast"/>
          <w:jc w:val="center"/>
        </w:trPr>
        <w:tc>
          <w:tcPr>
            <w:tcW w:w="1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98" w:type="dxa"/>
            <w:gridSpan w:val="2"/>
            <w:vAlign w:val="center"/>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cs="Times New Roman"/>
                <w:color w:val="auto"/>
                <w:sz w:val="20"/>
                <w:szCs w:val="20"/>
                <w:shd w:val="clear" w:color="auto" w:fill="auto"/>
              </w:rPr>
            </w:pPr>
            <w:bookmarkStart w:id="443" w:name="_Toc16136"/>
            <w:r>
              <w:rPr>
                <w:rFonts w:hint="default" w:ascii="Times New Roman" w:hAnsi="Times New Roman" w:cs="Times New Roman"/>
                <w:color w:val="auto"/>
                <w:sz w:val="20"/>
                <w:szCs w:val="20"/>
                <w:shd w:val="clear" w:color="auto" w:fill="auto"/>
              </w:rPr>
              <w:t>19</w:t>
            </w:r>
            <w:bookmarkEnd w:id="443"/>
          </w:p>
        </w:tc>
      </w:tr>
      <w:tr>
        <w:trPr>
          <w:trHeight w:val="397" w:hRule="atLeast"/>
          <w:jc w:val="center"/>
        </w:trPr>
        <w:tc>
          <w:tcPr>
            <w:tcW w:w="1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98" w:type="dxa"/>
            <w:gridSpan w:val="2"/>
            <w:vAlign w:val="top"/>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eastAsia="宋体" w:cs="Times New Roman"/>
                <w:color w:val="auto"/>
                <w:sz w:val="20"/>
                <w:szCs w:val="20"/>
                <w:shd w:val="clear" w:color="auto" w:fill="auto"/>
                <w:lang w:eastAsia="zh-CN"/>
              </w:rPr>
            </w:pPr>
            <w:bookmarkStart w:id="444" w:name="_Toc30136"/>
            <w:r>
              <w:rPr>
                <w:rFonts w:hint="default" w:ascii="Times New Roman" w:hAnsi="Times New Roman" w:cs="Times New Roman"/>
                <w:color w:val="auto"/>
                <w:sz w:val="20"/>
                <w:szCs w:val="20"/>
                <w:shd w:val="clear" w:color="auto" w:fill="auto"/>
              </w:rPr>
              <w:t>未如实报告污染物排放行为或者污染物排放浓度、排放量</w:t>
            </w:r>
            <w:r>
              <w:rPr>
                <w:rFonts w:hint="default" w:ascii="Times New Roman" w:hAnsi="Times New Roman" w:cs="Times New Roman"/>
                <w:color w:val="auto"/>
                <w:sz w:val="20"/>
                <w:szCs w:val="20"/>
                <w:shd w:val="clear" w:color="auto" w:fill="auto"/>
                <w:lang w:eastAsia="zh-CN"/>
              </w:rPr>
              <w:t>的</w:t>
            </w:r>
            <w:bookmarkEnd w:id="444"/>
          </w:p>
        </w:tc>
      </w:tr>
      <w:tr>
        <w:trPr>
          <w:trHeight w:val="397" w:hRule="atLeast"/>
          <w:jc w:val="center"/>
        </w:trPr>
        <w:tc>
          <w:tcPr>
            <w:tcW w:w="1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98" w:type="dxa"/>
            <w:gridSpan w:val="2"/>
            <w:vAlign w:val="top"/>
          </w:tcPr>
          <w:p>
            <w:pPr>
              <w:pStyle w:val="18"/>
              <w:shd w:val="clear" w:color="auto" w:fill="auto"/>
              <w:snapToGrid w:val="0"/>
              <w:spacing w:before="0" w:beforeAutospacing="0" w:after="0" w:afterAutospacing="0" w:line="320" w:lineRule="exact"/>
              <w:ind w:left="0" w:right="0" w:firstLine="357"/>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《排污许可管理条例》第二十二条第一款</w:t>
            </w:r>
            <w:r>
              <w:rPr>
                <w:rFonts w:hint="default" w:ascii="Times New Roman" w:hAnsi="Times New Roman" w:cs="Times New Roman"/>
                <w:color w:val="auto"/>
                <w:kern w:val="2"/>
                <w:sz w:val="21"/>
                <w:szCs w:val="21"/>
                <w:shd w:val="clear" w:color="auto" w:fill="auto"/>
              </w:rPr>
              <w:t>　排污单位应当按照排污许可证规定的内容、频次和时间要求，向审批部门提交排污许可证执行报告，如实报告污染物排放行为、排放浓度、排放量等。</w:t>
            </w:r>
          </w:p>
        </w:tc>
      </w:tr>
      <w:tr>
        <w:trPr>
          <w:trHeight w:val="397" w:hRule="atLeast"/>
          <w:jc w:val="center"/>
        </w:trPr>
        <w:tc>
          <w:tcPr>
            <w:tcW w:w="1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98" w:type="dxa"/>
            <w:gridSpan w:val="2"/>
            <w:vAlign w:val="top"/>
          </w:tcPr>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kern w:val="2"/>
                <w:sz w:val="21"/>
                <w:szCs w:val="21"/>
                <w:shd w:val="clear" w:color="auto" w:fill="auto"/>
              </w:rPr>
              <w:t xml:space="preserve">《排污许可管理条例》第三十七条第四项 </w:t>
            </w:r>
            <w:r>
              <w:rPr>
                <w:rFonts w:hint="default" w:ascii="Times New Roman" w:hAnsi="Times New Roman" w:cs="Times New Roman"/>
                <w:color w:val="auto"/>
                <w:kern w:val="2"/>
                <w:sz w:val="21"/>
                <w:szCs w:val="21"/>
                <w:shd w:val="clear" w:color="auto" w:fill="auto"/>
              </w:rPr>
              <w:t>违反本条例规定，排污单位有下列行为之一的，由生态环境主管部门责令改正，处每次5千元以上2万元以下的罚款；法律另有规定的，从其规定：</w:t>
            </w:r>
          </w:p>
          <w:p>
            <w:pPr>
              <w:pStyle w:val="19"/>
              <w:shd w:val="clear" w:color="auto" w:fill="auto"/>
              <w:snapToGrid w:val="0"/>
              <w:spacing w:before="0" w:beforeAutospacing="0" w:after="0" w:afterAutospacing="0" w:line="32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（四）未如实报告污染物排放行为或者污染物排放浓度、排放量</w:t>
            </w:r>
            <w:r>
              <w:rPr>
                <w:rFonts w:hint="default" w:ascii="Times New Roman" w:hAnsi="Times New Roman" w:cs="Times New Roman"/>
                <w:color w:val="auto"/>
                <w:kern w:val="2"/>
                <w:sz w:val="21"/>
                <w:szCs w:val="21"/>
                <w:shd w:val="clear" w:color="auto" w:fill="auto"/>
                <w:lang w:eastAsia="zh-CN"/>
              </w:rPr>
              <w:t>；</w:t>
            </w:r>
          </w:p>
        </w:tc>
      </w:tr>
      <w:tr>
        <w:trPr>
          <w:trHeight w:val="397" w:hRule="atLeast"/>
          <w:jc w:val="center"/>
        </w:trPr>
        <w:tc>
          <w:tcPr>
            <w:tcW w:w="1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3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3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jc w:val="center"/>
        </w:trPr>
        <w:tc>
          <w:tcPr>
            <w:tcW w:w="136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eastAsia="zh-CN"/>
              </w:rPr>
              <w:t>未如实报告规定内容个数</w:t>
            </w:r>
          </w:p>
        </w:tc>
        <w:tc>
          <w:tcPr>
            <w:tcW w:w="53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1"/>
                <w:shd w:val="clear" w:color="auto" w:fill="auto"/>
                <w:lang w:val="en-US" w:eastAsia="zh-CN"/>
              </w:rPr>
              <w:t>1</w:t>
            </w:r>
            <w:r>
              <w:rPr>
                <w:rFonts w:hint="default" w:ascii="Times New Roman" w:hAnsi="Times New Roman" w:cs="Times New Roman"/>
                <w:color w:val="auto"/>
                <w:sz w:val="20"/>
                <w:szCs w:val="21"/>
                <w:shd w:val="clear" w:color="auto" w:fill="auto"/>
                <w:lang w:val="en-US"/>
              </w:rPr>
              <w:t>个</w:t>
            </w:r>
          </w:p>
        </w:tc>
        <w:tc>
          <w:tcPr>
            <w:tcW w:w="23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1"/>
                <w:shd w:val="clear" w:color="auto" w:fill="auto"/>
                <w:lang w:val="en-US" w:eastAsia="zh-CN"/>
              </w:rPr>
              <w:t>2</w:t>
            </w:r>
            <w:r>
              <w:rPr>
                <w:rFonts w:hint="default" w:ascii="Times New Roman" w:hAnsi="Times New Roman" w:cs="Times New Roman"/>
                <w:color w:val="auto"/>
                <w:sz w:val="20"/>
                <w:szCs w:val="21"/>
                <w:shd w:val="clear" w:color="auto" w:fill="auto"/>
                <w:lang w:val="en-US"/>
              </w:rPr>
              <w:t>个</w:t>
            </w:r>
          </w:p>
        </w:tc>
        <w:tc>
          <w:tcPr>
            <w:tcW w:w="23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2</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1"/>
                <w:shd w:val="clear" w:color="auto" w:fill="auto"/>
                <w:lang w:val="en-US" w:eastAsia="zh-CN"/>
              </w:rPr>
            </w:pPr>
            <w:r>
              <w:rPr>
                <w:rFonts w:hint="default" w:ascii="Times New Roman" w:hAnsi="Times New Roman" w:cs="Times New Roman"/>
                <w:color w:val="auto"/>
                <w:sz w:val="20"/>
                <w:szCs w:val="21"/>
                <w:shd w:val="clear" w:color="auto" w:fill="auto"/>
                <w:lang w:val="en-US" w:eastAsia="zh-CN"/>
              </w:rPr>
              <w:t>3</w:t>
            </w:r>
            <w:r>
              <w:rPr>
                <w:rFonts w:hint="default" w:ascii="Times New Roman" w:hAnsi="Times New Roman" w:cs="Times New Roman"/>
                <w:color w:val="auto"/>
                <w:sz w:val="20"/>
                <w:szCs w:val="21"/>
                <w:shd w:val="clear" w:color="auto" w:fill="auto"/>
                <w:lang w:val="en-US"/>
              </w:rPr>
              <w:t>个</w:t>
            </w:r>
          </w:p>
        </w:tc>
        <w:tc>
          <w:tcPr>
            <w:tcW w:w="23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1"/>
                <w:shd w:val="clear" w:color="auto" w:fill="auto"/>
                <w:lang w:val="en-US" w:eastAsia="zh-CN"/>
              </w:rPr>
            </w:pPr>
            <w:r>
              <w:rPr>
                <w:rFonts w:hint="default" w:ascii="Times New Roman" w:hAnsi="Times New Roman" w:cs="Times New Roman"/>
                <w:color w:val="auto"/>
                <w:sz w:val="20"/>
                <w:szCs w:val="21"/>
                <w:shd w:val="clear" w:color="auto" w:fill="auto"/>
                <w:lang w:val="en-US" w:eastAsia="zh-CN"/>
              </w:rPr>
              <w:t>4</w:t>
            </w:r>
            <w:r>
              <w:rPr>
                <w:rFonts w:hint="default" w:ascii="Times New Roman" w:hAnsi="Times New Roman" w:cs="Times New Roman"/>
                <w:color w:val="auto"/>
                <w:sz w:val="20"/>
                <w:szCs w:val="21"/>
                <w:shd w:val="clear" w:color="auto" w:fill="auto"/>
                <w:lang w:val="en-US"/>
              </w:rPr>
              <w:t>个</w:t>
            </w:r>
          </w:p>
        </w:tc>
        <w:tc>
          <w:tcPr>
            <w:tcW w:w="23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1"/>
                <w:shd w:val="clear" w:color="auto" w:fill="auto"/>
                <w:lang w:val="en-US" w:eastAsia="zh-CN"/>
              </w:rPr>
            </w:pPr>
            <w:r>
              <w:rPr>
                <w:rFonts w:hint="default" w:ascii="Times New Roman" w:hAnsi="Times New Roman" w:cs="Times New Roman"/>
                <w:color w:val="auto"/>
                <w:sz w:val="20"/>
                <w:szCs w:val="21"/>
                <w:shd w:val="clear" w:color="auto" w:fill="auto"/>
                <w:lang w:val="en-US" w:eastAsia="zh-CN"/>
              </w:rPr>
              <w:t>5个以上</w:t>
            </w:r>
          </w:p>
        </w:tc>
        <w:tc>
          <w:tcPr>
            <w:tcW w:w="23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5</w:t>
            </w:r>
          </w:p>
        </w:tc>
      </w:tr>
      <w:tr>
        <w:trPr>
          <w:trHeight w:val="397" w:hRule="atLeast"/>
          <w:jc w:val="center"/>
        </w:trPr>
        <w:tc>
          <w:tcPr>
            <w:tcW w:w="136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3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3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3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3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3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6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管理类别</w:t>
            </w:r>
          </w:p>
        </w:tc>
        <w:tc>
          <w:tcPr>
            <w:tcW w:w="53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简化管理</w:t>
            </w:r>
          </w:p>
        </w:tc>
        <w:tc>
          <w:tcPr>
            <w:tcW w:w="23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3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重点管理</w:t>
            </w:r>
          </w:p>
        </w:tc>
        <w:tc>
          <w:tcPr>
            <w:tcW w:w="23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97" w:hRule="atLeast"/>
          <w:jc w:val="center"/>
        </w:trPr>
        <w:tc>
          <w:tcPr>
            <w:tcW w:w="136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污染物类别</w:t>
            </w:r>
          </w:p>
        </w:tc>
        <w:tc>
          <w:tcPr>
            <w:tcW w:w="53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 xml:space="preserve">生活废水 </w:t>
            </w:r>
            <w:r>
              <w:rPr>
                <w:rFonts w:hint="eastAsia" w:ascii="Times New Roman" w:hAnsi="Times New Roman" w:cs="Times New Roman"/>
                <w:color w:val="auto"/>
                <w:sz w:val="20"/>
                <w:szCs w:val="20"/>
                <w:shd w:val="clear" w:color="auto" w:fill="auto"/>
                <w:lang w:val="en-US" w:eastAsia="zh-CN"/>
              </w:rPr>
              <w:t>/规模以下畜禽养殖废水</w:t>
            </w:r>
            <w:r>
              <w:rPr>
                <w:rFonts w:hint="default" w:ascii="Times New Roman" w:hAnsi="Times New Roman" w:cs="Times New Roman"/>
                <w:color w:val="auto"/>
                <w:sz w:val="20"/>
                <w:szCs w:val="20"/>
                <w:shd w:val="clear" w:color="auto" w:fill="auto"/>
              </w:rPr>
              <w:t>/Ⅰ类一般工业固体废物</w:t>
            </w:r>
          </w:p>
        </w:tc>
        <w:tc>
          <w:tcPr>
            <w:tcW w:w="23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11"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44"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 xml:space="preserve">农业生产、畜禽养殖废气/工业扬尘废气/机械、汽车修理废气/服务业废水 </w:t>
            </w:r>
            <w:r>
              <w:rPr>
                <w:rFonts w:hint="eastAsia" w:ascii="Times New Roman" w:hAnsi="Times New Roman" w:cs="Times New Roman"/>
                <w:color w:val="auto"/>
                <w:sz w:val="20"/>
                <w:szCs w:val="20"/>
                <w:shd w:val="clear" w:color="auto" w:fill="auto"/>
                <w:lang w:val="en-US" w:eastAsia="zh-CN"/>
              </w:rPr>
              <w:t>/规模化畜禽养殖废水</w:t>
            </w:r>
            <w:r>
              <w:rPr>
                <w:rFonts w:hint="default" w:ascii="Times New Roman" w:hAnsi="Times New Roman" w:cs="Times New Roman"/>
                <w:color w:val="auto"/>
                <w:sz w:val="20"/>
                <w:szCs w:val="20"/>
                <w:shd w:val="clear" w:color="auto" w:fill="auto"/>
              </w:rPr>
              <w:t>/燃煤锅炉废气</w:t>
            </w:r>
          </w:p>
        </w:tc>
        <w:tc>
          <w:tcPr>
            <w:tcW w:w="23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243"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44"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一般工业废气/含恶臭污染物的废气/医疗废气/实验室废气/一般工业废水/Ⅱ类一般工业固体废物</w:t>
            </w:r>
          </w:p>
        </w:tc>
        <w:tc>
          <w:tcPr>
            <w:tcW w:w="23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292"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44"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火电、钢铁、石化、水泥、炼焦、有色、化工废气、烟尘/含其他有毒有害物质的废水、医疗废水</w:t>
            </w:r>
          </w:p>
        </w:tc>
        <w:tc>
          <w:tcPr>
            <w:tcW w:w="23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44"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含有毒有害物质的废气/含一类污染物或重金属、病原体、放射性物质的废水/危险废物</w:t>
            </w:r>
          </w:p>
        </w:tc>
        <w:tc>
          <w:tcPr>
            <w:tcW w:w="23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持续时间</w:t>
            </w:r>
          </w:p>
        </w:tc>
        <w:tc>
          <w:tcPr>
            <w:tcW w:w="53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w:t>
            </w:r>
            <w:r>
              <w:rPr>
                <w:rFonts w:hint="default" w:ascii="Times New Roman" w:hAnsi="Times New Roman" w:cs="Times New Roman"/>
                <w:color w:val="auto"/>
                <w:sz w:val="20"/>
                <w:szCs w:val="20"/>
                <w:shd w:val="clear" w:color="auto" w:fill="auto"/>
                <w:lang w:val="en-US"/>
              </w:rPr>
              <w:t>以下</w:t>
            </w:r>
            <w:r>
              <w:rPr>
                <w:rFonts w:hint="default" w:ascii="Times New Roman" w:hAnsi="Times New Roman" w:cs="Times New Roman"/>
                <w:color w:val="auto"/>
                <w:sz w:val="20"/>
                <w:szCs w:val="20"/>
                <w:shd w:val="clear" w:color="auto" w:fill="auto"/>
              </w:rPr>
              <w:t>的</w:t>
            </w:r>
          </w:p>
        </w:tc>
        <w:tc>
          <w:tcPr>
            <w:tcW w:w="23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1个月以上3个月以下的</w:t>
            </w:r>
          </w:p>
        </w:tc>
        <w:tc>
          <w:tcPr>
            <w:tcW w:w="23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3个月以上6个月以下的</w:t>
            </w:r>
          </w:p>
        </w:tc>
        <w:tc>
          <w:tcPr>
            <w:tcW w:w="23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6个月以上1年以下的</w:t>
            </w:r>
          </w:p>
        </w:tc>
        <w:tc>
          <w:tcPr>
            <w:tcW w:w="23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1年以上的</w:t>
            </w:r>
          </w:p>
        </w:tc>
        <w:tc>
          <w:tcPr>
            <w:tcW w:w="23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53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3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3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4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35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2"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34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35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4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35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4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35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362"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4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35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362"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698" w:type="dxa"/>
            <w:gridSpan w:val="2"/>
            <w:vAlign w:val="center"/>
          </w:tcPr>
          <w:p>
            <w:pPr>
              <w:shd w:val="clear" w:color="auto" w:fill="auto"/>
              <w:snapToGrid w:val="0"/>
              <w:spacing w:before="0" w:beforeAutospacing="0" w:after="0" w:afterAutospacing="0" w:line="320" w:lineRule="exact"/>
              <w:ind w:left="0" w:right="0" w:firstLine="420" w:firstLineChars="200"/>
              <w:rPr>
                <w:rFonts w:hint="default" w:ascii="Times New Roman" w:hAnsi="Times New Roman" w:cs="Times New Roman"/>
                <w:color w:val="auto"/>
                <w:sz w:val="20"/>
                <w:szCs w:val="20"/>
                <w:shd w:val="clear" w:color="auto" w:fill="auto"/>
              </w:rPr>
            </w:pPr>
          </w:p>
        </w:tc>
      </w:tr>
    </w:tbl>
    <w:p>
      <w:pPr>
        <w:shd w:val="clear" w:color="auto" w:fill="auto"/>
        <w:spacing w:line="590" w:lineRule="exact"/>
        <w:ind w:firstLine="0" w:firstLineChars="0"/>
        <w:outlineLvl w:val="9"/>
        <w:rPr>
          <w:rFonts w:ascii="Times New Roman" w:hAnsi="Times New Roman" w:eastAsia="方正楷体_GBK" w:cs="Times New Roman"/>
          <w:bCs/>
          <w:color w:val="auto"/>
          <w:sz w:val="32"/>
          <w:szCs w:val="32"/>
          <w:shd w:val="clear" w:color="auto" w:fill="auto"/>
        </w:rPr>
      </w:pPr>
    </w:p>
    <w:p>
      <w:pPr>
        <w:shd w:val="clear" w:color="auto" w:fill="auto"/>
        <w:spacing w:line="590" w:lineRule="exact"/>
        <w:ind w:firstLine="0" w:firstLineChars="0"/>
        <w:outlineLvl w:val="9"/>
        <w:rPr>
          <w:rFonts w:ascii="Times New Roman" w:hAnsi="Times New Roman" w:eastAsia="方正楷体_GBK" w:cs="Times New Roman"/>
          <w:bCs/>
          <w:color w:val="auto"/>
          <w:sz w:val="32"/>
          <w:szCs w:val="32"/>
          <w:shd w:val="clear" w:color="auto" w:fill="auto"/>
        </w:rPr>
      </w:pPr>
    </w:p>
    <w:p>
      <w:pPr>
        <w:shd w:val="clear" w:color="auto" w:fill="auto"/>
        <w:spacing w:line="590" w:lineRule="exact"/>
        <w:ind w:firstLine="0" w:firstLineChars="0"/>
        <w:outlineLvl w:val="9"/>
        <w:rPr>
          <w:rFonts w:ascii="Times New Roman" w:hAnsi="Times New Roman" w:eastAsia="方正楷体_GBK" w:cs="Times New Roman"/>
          <w:bCs/>
          <w:color w:val="auto"/>
          <w:sz w:val="32"/>
          <w:szCs w:val="32"/>
          <w:shd w:val="clear" w:color="auto" w:fill="auto"/>
        </w:rPr>
      </w:pPr>
    </w:p>
    <w:p>
      <w:pPr>
        <w:shd w:val="clear" w:color="auto" w:fill="auto"/>
        <w:spacing w:line="200" w:lineRule="exact"/>
        <w:ind w:firstLine="640" w:firstLineChars="200"/>
        <w:outlineLvl w:val="9"/>
        <w:rPr>
          <w:rFonts w:ascii="Times New Roman" w:hAnsi="Times New Roman" w:eastAsia="方正楷体_GBK" w:cs="Times New Roman"/>
          <w:bCs/>
          <w:color w:val="auto"/>
          <w:sz w:val="32"/>
          <w:szCs w:val="32"/>
          <w:shd w:val="clear" w:color="auto" w:fill="auto"/>
        </w:rPr>
      </w:pPr>
      <w:r>
        <w:rPr>
          <w:rFonts w:ascii="Times New Roman" w:hAnsi="Times New Roman" w:eastAsia="方正楷体_GBK" w:cs="Times New Roman"/>
          <w:bCs/>
          <w:color w:val="auto"/>
          <w:sz w:val="32"/>
          <w:szCs w:val="32"/>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5273"/>
        <w:gridCol w:w="2513"/>
      </w:tblGrid>
      <w:tr>
        <w:trPr>
          <w:trHeight w:val="340" w:hRule="atLeast"/>
          <w:jc w:val="center"/>
        </w:trPr>
        <w:tc>
          <w:tcPr>
            <w:tcW w:w="9060" w:type="dxa"/>
            <w:gridSpan w:val="3"/>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九</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排污许可管理类</w:t>
            </w:r>
          </w:p>
        </w:tc>
      </w:tr>
      <w:tr>
        <w:trPr>
          <w:trHeight w:val="340" w:hRule="atLeast"/>
          <w:jc w:val="center"/>
        </w:trPr>
        <w:tc>
          <w:tcPr>
            <w:tcW w:w="1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86" w:type="dxa"/>
            <w:gridSpan w:val="2"/>
            <w:vAlign w:val="center"/>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cs="Times New Roman"/>
                <w:color w:val="auto"/>
                <w:sz w:val="20"/>
                <w:szCs w:val="20"/>
                <w:shd w:val="clear" w:color="auto" w:fill="auto"/>
              </w:rPr>
            </w:pPr>
            <w:bookmarkStart w:id="445" w:name="_Toc1766"/>
            <w:r>
              <w:rPr>
                <w:rFonts w:hint="default" w:ascii="Times New Roman" w:hAnsi="Times New Roman" w:cs="Times New Roman"/>
                <w:color w:val="auto"/>
                <w:sz w:val="20"/>
                <w:szCs w:val="20"/>
                <w:shd w:val="clear" w:color="auto" w:fill="auto"/>
              </w:rPr>
              <w:t>20</w:t>
            </w:r>
            <w:bookmarkEnd w:id="445"/>
          </w:p>
        </w:tc>
      </w:tr>
      <w:tr>
        <w:trPr>
          <w:trHeight w:val="340" w:hRule="atLeast"/>
          <w:jc w:val="center"/>
        </w:trPr>
        <w:tc>
          <w:tcPr>
            <w:tcW w:w="1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86" w:type="dxa"/>
            <w:gridSpan w:val="2"/>
            <w:vAlign w:val="top"/>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eastAsia="宋体" w:cs="Times New Roman"/>
                <w:color w:val="auto"/>
                <w:sz w:val="20"/>
                <w:szCs w:val="20"/>
                <w:shd w:val="clear" w:color="auto" w:fill="auto"/>
                <w:lang w:eastAsia="zh-CN"/>
              </w:rPr>
            </w:pPr>
            <w:bookmarkStart w:id="446" w:name="_Toc22545"/>
            <w:r>
              <w:rPr>
                <w:rFonts w:hint="default" w:ascii="Times New Roman" w:hAnsi="Times New Roman" w:cs="Times New Roman"/>
                <w:color w:val="auto"/>
                <w:sz w:val="20"/>
                <w:szCs w:val="20"/>
                <w:shd w:val="clear" w:color="auto" w:fill="auto"/>
              </w:rPr>
              <w:t>排污单位拒不配合生态环境主管部门监督检查，或者在接受监督检查时弄虚作假</w:t>
            </w:r>
            <w:r>
              <w:rPr>
                <w:rFonts w:hint="default" w:ascii="Times New Roman" w:hAnsi="Times New Roman" w:cs="Times New Roman"/>
                <w:color w:val="auto"/>
                <w:sz w:val="20"/>
                <w:szCs w:val="20"/>
                <w:shd w:val="clear" w:color="auto" w:fill="auto"/>
                <w:lang w:eastAsia="zh-CN"/>
              </w:rPr>
              <w:t>的</w:t>
            </w:r>
            <w:bookmarkEnd w:id="446"/>
          </w:p>
        </w:tc>
      </w:tr>
      <w:tr>
        <w:trPr>
          <w:trHeight w:val="340" w:hRule="atLeast"/>
          <w:jc w:val="center"/>
        </w:trPr>
        <w:tc>
          <w:tcPr>
            <w:tcW w:w="1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86" w:type="dxa"/>
            <w:gridSpan w:val="2"/>
            <w:vAlign w:val="top"/>
          </w:tcPr>
          <w:p>
            <w:pPr>
              <w:pStyle w:val="19"/>
              <w:shd w:val="clear" w:color="auto" w:fill="auto"/>
              <w:snapToGrid w:val="0"/>
              <w:spacing w:before="0" w:beforeAutospacing="0" w:after="0" w:afterAutospacing="0" w:line="320" w:lineRule="exact"/>
              <w:ind w:left="0" w:right="0" w:firstLine="422" w:firstLineChars="20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《排污许可管理条例》第二十六条第一款 </w:t>
            </w:r>
            <w:r>
              <w:rPr>
                <w:rFonts w:hint="default" w:ascii="Times New Roman" w:hAnsi="Times New Roman" w:cs="Times New Roman"/>
                <w:color w:val="auto"/>
                <w:sz w:val="21"/>
                <w:szCs w:val="21"/>
                <w:shd w:val="clear" w:color="auto" w:fill="auto"/>
              </w:rPr>
              <w:t>排污单位应当配合生态环境主管部门监督检查，如实反映情况，并按照要求提供排污许可证、环境管理台账记录、排污许可证执行报告、自行监测数据等相关材料。</w:t>
            </w:r>
          </w:p>
        </w:tc>
      </w:tr>
      <w:tr>
        <w:trPr>
          <w:trHeight w:val="340" w:hRule="atLeast"/>
          <w:jc w:val="center"/>
        </w:trPr>
        <w:tc>
          <w:tcPr>
            <w:tcW w:w="1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86" w:type="dxa"/>
            <w:gridSpan w:val="2"/>
            <w:vAlign w:val="top"/>
          </w:tcPr>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《排污许可管理条例》第三十九条 </w:t>
            </w:r>
            <w:r>
              <w:rPr>
                <w:rFonts w:hint="default" w:ascii="Times New Roman" w:hAnsi="Times New Roman" w:cs="Times New Roman"/>
                <w:color w:val="auto"/>
                <w:sz w:val="21"/>
                <w:szCs w:val="21"/>
                <w:shd w:val="clear" w:color="auto" w:fill="auto"/>
              </w:rPr>
              <w:t>排污单位拒不配合生态环境主管部门监督检查，或者在接受监督检查时弄虚作假的，由生态环境主管部门责令改正，处2万元以上20万元以下的罚款。</w:t>
            </w:r>
          </w:p>
        </w:tc>
      </w:tr>
      <w:tr>
        <w:trPr>
          <w:trHeight w:val="340" w:hRule="atLeast"/>
          <w:jc w:val="center"/>
        </w:trPr>
        <w:tc>
          <w:tcPr>
            <w:tcW w:w="1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40" w:hRule="atLeast"/>
          <w:jc w:val="center"/>
        </w:trPr>
        <w:tc>
          <w:tcPr>
            <w:tcW w:w="127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★拒</w:t>
            </w:r>
            <w:r>
              <w:rPr>
                <w:rFonts w:hint="default" w:ascii="Times New Roman" w:hAnsi="Times New Roman" w:cs="Times New Roman"/>
                <w:b/>
                <w:bCs/>
                <w:color w:val="auto"/>
                <w:sz w:val="20"/>
                <w:szCs w:val="20"/>
                <w:shd w:val="clear" w:color="auto" w:fill="auto"/>
                <w:lang w:eastAsia="zh-CN"/>
              </w:rPr>
              <w:t>不配合</w:t>
            </w:r>
            <w:r>
              <w:rPr>
                <w:rFonts w:hint="default" w:ascii="Times New Roman" w:hAnsi="Times New Roman" w:cs="Times New Roman"/>
                <w:b/>
                <w:bCs/>
                <w:color w:val="auto"/>
                <w:sz w:val="20"/>
                <w:szCs w:val="20"/>
                <w:shd w:val="clear" w:color="auto" w:fill="auto"/>
              </w:rPr>
              <w:t>检查情形</w:t>
            </w:r>
          </w:p>
        </w:tc>
        <w:tc>
          <w:tcPr>
            <w:tcW w:w="527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迟滞10分钟以上30分钟以</w:t>
            </w:r>
            <w:r>
              <w:rPr>
                <w:rFonts w:hint="default" w:ascii="Times New Roman" w:hAnsi="Times New Roman" w:cs="Times New Roman"/>
                <w:color w:val="auto"/>
                <w:sz w:val="21"/>
                <w:szCs w:val="21"/>
                <w:shd w:val="clear" w:color="auto" w:fill="auto"/>
                <w:lang w:eastAsia="zh-CN"/>
              </w:rPr>
              <w:t>下</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1"/>
                <w:szCs w:val="21"/>
                <w:shd w:val="clear" w:color="auto" w:fill="auto"/>
                <w:lang w:val="en-US" w:eastAsia="zh-CN"/>
              </w:rPr>
            </w:pPr>
            <w:r>
              <w:rPr>
                <w:rFonts w:hint="default" w:ascii="Times New Roman" w:hAnsi="Times New Roman" w:cs="Times New Roman"/>
                <w:color w:val="auto"/>
                <w:sz w:val="21"/>
                <w:szCs w:val="21"/>
                <w:shd w:val="clear" w:color="auto" w:fill="auto"/>
              </w:rPr>
              <w:t>迟滞</w:t>
            </w:r>
            <w:r>
              <w:rPr>
                <w:rFonts w:hint="default" w:ascii="Times New Roman" w:hAnsi="Times New Roman" w:cs="Times New Roman"/>
                <w:color w:val="auto"/>
                <w:sz w:val="21"/>
                <w:szCs w:val="21"/>
                <w:shd w:val="clear" w:color="auto" w:fill="auto"/>
                <w:lang w:val="en-US" w:eastAsia="zh-CN"/>
              </w:rPr>
              <w:t>30分钟以上</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40"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阻碍或隐匿部分资料</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围堵、滞留执法人员或拒绝提供资料</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40"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暴力抗法</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27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★弄虚作假情形</w:t>
            </w:r>
          </w:p>
        </w:tc>
        <w:tc>
          <w:tcPr>
            <w:tcW w:w="527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提供假信息</w:t>
            </w:r>
          </w:p>
        </w:tc>
        <w:tc>
          <w:tcPr>
            <w:tcW w:w="25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3</w:t>
            </w:r>
          </w:p>
        </w:tc>
      </w:tr>
      <w:tr>
        <w:trPr>
          <w:trHeight w:val="340"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伪造现场或证据</w:t>
            </w:r>
          </w:p>
        </w:tc>
        <w:tc>
          <w:tcPr>
            <w:tcW w:w="25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27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rPr>
              <w:t>污染物类别</w:t>
            </w: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生活废水/Ⅰ类一般工业固体废物</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273"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农业生产、畜禽养殖废气/工业扬尘废气/机械、汽车修理废气/服务业废水/燃煤锅炉废气</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2</w:t>
            </w:r>
          </w:p>
        </w:tc>
      </w:tr>
      <w:tr>
        <w:trPr>
          <w:trHeight w:val="340"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273"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一般工业废气/含恶臭污染物的废气/医疗废气/实验室废气/一般工业废水/Ⅱ类一般工业固体废物</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273"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火电、钢铁、石化、水泥、炼焦、有色、化工废气、烟尘/含其他有毒有害物质的废水、医疗废水</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4</w:t>
            </w:r>
          </w:p>
        </w:tc>
      </w:tr>
      <w:tr>
        <w:trPr>
          <w:trHeight w:val="340"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273"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含有毒有害物质的废气/含一类污染物或重金属、病原体、放射性物质的废水/危险废物</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27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企业</w:t>
            </w:r>
            <w:r>
              <w:rPr>
                <w:rFonts w:hint="default" w:ascii="Times New Roman" w:hAnsi="Times New Roman" w:cs="Times New Roman"/>
                <w:b/>
                <w:bCs/>
                <w:color w:val="auto"/>
                <w:sz w:val="20"/>
                <w:szCs w:val="20"/>
                <w:shd w:val="clear" w:color="auto" w:fill="auto"/>
                <w:lang w:val="en-US"/>
              </w:rPr>
              <w:t>规模</w:t>
            </w: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微型企业</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40"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小型企业</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340"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中型企业</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40"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大型企业</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eastAsia="zh-CN"/>
              </w:rPr>
              <w:t>4</w:t>
            </w:r>
          </w:p>
        </w:tc>
      </w:tr>
      <w:tr>
        <w:trPr>
          <w:trHeight w:val="340" w:hRule="atLeast"/>
          <w:jc w:val="center"/>
        </w:trPr>
        <w:tc>
          <w:tcPr>
            <w:tcW w:w="127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管理类别</w:t>
            </w: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登记管理</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40"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简化管理</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340"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重点管理</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40" w:hRule="atLeast"/>
          <w:jc w:val="center"/>
        </w:trPr>
        <w:tc>
          <w:tcPr>
            <w:tcW w:w="127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5273" w:type="dxa"/>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86" w:type="dxa"/>
            <w:gridSpan w:val="2"/>
            <w:vAlign w:val="center"/>
          </w:tcPr>
          <w:p>
            <w:pPr>
              <w:shd w:val="clear" w:color="auto" w:fill="auto"/>
              <w:snapToGrid w:val="0"/>
              <w:spacing w:before="0" w:beforeAutospacing="0" w:after="0" w:afterAutospacing="0" w:line="320" w:lineRule="exact"/>
              <w:ind w:left="0" w:right="0"/>
              <w:rPr>
                <w:rFonts w:hint="default" w:ascii="Times New Roman" w:hAnsi="Times New Roman" w:cs="Times New Roman"/>
                <w:color w:val="auto"/>
                <w:sz w:val="20"/>
                <w:szCs w:val="20"/>
                <w:shd w:val="clear" w:color="auto" w:fill="auto"/>
              </w:rPr>
            </w:pPr>
          </w:p>
        </w:tc>
      </w:tr>
    </w:tbl>
    <w:p>
      <w:pPr>
        <w:shd w:val="clear" w:color="auto" w:fill="auto"/>
        <w:spacing w:line="200" w:lineRule="exact"/>
        <w:ind w:firstLine="640" w:firstLineChars="200"/>
        <w:outlineLvl w:val="9"/>
        <w:rPr>
          <w:rFonts w:ascii="Times New Roman" w:hAnsi="Times New Roman" w:eastAsia="方正楷体_GBK" w:cs="Times New Roman"/>
          <w:bCs/>
          <w:color w:val="auto"/>
          <w:sz w:val="32"/>
          <w:szCs w:val="32"/>
          <w:shd w:val="clear" w:color="auto" w:fill="auto"/>
        </w:rPr>
      </w:pPr>
      <w:r>
        <w:rPr>
          <w:rFonts w:ascii="Times New Roman" w:hAnsi="Times New Roman" w:eastAsia="方正楷体_GBK" w:cs="Times New Roman"/>
          <w:bCs/>
          <w:color w:val="auto"/>
          <w:sz w:val="32"/>
          <w:szCs w:val="32"/>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5273"/>
        <w:gridCol w:w="2513"/>
      </w:tblGrid>
      <w:tr>
        <w:trPr>
          <w:trHeight w:val="397" w:hRule="atLeast"/>
          <w:jc w:val="center"/>
        </w:trPr>
        <w:tc>
          <w:tcPr>
            <w:tcW w:w="9060" w:type="dxa"/>
            <w:gridSpan w:val="3"/>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highlight w:val="yellow"/>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九</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排污许可管理类</w:t>
            </w:r>
          </w:p>
        </w:tc>
      </w:tr>
      <w:tr>
        <w:trPr>
          <w:trHeight w:val="397" w:hRule="atLeast"/>
          <w:jc w:val="center"/>
        </w:trPr>
        <w:tc>
          <w:tcPr>
            <w:tcW w:w="1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86" w:type="dxa"/>
            <w:gridSpan w:val="2"/>
            <w:vAlign w:val="center"/>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cs="Times New Roman"/>
                <w:color w:val="auto"/>
                <w:sz w:val="20"/>
                <w:szCs w:val="20"/>
                <w:shd w:val="clear" w:color="auto" w:fill="auto"/>
              </w:rPr>
            </w:pPr>
            <w:bookmarkStart w:id="447" w:name="_Toc10529"/>
            <w:r>
              <w:rPr>
                <w:rFonts w:hint="default" w:ascii="Times New Roman" w:hAnsi="Times New Roman" w:cs="Times New Roman"/>
                <w:color w:val="auto"/>
                <w:sz w:val="20"/>
                <w:szCs w:val="20"/>
                <w:shd w:val="clear" w:color="auto" w:fill="auto"/>
              </w:rPr>
              <w:t>21</w:t>
            </w:r>
            <w:bookmarkEnd w:id="447"/>
          </w:p>
        </w:tc>
      </w:tr>
      <w:tr>
        <w:trPr>
          <w:trHeight w:val="397" w:hRule="atLeast"/>
          <w:jc w:val="center"/>
        </w:trPr>
        <w:tc>
          <w:tcPr>
            <w:tcW w:w="1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86" w:type="dxa"/>
            <w:gridSpan w:val="2"/>
            <w:vAlign w:val="top"/>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cs="Times New Roman"/>
                <w:color w:val="auto"/>
                <w:sz w:val="20"/>
                <w:szCs w:val="20"/>
                <w:shd w:val="clear" w:color="auto" w:fill="auto"/>
              </w:rPr>
            </w:pPr>
            <w:bookmarkStart w:id="448" w:name="_Toc12333"/>
            <w:r>
              <w:rPr>
                <w:rFonts w:hint="default" w:ascii="Times New Roman" w:hAnsi="Times New Roman" w:cs="Times New Roman"/>
                <w:color w:val="auto"/>
                <w:sz w:val="20"/>
                <w:szCs w:val="20"/>
                <w:shd w:val="clear" w:color="auto" w:fill="auto"/>
              </w:rPr>
              <w:t>排污单位以欺骗、贿赂等不正当手段申请取得排污许可证的</w:t>
            </w:r>
            <w:bookmarkEnd w:id="448"/>
          </w:p>
        </w:tc>
      </w:tr>
      <w:tr>
        <w:trPr>
          <w:trHeight w:val="5590" w:hRule="atLeast"/>
          <w:jc w:val="center"/>
        </w:trPr>
        <w:tc>
          <w:tcPr>
            <w:tcW w:w="1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86" w:type="dxa"/>
            <w:gridSpan w:val="2"/>
            <w:vAlign w:val="center"/>
          </w:tcPr>
          <w:p>
            <w:pPr>
              <w:pStyle w:val="19"/>
              <w:shd w:val="clear" w:color="auto" w:fill="auto"/>
              <w:snapToGrid w:val="0"/>
              <w:spacing w:before="0" w:beforeAutospacing="0" w:after="0" w:afterAutospacing="0" w:line="320" w:lineRule="exact"/>
              <w:ind w:left="0" w:right="0" w:firstLine="422" w:firstLineChars="200"/>
              <w:jc w:val="both"/>
              <w:rPr>
                <w:rFonts w:hint="default" w:ascii="Times New Roman" w:hAnsi="Times New Roman" w:eastAsia="宋体" w:cs="Times New Roman"/>
                <w:b w:val="0"/>
                <w:bCs w:val="0"/>
                <w:color w:val="auto"/>
                <w:sz w:val="21"/>
                <w:szCs w:val="21"/>
                <w:shd w:val="clear" w:color="auto" w:fill="auto"/>
                <w:lang w:val="en-US" w:eastAsia="zh-CN"/>
              </w:rPr>
            </w:pPr>
            <w:r>
              <w:rPr>
                <w:rFonts w:hint="eastAsia" w:ascii="Times New Roman" w:hAnsi="Times New Roman" w:cs="Times New Roman"/>
                <w:b/>
                <w:bCs/>
                <w:color w:val="auto"/>
                <w:sz w:val="21"/>
                <w:szCs w:val="21"/>
                <w:shd w:val="clear" w:color="auto" w:fill="auto"/>
                <w:lang w:eastAsia="zh-CN"/>
              </w:rPr>
              <w:t>《</w:t>
            </w:r>
            <w:r>
              <w:rPr>
                <w:rFonts w:hint="eastAsia" w:ascii="Times New Roman" w:hAnsi="Times New Roman" w:cs="Times New Roman"/>
                <w:b/>
                <w:bCs/>
                <w:color w:val="auto"/>
                <w:sz w:val="21"/>
                <w:szCs w:val="21"/>
                <w:shd w:val="clear" w:color="auto" w:fill="auto"/>
                <w:lang w:val="en-US" w:eastAsia="zh-CN"/>
              </w:rPr>
              <w:t>行政许可法</w:t>
            </w:r>
            <w:r>
              <w:rPr>
                <w:rFonts w:hint="eastAsia" w:ascii="Times New Roman" w:hAnsi="Times New Roman" w:cs="Times New Roman"/>
                <w:b/>
                <w:bCs/>
                <w:color w:val="auto"/>
                <w:sz w:val="21"/>
                <w:szCs w:val="21"/>
                <w:shd w:val="clear" w:color="auto" w:fill="auto"/>
                <w:lang w:eastAsia="zh-CN"/>
              </w:rPr>
              <w:t>》</w:t>
            </w:r>
            <w:r>
              <w:rPr>
                <w:rFonts w:hint="eastAsia" w:ascii="Times New Roman" w:hAnsi="Times New Roman" w:cs="Times New Roman"/>
                <w:b/>
                <w:bCs/>
                <w:color w:val="auto"/>
                <w:sz w:val="21"/>
                <w:szCs w:val="21"/>
                <w:shd w:val="clear" w:color="auto" w:fill="auto"/>
                <w:lang w:val="en-US" w:eastAsia="zh-CN"/>
              </w:rPr>
              <w:t xml:space="preserve">第六十九条第二款 </w:t>
            </w:r>
            <w:r>
              <w:rPr>
                <w:rFonts w:hint="eastAsia" w:ascii="Times New Roman" w:hAnsi="Times New Roman" w:cs="Times New Roman"/>
                <w:b w:val="0"/>
                <w:bCs w:val="0"/>
                <w:color w:val="auto"/>
                <w:sz w:val="21"/>
                <w:szCs w:val="21"/>
                <w:shd w:val="clear" w:color="auto" w:fill="auto"/>
                <w:lang w:val="en-US" w:eastAsia="zh-CN"/>
              </w:rPr>
              <w:t>被许可人以欺骗、贿赂等不正当手段取得行政许可的，应当予以撤销。</w:t>
            </w:r>
          </w:p>
          <w:p>
            <w:pPr>
              <w:pStyle w:val="19"/>
              <w:shd w:val="clear" w:color="auto" w:fill="auto"/>
              <w:snapToGrid w:val="0"/>
              <w:spacing w:before="0" w:beforeAutospacing="0" w:after="0" w:afterAutospacing="0" w:line="320" w:lineRule="exact"/>
              <w:ind w:left="0" w:right="0" w:firstLine="422" w:firstLineChars="20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《排污许可管理条例》第二条第一款 </w:t>
            </w:r>
            <w:r>
              <w:rPr>
                <w:rFonts w:hint="default" w:ascii="Times New Roman" w:hAnsi="Times New Roman" w:cs="Times New Roman"/>
                <w:color w:val="auto"/>
                <w:sz w:val="21"/>
                <w:szCs w:val="21"/>
                <w:shd w:val="clear" w:color="auto" w:fill="auto"/>
              </w:rPr>
              <w:t>依照法律规定实行排污许可管理的企业事业单位和其他生产经营者（以下称排污单位），应当依照本条例规定申请取得排污许可证；未取得排污许可证的，不得排放污染物。</w:t>
            </w:r>
          </w:p>
          <w:p>
            <w:pPr>
              <w:pStyle w:val="19"/>
              <w:shd w:val="clear" w:color="auto" w:fill="auto"/>
              <w:snapToGrid w:val="0"/>
              <w:spacing w:before="0" w:beforeAutospacing="0" w:after="0" w:afterAutospacing="0" w:line="320" w:lineRule="exact"/>
              <w:ind w:left="0" w:right="0" w:firstLine="422" w:firstLineChars="20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《排污许可管理条例》第十一条 </w:t>
            </w:r>
            <w:r>
              <w:rPr>
                <w:rFonts w:hint="default" w:ascii="Times New Roman" w:hAnsi="Times New Roman" w:cs="Times New Roman"/>
                <w:color w:val="auto"/>
                <w:sz w:val="21"/>
                <w:szCs w:val="21"/>
                <w:shd w:val="clear" w:color="auto" w:fill="auto"/>
              </w:rPr>
              <w:t>对具备下列条件的排污单位，颁发排污许可证：</w:t>
            </w:r>
          </w:p>
          <w:p>
            <w:pPr>
              <w:pStyle w:val="19"/>
              <w:shd w:val="clear" w:color="auto" w:fill="auto"/>
              <w:snapToGrid w:val="0"/>
              <w:spacing w:before="0" w:beforeAutospacing="0" w:after="0" w:afterAutospacing="0" w:line="320" w:lineRule="exact"/>
              <w:ind w:left="0" w:right="0" w:firstLine="420" w:firstLineChars="20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（一）依法取得建设项目环境影响报告书（表）批准文件，或者已经办理环境影响登记表备案手续；</w:t>
            </w:r>
          </w:p>
          <w:p>
            <w:pPr>
              <w:pStyle w:val="19"/>
              <w:shd w:val="clear" w:color="auto" w:fill="auto"/>
              <w:snapToGrid w:val="0"/>
              <w:spacing w:before="0" w:beforeAutospacing="0" w:after="0" w:afterAutospacing="0" w:line="320" w:lineRule="exact"/>
              <w:ind w:left="0" w:right="0" w:firstLine="420" w:firstLineChars="20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二）污染物排放符合污染物排放标准要求，重点污染物排放符合排污许可证申请与核发技术规范、环境影响报告书（表）批准文件、重点污染物排放总量控制要求；其中，排污单位生产经营场所位于未达到国家环境质量标准的重点区域、流域的，还应当符合有关地方人民政府关于改善生态环境质量的特别要求；</w:t>
            </w:r>
          </w:p>
          <w:p>
            <w:pPr>
              <w:pStyle w:val="19"/>
              <w:shd w:val="clear" w:color="auto" w:fill="auto"/>
              <w:snapToGrid w:val="0"/>
              <w:spacing w:before="0" w:beforeAutospacing="0" w:after="0" w:afterAutospacing="0" w:line="320" w:lineRule="exact"/>
              <w:ind w:left="0" w:right="0" w:firstLine="420" w:firstLineChars="20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（三）采用污染防治设施可以达到许可排放浓度要求或者符合污染防治可行技术；</w:t>
            </w:r>
          </w:p>
          <w:p>
            <w:pPr>
              <w:pStyle w:val="19"/>
              <w:shd w:val="clear" w:color="auto" w:fill="auto"/>
              <w:snapToGrid w:val="0"/>
              <w:spacing w:before="0" w:beforeAutospacing="0" w:after="0" w:afterAutospacing="0" w:line="320" w:lineRule="exact"/>
              <w:ind w:left="0" w:right="0" w:firstLine="420" w:firstLineChars="20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（四）自行监测方案的监测点位、指标、频次等符合国家自行监测规范。</w:t>
            </w:r>
          </w:p>
        </w:tc>
      </w:tr>
      <w:tr>
        <w:trPr>
          <w:trHeight w:val="2740" w:hRule="atLeast"/>
          <w:jc w:val="center"/>
        </w:trPr>
        <w:tc>
          <w:tcPr>
            <w:tcW w:w="1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86" w:type="dxa"/>
            <w:gridSpan w:val="2"/>
            <w:vAlign w:val="center"/>
          </w:tcPr>
          <w:p>
            <w:pPr>
              <w:pStyle w:val="19"/>
              <w:shd w:val="clear" w:color="auto" w:fill="auto"/>
              <w:snapToGrid w:val="0"/>
              <w:spacing w:before="0" w:beforeAutospacing="0" w:after="0" w:afterAutospacing="0" w:line="320" w:lineRule="exact"/>
              <w:ind w:left="0" w:right="0" w:firstLine="422" w:firstLineChars="200"/>
              <w:jc w:val="both"/>
              <w:rPr>
                <w:rFonts w:hint="default" w:ascii="Times New Roman" w:hAnsi="Times New Roman" w:cs="Times New Roman"/>
                <w:b w:val="0"/>
                <w:bCs w:val="0"/>
                <w:color w:val="auto"/>
                <w:sz w:val="21"/>
                <w:szCs w:val="21"/>
                <w:shd w:val="clear" w:color="auto" w:fill="auto"/>
              </w:rPr>
            </w:pPr>
            <w:r>
              <w:rPr>
                <w:rFonts w:hint="eastAsia" w:ascii="Times New Roman" w:hAnsi="Times New Roman" w:cs="Times New Roman"/>
                <w:b/>
                <w:bCs/>
                <w:color w:val="auto"/>
                <w:sz w:val="21"/>
                <w:szCs w:val="21"/>
                <w:shd w:val="clear" w:color="auto" w:fill="auto"/>
                <w:lang w:eastAsia="zh-CN"/>
              </w:rPr>
              <w:t>《</w:t>
            </w:r>
            <w:r>
              <w:rPr>
                <w:rFonts w:hint="eastAsia" w:ascii="Times New Roman" w:hAnsi="Times New Roman" w:cs="Times New Roman"/>
                <w:b/>
                <w:bCs/>
                <w:color w:val="auto"/>
                <w:sz w:val="21"/>
                <w:szCs w:val="21"/>
                <w:shd w:val="clear" w:color="auto" w:fill="auto"/>
                <w:lang w:val="en-US" w:eastAsia="zh-CN"/>
              </w:rPr>
              <w:t>行政许可法</w:t>
            </w:r>
            <w:r>
              <w:rPr>
                <w:rFonts w:hint="eastAsia" w:ascii="Times New Roman" w:hAnsi="Times New Roman" w:cs="Times New Roman"/>
                <w:b/>
                <w:bCs/>
                <w:color w:val="auto"/>
                <w:sz w:val="21"/>
                <w:szCs w:val="21"/>
                <w:shd w:val="clear" w:color="auto" w:fill="auto"/>
                <w:lang w:eastAsia="zh-CN"/>
              </w:rPr>
              <w:t>》</w:t>
            </w:r>
            <w:r>
              <w:rPr>
                <w:rFonts w:hint="default" w:ascii="Times New Roman" w:hAnsi="Times New Roman" w:cs="Times New Roman"/>
                <w:b/>
                <w:bCs/>
                <w:color w:val="auto"/>
                <w:sz w:val="21"/>
                <w:szCs w:val="21"/>
                <w:shd w:val="clear" w:color="auto" w:fill="auto"/>
              </w:rPr>
              <w:t>第七十九条</w:t>
            </w:r>
            <w:r>
              <w:rPr>
                <w:rFonts w:hint="eastAsia" w:ascii="Times New Roman" w:hAnsi="Times New Roman" w:cs="Times New Roman"/>
                <w:b/>
                <w:bCs/>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pPr>
              <w:pStyle w:val="19"/>
              <w:shd w:val="clear" w:color="auto" w:fill="auto"/>
              <w:snapToGrid w:val="0"/>
              <w:spacing w:before="0" w:beforeAutospacing="0" w:after="0" w:afterAutospacing="0" w:line="320" w:lineRule="exact"/>
              <w:ind w:left="0" w:right="0" w:firstLine="422" w:firstLineChars="20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《排污许可管理条例》第四十条 </w:t>
            </w:r>
            <w:r>
              <w:rPr>
                <w:rFonts w:hint="default" w:ascii="Times New Roman" w:hAnsi="Times New Roman" w:cs="Times New Roman"/>
                <w:color w:val="auto"/>
                <w:sz w:val="21"/>
                <w:szCs w:val="21"/>
                <w:shd w:val="clear" w:color="auto" w:fill="auto"/>
              </w:rPr>
              <w:t>排污单位以欺骗、贿赂等不正当手段申请取得排污许可证的，由审批部门依法撤销其排污许可证，处20万元以上50万元以下的罚款，3年内不得再次申请排污许可证。</w:t>
            </w:r>
          </w:p>
        </w:tc>
      </w:tr>
      <w:tr>
        <w:trPr>
          <w:trHeight w:val="454" w:hRule="atLeast"/>
          <w:jc w:val="center"/>
        </w:trPr>
        <w:tc>
          <w:tcPr>
            <w:tcW w:w="1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54" w:hRule="atLeast"/>
          <w:jc w:val="center"/>
        </w:trPr>
        <w:tc>
          <w:tcPr>
            <w:tcW w:w="127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★贿赂</w:t>
            </w:r>
          </w:p>
        </w:tc>
        <w:tc>
          <w:tcPr>
            <w:tcW w:w="527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贿赂金额5千元</w:t>
            </w:r>
            <w:r>
              <w:rPr>
                <w:rFonts w:hint="default" w:ascii="Times New Roman" w:hAnsi="Times New Roman" w:cs="Times New Roman"/>
                <w:color w:val="auto"/>
                <w:sz w:val="21"/>
                <w:szCs w:val="21"/>
                <w:shd w:val="clear" w:color="auto" w:fill="auto"/>
                <w:lang w:eastAsia="zh-CN"/>
              </w:rPr>
              <w:t>以下</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54"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贿赂金额5千元以上3万元以下</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54"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贿赂金额3万元以上10万元以下</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54"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贿赂金额10万元以上20万元以下</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454"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贿赂金额20万元以上</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54" w:hRule="atLeast"/>
          <w:jc w:val="center"/>
        </w:trPr>
        <w:tc>
          <w:tcPr>
            <w:tcW w:w="127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★欺骗</w:t>
            </w: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提供关键性虚假信息</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54"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伪造现场或现场伪造证据</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54" w:hRule="atLeast"/>
          <w:jc w:val="center"/>
        </w:trPr>
        <w:tc>
          <w:tcPr>
            <w:tcW w:w="127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企业</w:t>
            </w:r>
            <w:r>
              <w:rPr>
                <w:rFonts w:hint="default" w:ascii="Times New Roman" w:hAnsi="Times New Roman" w:cs="Times New Roman"/>
                <w:b/>
                <w:bCs/>
                <w:color w:val="auto"/>
                <w:sz w:val="20"/>
                <w:szCs w:val="20"/>
                <w:shd w:val="clear" w:color="auto" w:fill="auto"/>
                <w:lang w:val="en-US"/>
              </w:rPr>
              <w:t>规模</w:t>
            </w: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微型企业</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454"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小型企业</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454"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中型企业</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454"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大型企业</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eastAsia="zh-CN"/>
              </w:rPr>
              <w:t>4</w:t>
            </w:r>
          </w:p>
        </w:tc>
      </w:tr>
      <w:tr>
        <w:trPr>
          <w:trHeight w:val="454" w:hRule="atLeast"/>
          <w:jc w:val="center"/>
        </w:trPr>
        <w:tc>
          <w:tcPr>
            <w:tcW w:w="127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管理类别</w:t>
            </w: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简化管理</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454"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重点管理</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74" w:hRule="atLeast"/>
          <w:jc w:val="center"/>
        </w:trPr>
        <w:tc>
          <w:tcPr>
            <w:tcW w:w="127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污染物类别</w:t>
            </w: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 xml:space="preserve">生活废水/Ⅰ类一般工业固体废物 </w:t>
            </w:r>
            <w:r>
              <w:rPr>
                <w:rFonts w:hint="eastAsia" w:ascii="Times New Roman" w:hAnsi="Times New Roman" w:cs="Times New Roman"/>
                <w:color w:val="auto"/>
                <w:sz w:val="20"/>
                <w:szCs w:val="20"/>
                <w:shd w:val="clear" w:color="auto" w:fill="auto"/>
                <w:lang w:val="en-US" w:eastAsia="zh-CN"/>
              </w:rPr>
              <w:t>/规模以下畜禽养殖废水</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74"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 xml:space="preserve">农业生产、畜禽养殖废气/工业扬尘废气/机械、汽车修理废气/服务业废水/燃煤锅炉废气 </w:t>
            </w:r>
            <w:r>
              <w:rPr>
                <w:rFonts w:hint="eastAsia" w:ascii="Times New Roman" w:hAnsi="Times New Roman" w:cs="Times New Roman"/>
                <w:color w:val="auto"/>
                <w:sz w:val="20"/>
                <w:szCs w:val="20"/>
                <w:shd w:val="clear" w:color="auto" w:fill="auto"/>
                <w:lang w:val="en-US" w:eastAsia="zh-CN"/>
              </w:rPr>
              <w:t>/规模化畜禽养殖废水</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74"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一般工业废气/含恶臭污染物的废气/医疗废气/实验室废气/一般工业废水/Ⅱ类一般工业固体废物</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74"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火电、钢铁、石化、水泥、炼焦、有色、化工废气、烟尘/含其他有毒有害物质的废水、医疗废水</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74"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含有毒有害物质的废气/含一类污染物或重金属、病原体、放射性物质的废水/危险废物</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74" w:hRule="atLeast"/>
          <w:jc w:val="center"/>
        </w:trPr>
        <w:tc>
          <w:tcPr>
            <w:tcW w:w="127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欺骗、贿赂相对人</w:t>
            </w: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欺骗、贿赂对象1人</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10"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欺骗、贿赂对象2人</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10"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欺骗、贿赂对象3人以上</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7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未受到过同类处罚</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受到同类处罚1次</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受到同类处罚2次以上</w:t>
            </w:r>
          </w:p>
        </w:tc>
        <w:tc>
          <w:tcPr>
            <w:tcW w:w="2513"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7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27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5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5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5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jc w:val="center"/>
        </w:trPr>
        <w:tc>
          <w:tcPr>
            <w:tcW w:w="127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27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513"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jc w:val="center"/>
        </w:trPr>
        <w:tc>
          <w:tcPr>
            <w:tcW w:w="127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86"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pacing w:line="590" w:lineRule="exact"/>
        <w:ind w:firstLine="0" w:firstLineChars="0"/>
        <w:outlineLvl w:val="9"/>
        <w:rPr>
          <w:rFonts w:ascii="Times New Roman" w:hAnsi="Times New Roman" w:eastAsia="方正楷体_GBK" w:cs="Times New Roman"/>
          <w:bCs/>
          <w:color w:val="auto"/>
          <w:sz w:val="32"/>
          <w:szCs w:val="32"/>
          <w:shd w:val="clear" w:color="auto" w:fill="auto"/>
        </w:rPr>
      </w:pPr>
    </w:p>
    <w:p>
      <w:pPr>
        <w:shd w:val="clear" w:color="auto" w:fill="auto"/>
        <w:spacing w:line="590" w:lineRule="exact"/>
        <w:ind w:firstLine="0" w:firstLineChars="0"/>
        <w:outlineLvl w:val="9"/>
        <w:rPr>
          <w:rFonts w:ascii="Times New Roman" w:hAnsi="Times New Roman" w:eastAsia="方正楷体_GBK" w:cs="Times New Roman"/>
          <w:bCs/>
          <w:color w:val="auto"/>
          <w:sz w:val="32"/>
          <w:szCs w:val="32"/>
          <w:shd w:val="clear" w:color="auto" w:fill="auto"/>
        </w:rPr>
      </w:pPr>
    </w:p>
    <w:p>
      <w:pPr>
        <w:shd w:val="clear" w:color="auto" w:fill="auto"/>
        <w:spacing w:line="590" w:lineRule="exact"/>
        <w:ind w:firstLine="0" w:firstLineChars="0"/>
        <w:outlineLvl w:val="9"/>
        <w:rPr>
          <w:rFonts w:ascii="Times New Roman" w:hAnsi="Times New Roman" w:eastAsia="方正楷体_GBK" w:cs="Times New Roman"/>
          <w:bCs/>
          <w:color w:val="auto"/>
          <w:sz w:val="32"/>
          <w:szCs w:val="32"/>
          <w:shd w:val="clear" w:color="auto" w:fill="auto"/>
        </w:rPr>
      </w:pPr>
    </w:p>
    <w:p>
      <w:pPr>
        <w:shd w:val="clear" w:color="auto" w:fill="auto"/>
        <w:spacing w:line="200" w:lineRule="exact"/>
        <w:ind w:firstLine="640" w:firstLineChars="200"/>
        <w:outlineLvl w:val="9"/>
        <w:rPr>
          <w:rFonts w:ascii="Times New Roman" w:hAnsi="Times New Roman" w:eastAsia="方正楷体_GBK" w:cs="Times New Roman"/>
          <w:bCs/>
          <w:color w:val="auto"/>
          <w:sz w:val="32"/>
          <w:szCs w:val="32"/>
          <w:shd w:val="clear" w:color="auto" w:fill="auto"/>
        </w:rPr>
      </w:pPr>
      <w:r>
        <w:rPr>
          <w:rFonts w:ascii="Times New Roman" w:hAnsi="Times New Roman" w:eastAsia="方正楷体_GBK" w:cs="Times New Roman"/>
          <w:bCs/>
          <w:color w:val="auto"/>
          <w:sz w:val="32"/>
          <w:szCs w:val="32"/>
          <w:shd w:val="clear" w:color="auto" w:fill="auto"/>
        </w:rPr>
        <w:br w:type="page"/>
      </w:r>
    </w:p>
    <w:tbl>
      <w:tblPr>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491"/>
        <w:gridCol w:w="2164"/>
      </w:tblGrid>
      <w:tr>
        <w:trPr>
          <w:trHeight w:val="340" w:hRule="atLeast"/>
        </w:trPr>
        <w:tc>
          <w:tcPr>
            <w:tcW w:w="8931" w:type="dxa"/>
            <w:gridSpan w:val="3"/>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九</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排污许可管理类</w:t>
            </w:r>
          </w:p>
        </w:tc>
      </w:tr>
      <w:tr>
        <w:trPr>
          <w:trHeight w:val="340" w:hRule="atLeast"/>
        </w:trPr>
        <w:tc>
          <w:tcPr>
            <w:tcW w:w="12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655" w:type="dxa"/>
            <w:gridSpan w:val="2"/>
            <w:vAlign w:val="center"/>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cs="Times New Roman"/>
                <w:color w:val="auto"/>
                <w:sz w:val="20"/>
                <w:szCs w:val="20"/>
                <w:shd w:val="clear" w:color="auto" w:fill="auto"/>
              </w:rPr>
            </w:pPr>
            <w:bookmarkStart w:id="449" w:name="_Toc5251"/>
            <w:r>
              <w:rPr>
                <w:rFonts w:hint="default" w:ascii="Times New Roman" w:hAnsi="Times New Roman" w:cs="Times New Roman"/>
                <w:color w:val="auto"/>
                <w:sz w:val="20"/>
                <w:szCs w:val="20"/>
                <w:shd w:val="clear" w:color="auto" w:fill="auto"/>
              </w:rPr>
              <w:t>22</w:t>
            </w:r>
            <w:bookmarkEnd w:id="449"/>
          </w:p>
        </w:tc>
      </w:tr>
      <w:tr>
        <w:trPr>
          <w:trHeight w:val="340" w:hRule="atLeast"/>
        </w:trPr>
        <w:tc>
          <w:tcPr>
            <w:tcW w:w="12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655" w:type="dxa"/>
            <w:gridSpan w:val="2"/>
            <w:vAlign w:val="center"/>
          </w:tcPr>
          <w:p>
            <w:pPr>
              <w:pStyle w:val="18"/>
              <w:shd w:val="clear" w:color="auto" w:fill="auto"/>
              <w:spacing w:before="0" w:beforeAutospacing="0" w:after="0" w:afterAutospacing="0" w:line="300" w:lineRule="exact"/>
              <w:ind w:left="0" w:right="0"/>
              <w:jc w:val="center"/>
              <w:outlineLvl w:val="0"/>
              <w:rPr>
                <w:rFonts w:hint="default" w:ascii="Times New Roman" w:hAnsi="Times New Roman" w:cs="Times New Roman"/>
                <w:color w:val="auto"/>
                <w:kern w:val="2"/>
                <w:sz w:val="21"/>
                <w:szCs w:val="21"/>
                <w:shd w:val="clear" w:color="auto" w:fill="auto"/>
              </w:rPr>
            </w:pPr>
            <w:bookmarkStart w:id="450" w:name="_Toc641"/>
            <w:r>
              <w:rPr>
                <w:rFonts w:hint="default" w:ascii="Times New Roman" w:hAnsi="Times New Roman" w:cs="Times New Roman"/>
                <w:color w:val="auto"/>
                <w:kern w:val="2"/>
                <w:sz w:val="21"/>
                <w:szCs w:val="21"/>
                <w:shd w:val="clear" w:color="auto" w:fill="auto"/>
              </w:rPr>
              <w:t>伪造、变造、转让排污许可证的</w:t>
            </w:r>
            <w:bookmarkEnd w:id="450"/>
          </w:p>
        </w:tc>
      </w:tr>
      <w:tr>
        <w:trPr>
          <w:trHeight w:val="340" w:hRule="atLeast"/>
        </w:trPr>
        <w:tc>
          <w:tcPr>
            <w:tcW w:w="12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655" w:type="dxa"/>
            <w:gridSpan w:val="2"/>
            <w:vAlign w:val="top"/>
          </w:tcPr>
          <w:p>
            <w:pPr>
              <w:pStyle w:val="19"/>
              <w:shd w:val="clear" w:color="auto" w:fill="auto"/>
              <w:snapToGrid w:val="0"/>
              <w:spacing w:before="0" w:beforeAutospacing="0" w:after="0" w:afterAutospacing="0" w:line="300" w:lineRule="exact"/>
              <w:ind w:left="0" w:right="0" w:firstLine="482"/>
              <w:jc w:val="both"/>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 xml:space="preserve">《排污许可管理条例》第二十六条第二款 </w:t>
            </w:r>
            <w:r>
              <w:rPr>
                <w:rFonts w:hint="default" w:ascii="Times New Roman" w:hAnsi="Times New Roman" w:cs="Times New Roman"/>
                <w:color w:val="auto"/>
                <w:sz w:val="21"/>
                <w:szCs w:val="21"/>
                <w:shd w:val="clear" w:color="auto" w:fill="auto"/>
              </w:rPr>
              <w:t>禁止伪造、变造、转让排污许可证。</w:t>
            </w:r>
          </w:p>
        </w:tc>
      </w:tr>
      <w:tr>
        <w:trPr>
          <w:trHeight w:val="340" w:hRule="atLeast"/>
        </w:trPr>
        <w:tc>
          <w:tcPr>
            <w:tcW w:w="12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655" w:type="dxa"/>
            <w:gridSpan w:val="2"/>
            <w:vAlign w:val="top"/>
          </w:tcPr>
          <w:p>
            <w:pPr>
              <w:pStyle w:val="18"/>
              <w:shd w:val="clear" w:color="auto" w:fill="auto"/>
              <w:spacing w:before="0" w:beforeAutospacing="0" w:after="0" w:afterAutospacing="0" w:line="300" w:lineRule="exact"/>
              <w:ind w:left="0" w:right="0" w:firstLine="420"/>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b/>
                <w:bCs/>
                <w:color w:val="auto"/>
                <w:sz w:val="21"/>
                <w:szCs w:val="21"/>
                <w:shd w:val="clear" w:color="auto" w:fill="auto"/>
              </w:rPr>
              <w:t>《排污许可管理条例》</w:t>
            </w:r>
            <w:r>
              <w:rPr>
                <w:rFonts w:hint="default" w:ascii="Times New Roman" w:hAnsi="Times New Roman" w:cs="Times New Roman"/>
                <w:b/>
                <w:bCs/>
                <w:color w:val="auto"/>
                <w:kern w:val="2"/>
                <w:sz w:val="21"/>
                <w:szCs w:val="21"/>
                <w:shd w:val="clear" w:color="auto" w:fill="auto"/>
              </w:rPr>
              <w:t xml:space="preserve">第四十一条 </w:t>
            </w:r>
            <w:r>
              <w:rPr>
                <w:rFonts w:hint="default" w:ascii="Times New Roman" w:hAnsi="Times New Roman" w:cs="Times New Roman"/>
                <w:color w:val="auto"/>
                <w:kern w:val="2"/>
                <w:sz w:val="21"/>
                <w:szCs w:val="21"/>
                <w:shd w:val="clear" w:color="auto" w:fill="auto"/>
              </w:rPr>
              <w:t>违反本条例规定，伪造、变造、转让排污许可证的，由生态环境主管部门没收相关证件或者吊销排污许可证，处10万元以上30万元以下的罚款，3年内不得再次申请排污许可证。</w:t>
            </w:r>
          </w:p>
        </w:tc>
      </w:tr>
      <w:tr>
        <w:trPr>
          <w:trHeight w:val="340" w:hRule="atLeast"/>
        </w:trPr>
        <w:tc>
          <w:tcPr>
            <w:tcW w:w="12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4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1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12" w:hRule="atLeast"/>
        </w:trPr>
        <w:tc>
          <w:tcPr>
            <w:tcW w:w="1276" w:type="dxa"/>
            <w:vMerge w:val="restart"/>
            <w:vAlign w:val="center"/>
          </w:tcPr>
          <w:p>
            <w:pPr>
              <w:shd w:val="clear" w:color="auto" w:fill="auto"/>
              <w:snapToGrid/>
              <w:spacing w:before="0" w:beforeAutospacing="0" w:after="0" w:afterAutospacing="0" w:line="320" w:lineRule="exact"/>
              <w:ind w:left="0" w:right="0"/>
              <w:jc w:val="left"/>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4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转让许可证</w:t>
            </w:r>
          </w:p>
        </w:tc>
        <w:tc>
          <w:tcPr>
            <w:tcW w:w="21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12" w:hRule="atLeast"/>
        </w:trPr>
        <w:tc>
          <w:tcPr>
            <w:tcW w:w="1276" w:type="dxa"/>
            <w:vMerge w:val="continue"/>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91" w:type="dxa"/>
            <w:vAlign w:val="center"/>
          </w:tcPr>
          <w:p>
            <w:pPr>
              <w:pStyle w:val="19"/>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1"/>
                <w:szCs w:val="21"/>
                <w:shd w:val="clear" w:color="auto" w:fill="auto"/>
              </w:rPr>
              <w:t>伪造、变造许可证</w:t>
            </w:r>
          </w:p>
        </w:tc>
        <w:tc>
          <w:tcPr>
            <w:tcW w:w="2164" w:type="dxa"/>
            <w:vAlign w:val="center"/>
          </w:tcPr>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12" w:hRule="atLeast"/>
        </w:trPr>
        <w:tc>
          <w:tcPr>
            <w:tcW w:w="12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管理类别</w:t>
            </w:r>
          </w:p>
        </w:tc>
        <w:tc>
          <w:tcPr>
            <w:tcW w:w="54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 xml:space="preserve">简化管理                           </w:t>
            </w:r>
          </w:p>
        </w:tc>
        <w:tc>
          <w:tcPr>
            <w:tcW w:w="21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12" w:hRule="atLeast"/>
        </w:trPr>
        <w:tc>
          <w:tcPr>
            <w:tcW w:w="12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重点管理</w:t>
            </w:r>
          </w:p>
        </w:tc>
        <w:tc>
          <w:tcPr>
            <w:tcW w:w="21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12" w:hRule="atLeast"/>
        </w:trPr>
        <w:tc>
          <w:tcPr>
            <w:tcW w:w="12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企业规模</w:t>
            </w:r>
          </w:p>
        </w:tc>
        <w:tc>
          <w:tcPr>
            <w:tcW w:w="54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微型企业</w:t>
            </w:r>
          </w:p>
        </w:tc>
        <w:tc>
          <w:tcPr>
            <w:tcW w:w="21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12" w:hRule="atLeast"/>
        </w:trPr>
        <w:tc>
          <w:tcPr>
            <w:tcW w:w="12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4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小型企业</w:t>
            </w:r>
          </w:p>
        </w:tc>
        <w:tc>
          <w:tcPr>
            <w:tcW w:w="21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312" w:hRule="atLeast"/>
        </w:trPr>
        <w:tc>
          <w:tcPr>
            <w:tcW w:w="12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4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中型企业</w:t>
            </w:r>
          </w:p>
        </w:tc>
        <w:tc>
          <w:tcPr>
            <w:tcW w:w="21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12" w:hRule="atLeast"/>
        </w:trPr>
        <w:tc>
          <w:tcPr>
            <w:tcW w:w="12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4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eastAsia="zh-CN"/>
              </w:rPr>
              <w:t>大型企业</w:t>
            </w:r>
          </w:p>
        </w:tc>
        <w:tc>
          <w:tcPr>
            <w:tcW w:w="21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4</w:t>
            </w:r>
          </w:p>
        </w:tc>
      </w:tr>
      <w:tr>
        <w:trPr>
          <w:trHeight w:val="312" w:hRule="atLeast"/>
        </w:trPr>
        <w:tc>
          <w:tcPr>
            <w:tcW w:w="12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类别</w:t>
            </w:r>
          </w:p>
        </w:tc>
        <w:tc>
          <w:tcPr>
            <w:tcW w:w="54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 xml:space="preserve">生活废水/Ⅰ类一般工业固体废物 </w:t>
            </w:r>
            <w:r>
              <w:rPr>
                <w:rFonts w:hint="eastAsia" w:ascii="Times New Roman" w:hAnsi="Times New Roman" w:cs="Times New Roman"/>
                <w:color w:val="auto"/>
                <w:sz w:val="20"/>
                <w:szCs w:val="20"/>
                <w:shd w:val="clear" w:color="auto" w:fill="auto"/>
                <w:lang w:val="en-US" w:eastAsia="zh-CN"/>
              </w:rPr>
              <w:t>/规模以下畜禽养殖废水</w:t>
            </w:r>
          </w:p>
        </w:tc>
        <w:tc>
          <w:tcPr>
            <w:tcW w:w="21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12" w:hRule="atLeast"/>
        </w:trPr>
        <w:tc>
          <w:tcPr>
            <w:tcW w:w="1276" w:type="dxa"/>
            <w:vMerge w:val="continue"/>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91"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0"/>
                <w:shd w:val="clear" w:color="auto" w:fill="auto"/>
              </w:rPr>
              <w:t xml:space="preserve">农业生产、畜禽养殖废气/工业扬尘废气/机械、汽车修理废气/服务业废水/燃煤锅炉废气 </w:t>
            </w:r>
            <w:r>
              <w:rPr>
                <w:rFonts w:hint="eastAsia" w:ascii="Times New Roman" w:hAnsi="Times New Roman" w:cs="Times New Roman"/>
                <w:color w:val="auto"/>
                <w:sz w:val="20"/>
                <w:szCs w:val="20"/>
                <w:shd w:val="clear" w:color="auto" w:fill="auto"/>
                <w:lang w:val="en-US" w:eastAsia="zh-CN"/>
              </w:rPr>
              <w:t>/规模化畜禽养殖废水</w:t>
            </w:r>
          </w:p>
        </w:tc>
        <w:tc>
          <w:tcPr>
            <w:tcW w:w="21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12" w:hRule="atLeast"/>
        </w:trPr>
        <w:tc>
          <w:tcPr>
            <w:tcW w:w="1276" w:type="dxa"/>
            <w:vMerge w:val="continue"/>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0"/>
                <w:shd w:val="clear" w:color="auto" w:fill="auto"/>
              </w:rPr>
              <w:t>一般工业废气/含恶臭污染物的废气/医疗废气/实验室废气/一般工业废水/Ⅱ类一般工业固体废物</w:t>
            </w:r>
          </w:p>
        </w:tc>
        <w:tc>
          <w:tcPr>
            <w:tcW w:w="21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12" w:hRule="atLeast"/>
        </w:trPr>
        <w:tc>
          <w:tcPr>
            <w:tcW w:w="1276" w:type="dxa"/>
            <w:vMerge w:val="continue"/>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91"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0"/>
                <w:shd w:val="clear" w:color="auto" w:fill="auto"/>
              </w:rPr>
              <w:t>火电、钢铁、石化、水泥、炼焦、有色、化工废气、烟尘/含其他有毒有害物质的废水、医疗废水</w:t>
            </w:r>
          </w:p>
        </w:tc>
        <w:tc>
          <w:tcPr>
            <w:tcW w:w="21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12" w:hRule="atLeast"/>
        </w:trPr>
        <w:tc>
          <w:tcPr>
            <w:tcW w:w="1276" w:type="dxa"/>
            <w:vMerge w:val="continue"/>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91" w:type="dxa"/>
            <w:vAlign w:val="center"/>
          </w:tcPr>
          <w:p>
            <w:pPr>
              <w:shd w:val="clear" w:color="auto" w:fill="auto"/>
              <w:snapToGrid w:val="0"/>
              <w:spacing w:before="0" w:beforeAutospacing="0" w:after="0" w:afterAutospacing="0" w:line="320" w:lineRule="exact"/>
              <w:ind w:left="0" w:right="0"/>
              <w:jc w:val="left"/>
              <w:rPr>
                <w:rFonts w:hint="default" w:ascii="Times New Roman" w:hAnsi="Times New Roman" w:cs="Times New Roman"/>
                <w:color w:val="auto"/>
                <w:sz w:val="20"/>
                <w:szCs w:val="21"/>
                <w:shd w:val="clear" w:color="auto" w:fill="auto"/>
              </w:rPr>
            </w:pPr>
            <w:r>
              <w:rPr>
                <w:rFonts w:hint="default" w:ascii="Times New Roman" w:hAnsi="Times New Roman" w:cs="Times New Roman"/>
                <w:color w:val="auto"/>
                <w:sz w:val="20"/>
                <w:szCs w:val="20"/>
                <w:shd w:val="clear" w:color="auto" w:fill="auto"/>
              </w:rPr>
              <w:t>含有毒有害物质的废气/含一类污染物或重金属、病原体、放射性物质的废水/危险废物</w:t>
            </w:r>
          </w:p>
        </w:tc>
        <w:tc>
          <w:tcPr>
            <w:tcW w:w="21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12" w:hRule="atLeast"/>
        </w:trPr>
        <w:tc>
          <w:tcPr>
            <w:tcW w:w="12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持续时间</w:t>
            </w:r>
          </w:p>
        </w:tc>
        <w:tc>
          <w:tcPr>
            <w:tcW w:w="54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w:t>
            </w:r>
            <w:r>
              <w:rPr>
                <w:rFonts w:hint="default" w:ascii="Times New Roman" w:hAnsi="Times New Roman" w:cs="Times New Roman"/>
                <w:color w:val="auto"/>
                <w:sz w:val="20"/>
                <w:szCs w:val="20"/>
                <w:shd w:val="clear" w:color="auto" w:fill="auto"/>
                <w:lang w:val="en-US"/>
              </w:rPr>
              <w:t>以下</w:t>
            </w:r>
            <w:r>
              <w:rPr>
                <w:rFonts w:hint="default" w:ascii="Times New Roman" w:hAnsi="Times New Roman" w:cs="Times New Roman"/>
                <w:color w:val="auto"/>
                <w:sz w:val="20"/>
                <w:szCs w:val="20"/>
                <w:shd w:val="clear" w:color="auto" w:fill="auto"/>
              </w:rPr>
              <w:t>的</w:t>
            </w:r>
          </w:p>
        </w:tc>
        <w:tc>
          <w:tcPr>
            <w:tcW w:w="21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12" w:hRule="atLeast"/>
        </w:trPr>
        <w:tc>
          <w:tcPr>
            <w:tcW w:w="1276" w:type="dxa"/>
            <w:vMerge w:val="continue"/>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1个月以上3个月以下的</w:t>
            </w:r>
          </w:p>
        </w:tc>
        <w:tc>
          <w:tcPr>
            <w:tcW w:w="21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12" w:hRule="atLeast"/>
        </w:trPr>
        <w:tc>
          <w:tcPr>
            <w:tcW w:w="1276" w:type="dxa"/>
            <w:vMerge w:val="continue"/>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3个月以上6个月以下的</w:t>
            </w:r>
          </w:p>
        </w:tc>
        <w:tc>
          <w:tcPr>
            <w:tcW w:w="21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12" w:hRule="atLeast"/>
        </w:trPr>
        <w:tc>
          <w:tcPr>
            <w:tcW w:w="1276" w:type="dxa"/>
            <w:vMerge w:val="continue"/>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6个月以上1年以下的</w:t>
            </w:r>
          </w:p>
        </w:tc>
        <w:tc>
          <w:tcPr>
            <w:tcW w:w="21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12" w:hRule="atLeast"/>
        </w:trPr>
        <w:tc>
          <w:tcPr>
            <w:tcW w:w="1276" w:type="dxa"/>
            <w:vMerge w:val="continue"/>
            <w:vAlign w:val="center"/>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1年以上的</w:t>
            </w:r>
          </w:p>
        </w:tc>
        <w:tc>
          <w:tcPr>
            <w:tcW w:w="21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12" w:hRule="atLeast"/>
        </w:trPr>
        <w:tc>
          <w:tcPr>
            <w:tcW w:w="12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受处罚</w:t>
            </w:r>
            <w:r>
              <w:rPr>
                <w:rFonts w:hint="default" w:ascii="Times New Roman" w:hAnsi="Times New Roman" w:cs="Times New Roman"/>
                <w:b/>
                <w:bCs/>
                <w:color w:val="auto"/>
                <w:sz w:val="20"/>
                <w:szCs w:val="20"/>
                <w:shd w:val="clear" w:color="auto" w:fill="auto"/>
              </w:rPr>
              <w:t>次数</w:t>
            </w:r>
          </w:p>
        </w:tc>
        <w:tc>
          <w:tcPr>
            <w:tcW w:w="54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1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12" w:hRule="atLeast"/>
        </w:trPr>
        <w:tc>
          <w:tcPr>
            <w:tcW w:w="12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1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12" w:hRule="atLeast"/>
        </w:trPr>
        <w:tc>
          <w:tcPr>
            <w:tcW w:w="12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9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16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12" w:hRule="atLeast"/>
        </w:trPr>
        <w:tc>
          <w:tcPr>
            <w:tcW w:w="127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4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16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12" w:hRule="atLeast"/>
        </w:trPr>
        <w:tc>
          <w:tcPr>
            <w:tcW w:w="12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16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12" w:hRule="atLeast"/>
        </w:trPr>
        <w:tc>
          <w:tcPr>
            <w:tcW w:w="12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16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12" w:hRule="atLeast"/>
        </w:trPr>
        <w:tc>
          <w:tcPr>
            <w:tcW w:w="127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49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164"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12" w:hRule="atLeast"/>
        </w:trPr>
        <w:tc>
          <w:tcPr>
            <w:tcW w:w="127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655"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shd w:val="clear" w:color="auto" w:fill="auto"/>
        <w:spacing w:line="200" w:lineRule="exact"/>
        <w:ind w:firstLine="640" w:firstLineChars="200"/>
        <w:outlineLvl w:val="9"/>
        <w:rPr>
          <w:rFonts w:ascii="Times New Roman" w:hAnsi="Times New Roman" w:eastAsia="方正楷体_GBK" w:cs="Times New Roman"/>
          <w:bCs/>
          <w:color w:val="auto"/>
          <w:sz w:val="32"/>
          <w:szCs w:val="32"/>
          <w:shd w:val="clear" w:color="auto" w:fill="auto"/>
        </w:rPr>
      </w:pPr>
      <w:r>
        <w:rPr>
          <w:rFonts w:ascii="Times New Roman" w:hAnsi="Times New Roman" w:eastAsia="方正楷体_GBK" w:cs="Times New Roman"/>
          <w:bCs/>
          <w:color w:val="auto"/>
          <w:sz w:val="32"/>
          <w:szCs w:val="32"/>
          <w:shd w:val="clear" w:color="auto" w:fill="auto"/>
        </w:rPr>
        <w:br w:type="page"/>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5056"/>
        <w:gridCol w:w="2701"/>
      </w:tblGrid>
      <w:tr>
        <w:trPr>
          <w:trHeight w:val="340" w:hRule="atLeast"/>
          <w:jc w:val="center"/>
        </w:trPr>
        <w:tc>
          <w:tcPr>
            <w:tcW w:w="9060" w:type="dxa"/>
            <w:gridSpan w:val="3"/>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val="en-US"/>
              </w:rPr>
              <w:t>九</w:t>
            </w:r>
            <w:r>
              <w:rPr>
                <w:rFonts w:hint="default" w:ascii="Times New Roman" w:hAnsi="Times New Roman" w:cs="Times New Roman"/>
                <w:b/>
                <w:bCs/>
                <w:color w:val="auto"/>
                <w:sz w:val="20"/>
                <w:szCs w:val="20"/>
                <w:shd w:val="clear" w:color="auto" w:fill="auto"/>
                <w:lang/>
              </w:rPr>
              <w:t>）</w:t>
            </w:r>
            <w:r>
              <w:rPr>
                <w:rFonts w:hint="default" w:ascii="Times New Roman" w:hAnsi="Times New Roman" w:cs="Times New Roman"/>
                <w:b/>
                <w:bCs/>
                <w:color w:val="auto"/>
                <w:sz w:val="20"/>
                <w:szCs w:val="20"/>
                <w:shd w:val="clear" w:color="auto" w:fill="auto"/>
              </w:rPr>
              <w:t>排污许可管理类</w:t>
            </w:r>
          </w:p>
        </w:tc>
      </w:tr>
      <w:tr>
        <w:trPr>
          <w:trHeight w:val="340" w:hRule="atLeast"/>
          <w:jc w:val="center"/>
        </w:trPr>
        <w:tc>
          <w:tcPr>
            <w:tcW w:w="1303"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57" w:type="dxa"/>
            <w:gridSpan w:val="2"/>
            <w:vAlign w:val="center"/>
          </w:tcPr>
          <w:p>
            <w:pPr>
              <w:shd w:val="clear" w:color="auto" w:fill="auto"/>
              <w:wordWrap/>
              <w:adjustRightInd/>
              <w:snapToGrid w:val="0"/>
              <w:spacing w:before="0" w:beforeAutospacing="0" w:after="0" w:afterAutospacing="0" w:line="300" w:lineRule="exact"/>
              <w:ind w:left="0" w:right="0"/>
              <w:jc w:val="center"/>
              <w:outlineLvl w:val="0"/>
              <w:rPr>
                <w:rFonts w:hint="default" w:ascii="Times New Roman" w:hAnsi="Times New Roman" w:cs="Times New Roman"/>
                <w:color w:val="auto"/>
                <w:sz w:val="20"/>
                <w:szCs w:val="20"/>
                <w:shd w:val="clear" w:color="auto" w:fill="auto"/>
              </w:rPr>
            </w:pPr>
            <w:bookmarkStart w:id="451" w:name="_Toc4410"/>
            <w:r>
              <w:rPr>
                <w:rFonts w:hint="default" w:ascii="Times New Roman" w:hAnsi="Times New Roman" w:cs="Times New Roman"/>
                <w:color w:val="auto"/>
                <w:sz w:val="20"/>
                <w:szCs w:val="20"/>
                <w:shd w:val="clear" w:color="auto" w:fill="auto"/>
              </w:rPr>
              <w:t>23</w:t>
            </w:r>
            <w:bookmarkEnd w:id="451"/>
          </w:p>
        </w:tc>
      </w:tr>
      <w:tr>
        <w:trPr>
          <w:trHeight w:val="340" w:hRule="atLeast"/>
          <w:jc w:val="center"/>
        </w:trPr>
        <w:tc>
          <w:tcPr>
            <w:tcW w:w="1303"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57" w:type="dxa"/>
            <w:gridSpan w:val="2"/>
            <w:vAlign w:val="center"/>
          </w:tcPr>
          <w:p>
            <w:pPr>
              <w:shd w:val="clear" w:color="auto" w:fill="auto"/>
              <w:wordWrap/>
              <w:adjustRightInd/>
              <w:snapToGrid w:val="0"/>
              <w:spacing w:before="0" w:beforeAutospacing="0" w:after="0" w:afterAutospacing="0" w:line="300" w:lineRule="exact"/>
              <w:ind w:left="0" w:right="0"/>
              <w:jc w:val="center"/>
              <w:outlineLvl w:val="0"/>
              <w:rPr>
                <w:rFonts w:hint="default" w:ascii="Times New Roman" w:hAnsi="Times New Roman" w:cs="Times New Roman"/>
                <w:color w:val="auto"/>
                <w:sz w:val="20"/>
                <w:szCs w:val="20"/>
                <w:shd w:val="clear" w:color="auto" w:fill="auto"/>
              </w:rPr>
            </w:pPr>
            <w:bookmarkStart w:id="452" w:name="_Toc7651"/>
            <w:r>
              <w:rPr>
                <w:rFonts w:hint="default" w:ascii="Times New Roman" w:hAnsi="Times New Roman" w:cs="Times New Roman"/>
                <w:color w:val="auto"/>
                <w:sz w:val="20"/>
                <w:szCs w:val="20"/>
                <w:shd w:val="clear" w:color="auto" w:fill="auto"/>
              </w:rPr>
              <w:t>需要填报排污登记表，但未填报排污信息的</w:t>
            </w:r>
            <w:bookmarkEnd w:id="452"/>
          </w:p>
        </w:tc>
      </w:tr>
      <w:tr>
        <w:trPr>
          <w:trHeight w:val="340" w:hRule="atLeast"/>
          <w:jc w:val="center"/>
        </w:trPr>
        <w:tc>
          <w:tcPr>
            <w:tcW w:w="1303"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57" w:type="dxa"/>
            <w:gridSpan w:val="2"/>
            <w:vAlign w:val="top"/>
          </w:tcPr>
          <w:p>
            <w:pPr>
              <w:shd w:val="clear" w:color="auto" w:fill="auto"/>
              <w:wordWrap/>
              <w:adjustRightInd/>
              <w:spacing w:before="0" w:beforeAutospacing="0" w:after="0" w:afterAutospacing="0" w:line="300" w:lineRule="exact"/>
              <w:ind w:left="0" w:right="0" w:firstLine="422"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《排污许可管理条例》第二十四条第一款 </w:t>
            </w:r>
            <w:r>
              <w:rPr>
                <w:rFonts w:hint="default" w:ascii="Times New Roman" w:hAnsi="Times New Roman" w:cs="Times New Roman"/>
                <w:color w:val="auto"/>
                <w:sz w:val="20"/>
                <w:szCs w:val="20"/>
                <w:shd w:val="clear" w:color="auto" w:fill="auto"/>
              </w:rPr>
              <w:t>污染物产生量、排放量和对环境的影响程度都很小的企业事业单位和其他生产经营者，应当填报排污登记表，不需要申请取得排污许可证。</w:t>
            </w:r>
          </w:p>
        </w:tc>
      </w:tr>
      <w:tr>
        <w:trPr>
          <w:trHeight w:val="340" w:hRule="atLeast"/>
          <w:jc w:val="center"/>
        </w:trPr>
        <w:tc>
          <w:tcPr>
            <w:tcW w:w="1303"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57" w:type="dxa"/>
            <w:gridSpan w:val="2"/>
            <w:vAlign w:val="top"/>
          </w:tcPr>
          <w:p>
            <w:pPr>
              <w:shd w:val="clear" w:color="auto" w:fill="auto"/>
              <w:wordWrap/>
              <w:adjustRightInd/>
              <w:spacing w:before="0" w:beforeAutospacing="0" w:after="0" w:afterAutospacing="0" w:line="300" w:lineRule="exact"/>
              <w:ind w:left="0" w:right="0" w:firstLine="422" w:firstLineChars="200"/>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 xml:space="preserve">《排污许可管理条例》第四十三条 </w:t>
            </w:r>
            <w:r>
              <w:rPr>
                <w:rFonts w:hint="default" w:ascii="Times New Roman" w:hAnsi="Times New Roman" w:cs="Times New Roman"/>
                <w:color w:val="auto"/>
                <w:sz w:val="20"/>
                <w:szCs w:val="20"/>
                <w:shd w:val="clear" w:color="auto" w:fill="auto"/>
              </w:rPr>
              <w:t>需要填报排污登记表的企业事业单位和其他生产经营者，未依照本条例规定填报排污信息的，由生态环境主管部门责令改正，可以处5万元以下的罚款。</w:t>
            </w:r>
          </w:p>
        </w:tc>
      </w:tr>
      <w:tr>
        <w:trPr>
          <w:trHeight w:val="340" w:hRule="atLeast"/>
          <w:jc w:val="center"/>
        </w:trPr>
        <w:tc>
          <w:tcPr>
            <w:tcW w:w="1303"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056"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701"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40" w:hRule="atLeast"/>
          <w:jc w:val="center"/>
        </w:trPr>
        <w:tc>
          <w:tcPr>
            <w:tcW w:w="1303" w:type="dxa"/>
            <w:vMerge w:val="restart"/>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056" w:type="dxa"/>
            <w:vAlign w:val="center"/>
          </w:tcPr>
          <w:p>
            <w:pPr>
              <w:widowControl/>
              <w:shd w:val="clear" w:color="auto" w:fill="auto"/>
              <w:wordWrap/>
              <w:adjustRightInd/>
              <w:snapToGrid w:val="0"/>
              <w:spacing w:before="0" w:beforeAutospacing="0" w:after="0" w:afterAutospacing="0" w:line="300" w:lineRule="exact"/>
              <w:ind w:left="0" w:right="0"/>
              <w:jc w:val="center"/>
              <w:textAlignment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未按规定填报排污信息</w:t>
            </w:r>
          </w:p>
        </w:tc>
        <w:tc>
          <w:tcPr>
            <w:tcW w:w="2701" w:type="dxa"/>
            <w:vAlign w:val="center"/>
          </w:tcPr>
          <w:p>
            <w:pPr>
              <w:widowControl/>
              <w:shd w:val="clear" w:color="auto" w:fill="auto"/>
              <w:wordWrap/>
              <w:adjustRightInd/>
              <w:snapToGrid w:val="0"/>
              <w:spacing w:before="0" w:beforeAutospacing="0" w:after="0" w:afterAutospacing="0" w:line="300" w:lineRule="exact"/>
              <w:ind w:left="0" w:right="0"/>
              <w:jc w:val="center"/>
              <w:textAlignment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2</w:t>
            </w:r>
          </w:p>
        </w:tc>
      </w:tr>
      <w:tr>
        <w:trPr>
          <w:trHeight w:val="340" w:hRule="atLeast"/>
          <w:jc w:val="center"/>
        </w:trPr>
        <w:tc>
          <w:tcPr>
            <w:tcW w:w="1303" w:type="dxa"/>
            <w:vMerge w:val="continue"/>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6" w:type="dxa"/>
            <w:vAlign w:val="center"/>
          </w:tcPr>
          <w:p>
            <w:pPr>
              <w:widowControl/>
              <w:shd w:val="clear" w:color="auto" w:fill="auto"/>
              <w:wordWrap/>
              <w:adjustRightInd/>
              <w:snapToGrid w:val="0"/>
              <w:spacing w:before="0" w:beforeAutospacing="0" w:after="0" w:afterAutospacing="0" w:line="300" w:lineRule="exact"/>
              <w:ind w:left="0" w:right="0"/>
              <w:jc w:val="center"/>
              <w:textAlignment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未填报排污信息</w:t>
            </w:r>
          </w:p>
        </w:tc>
        <w:tc>
          <w:tcPr>
            <w:tcW w:w="2701" w:type="dxa"/>
            <w:vAlign w:val="center"/>
          </w:tcPr>
          <w:p>
            <w:pPr>
              <w:widowControl/>
              <w:shd w:val="clear" w:color="auto" w:fill="auto"/>
              <w:wordWrap/>
              <w:adjustRightInd/>
              <w:snapToGrid w:val="0"/>
              <w:spacing w:before="0" w:beforeAutospacing="0" w:after="0" w:afterAutospacing="0" w:line="300" w:lineRule="exact"/>
              <w:ind w:left="0" w:right="0"/>
              <w:jc w:val="center"/>
              <w:textAlignment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40" w:hRule="atLeast"/>
          <w:jc w:val="center"/>
        </w:trPr>
        <w:tc>
          <w:tcPr>
            <w:tcW w:w="1303" w:type="dxa"/>
            <w:vMerge w:val="restart"/>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地点</w:t>
            </w:r>
          </w:p>
        </w:tc>
        <w:tc>
          <w:tcPr>
            <w:tcW w:w="5056" w:type="dxa"/>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w:t>
            </w:r>
            <w:r>
              <w:rPr>
                <w:rFonts w:hint="default" w:ascii="Times New Roman" w:hAnsi="Times New Roman" w:cs="Times New Roman"/>
                <w:color w:val="auto"/>
                <w:sz w:val="20"/>
                <w:szCs w:val="20"/>
                <w:shd w:val="clear" w:color="auto" w:fill="auto"/>
                <w:lang w:val="en-US"/>
              </w:rPr>
              <w:t>区</w:t>
            </w:r>
            <w:r>
              <w:rPr>
                <w:rFonts w:hint="default" w:ascii="Times New Roman" w:hAnsi="Times New Roman" w:cs="Times New Roman"/>
                <w:color w:val="auto"/>
                <w:sz w:val="20"/>
                <w:szCs w:val="20"/>
                <w:shd w:val="clear" w:color="auto" w:fill="auto"/>
              </w:rPr>
              <w:t>划</w:t>
            </w:r>
          </w:p>
        </w:tc>
        <w:tc>
          <w:tcPr>
            <w:tcW w:w="2701" w:type="dxa"/>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sz w:val="20"/>
                <w:szCs w:val="20"/>
                <w:shd w:val="clear" w:color="auto" w:fill="auto"/>
                <w:lang w:val="en-US" w:eastAsia="zh-CN"/>
              </w:rPr>
              <w:t>1</w:t>
            </w:r>
          </w:p>
        </w:tc>
      </w:tr>
      <w:tr>
        <w:trPr>
          <w:trHeight w:val="340" w:hRule="atLeast"/>
          <w:jc w:val="center"/>
        </w:trPr>
        <w:tc>
          <w:tcPr>
            <w:tcW w:w="1303" w:type="dxa"/>
            <w:vMerge w:val="continue"/>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6" w:type="dxa"/>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w:t>
            </w:r>
            <w:r>
              <w:rPr>
                <w:rFonts w:hint="default" w:ascii="Times New Roman" w:hAnsi="Times New Roman" w:cs="Times New Roman"/>
                <w:color w:val="auto"/>
                <w:sz w:val="20"/>
                <w:szCs w:val="20"/>
                <w:shd w:val="clear" w:color="auto" w:fill="auto"/>
                <w:lang w:val="en-US"/>
              </w:rPr>
              <w:t>区</w:t>
            </w:r>
            <w:r>
              <w:rPr>
                <w:rFonts w:hint="default" w:ascii="Times New Roman" w:hAnsi="Times New Roman" w:cs="Times New Roman"/>
                <w:color w:val="auto"/>
                <w:sz w:val="20"/>
                <w:szCs w:val="20"/>
                <w:shd w:val="clear" w:color="auto" w:fill="auto"/>
              </w:rPr>
              <w:t>划，但位于居住区、商业交通居民混合区、文化区、工业区和农村地区</w:t>
            </w:r>
          </w:p>
        </w:tc>
        <w:tc>
          <w:tcPr>
            <w:tcW w:w="2701" w:type="dxa"/>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40" w:hRule="atLeast"/>
          <w:jc w:val="center"/>
        </w:trPr>
        <w:tc>
          <w:tcPr>
            <w:tcW w:w="1303" w:type="dxa"/>
            <w:vMerge w:val="continue"/>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6" w:type="dxa"/>
            <w:vAlign w:val="center"/>
          </w:tcPr>
          <w:p>
            <w:pPr>
              <w:shd w:val="clear" w:color="auto" w:fill="auto"/>
              <w:wordWrap/>
              <w:adjustRightInd/>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w:t>
            </w:r>
            <w:r>
              <w:rPr>
                <w:rFonts w:hint="default" w:ascii="Times New Roman" w:hAnsi="Times New Roman" w:cs="Times New Roman"/>
                <w:color w:val="auto"/>
                <w:sz w:val="20"/>
                <w:szCs w:val="20"/>
                <w:shd w:val="clear" w:color="auto" w:fill="auto"/>
                <w:lang w:val="en-US"/>
              </w:rPr>
              <w:t>区</w:t>
            </w:r>
            <w:r>
              <w:rPr>
                <w:rFonts w:hint="default" w:ascii="Times New Roman" w:hAnsi="Times New Roman" w:cs="Times New Roman"/>
                <w:color w:val="auto"/>
                <w:sz w:val="20"/>
                <w:szCs w:val="20"/>
                <w:shd w:val="clear" w:color="auto" w:fill="auto"/>
              </w:rPr>
              <w:t>划，但位于自然保护区、风景名胜区和其他需要特殊保护的区域</w:t>
            </w:r>
          </w:p>
        </w:tc>
        <w:tc>
          <w:tcPr>
            <w:tcW w:w="2701" w:type="dxa"/>
            <w:vAlign w:val="center"/>
          </w:tcPr>
          <w:p>
            <w:pPr>
              <w:shd w:val="clear" w:color="auto" w:fill="auto"/>
              <w:wordWrap/>
              <w:adjustRightInd/>
              <w:spacing w:before="0" w:beforeAutospacing="0" w:after="0" w:afterAutospacing="0" w:line="300" w:lineRule="exact"/>
              <w:ind w:left="0" w:right="0"/>
              <w:jc w:val="center"/>
              <w:textAlignment w:val="auto"/>
              <w:rPr>
                <w:rFonts w:hint="eastAsia"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40" w:hRule="atLeast"/>
          <w:jc w:val="center"/>
        </w:trPr>
        <w:tc>
          <w:tcPr>
            <w:tcW w:w="1303" w:type="dxa"/>
            <w:vMerge w:val="restart"/>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情况</w:t>
            </w:r>
          </w:p>
        </w:tc>
        <w:tc>
          <w:tcPr>
            <w:tcW w:w="5056"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配套建设污染防治设施已建成的</w:t>
            </w:r>
          </w:p>
        </w:tc>
        <w:tc>
          <w:tcPr>
            <w:tcW w:w="2701"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03" w:type="dxa"/>
            <w:vMerge w:val="continue"/>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6"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配套建设污染防治设施正在建设的</w:t>
            </w:r>
          </w:p>
        </w:tc>
        <w:tc>
          <w:tcPr>
            <w:tcW w:w="2701"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303" w:type="dxa"/>
            <w:vMerge w:val="continue"/>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6"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配套建设污染防治设施尚未建设的</w:t>
            </w:r>
          </w:p>
        </w:tc>
        <w:tc>
          <w:tcPr>
            <w:tcW w:w="2701"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03" w:type="dxa"/>
            <w:vMerge w:val="restart"/>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企业规模</w:t>
            </w:r>
          </w:p>
        </w:tc>
        <w:tc>
          <w:tcPr>
            <w:tcW w:w="5056"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微型企业</w:t>
            </w:r>
          </w:p>
        </w:tc>
        <w:tc>
          <w:tcPr>
            <w:tcW w:w="2701"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40" w:hRule="atLeast"/>
          <w:jc w:val="center"/>
        </w:trPr>
        <w:tc>
          <w:tcPr>
            <w:tcW w:w="1303" w:type="dxa"/>
            <w:vMerge w:val="continue"/>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6"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小型企业</w:t>
            </w:r>
          </w:p>
        </w:tc>
        <w:tc>
          <w:tcPr>
            <w:tcW w:w="2701"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40" w:hRule="atLeast"/>
          <w:jc w:val="center"/>
        </w:trPr>
        <w:tc>
          <w:tcPr>
            <w:tcW w:w="1303" w:type="dxa"/>
            <w:vMerge w:val="continue"/>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6"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中型企业</w:t>
            </w:r>
          </w:p>
        </w:tc>
        <w:tc>
          <w:tcPr>
            <w:tcW w:w="2701"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40" w:hRule="atLeast"/>
          <w:jc w:val="center"/>
        </w:trPr>
        <w:tc>
          <w:tcPr>
            <w:tcW w:w="1303" w:type="dxa"/>
            <w:vMerge w:val="continue"/>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6"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大型企业</w:t>
            </w:r>
          </w:p>
        </w:tc>
        <w:tc>
          <w:tcPr>
            <w:tcW w:w="2701"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40" w:hRule="atLeast"/>
          <w:jc w:val="center"/>
        </w:trPr>
        <w:tc>
          <w:tcPr>
            <w:tcW w:w="1303"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056"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kern w:val="2"/>
                <w:sz w:val="21"/>
                <w:szCs w:val="21"/>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70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40" w:hRule="atLeast"/>
          <w:jc w:val="center"/>
        </w:trPr>
        <w:tc>
          <w:tcPr>
            <w:tcW w:w="1303"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05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70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40" w:hRule="atLeast"/>
          <w:jc w:val="center"/>
        </w:trPr>
        <w:tc>
          <w:tcPr>
            <w:tcW w:w="1303"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70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40" w:hRule="atLeast"/>
          <w:jc w:val="center"/>
        </w:trPr>
        <w:tc>
          <w:tcPr>
            <w:tcW w:w="1303"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70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40" w:hRule="atLeast"/>
          <w:jc w:val="center"/>
        </w:trPr>
        <w:tc>
          <w:tcPr>
            <w:tcW w:w="1303" w:type="dxa"/>
            <w:vMerge w:val="restart"/>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持续时间</w:t>
            </w:r>
          </w:p>
        </w:tc>
        <w:tc>
          <w:tcPr>
            <w:tcW w:w="5056"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w:t>
            </w:r>
            <w:r>
              <w:rPr>
                <w:rFonts w:hint="default" w:ascii="Times New Roman" w:hAnsi="Times New Roman" w:cs="Times New Roman"/>
                <w:color w:val="auto"/>
                <w:sz w:val="20"/>
                <w:szCs w:val="20"/>
                <w:shd w:val="clear" w:color="auto" w:fill="auto"/>
                <w:lang w:val="en-US"/>
              </w:rPr>
              <w:t>以下</w:t>
            </w:r>
            <w:r>
              <w:rPr>
                <w:rFonts w:hint="default" w:ascii="Times New Roman" w:hAnsi="Times New Roman" w:cs="Times New Roman"/>
                <w:color w:val="auto"/>
                <w:sz w:val="20"/>
                <w:szCs w:val="20"/>
                <w:shd w:val="clear" w:color="auto" w:fill="auto"/>
              </w:rPr>
              <w:t>的</w:t>
            </w:r>
          </w:p>
        </w:tc>
        <w:tc>
          <w:tcPr>
            <w:tcW w:w="2701"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03" w:type="dxa"/>
            <w:vMerge w:val="continue"/>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6"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1个月以上3个月以下的</w:t>
            </w:r>
          </w:p>
        </w:tc>
        <w:tc>
          <w:tcPr>
            <w:tcW w:w="2701"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40" w:hRule="atLeast"/>
          <w:jc w:val="center"/>
        </w:trPr>
        <w:tc>
          <w:tcPr>
            <w:tcW w:w="1303" w:type="dxa"/>
            <w:vMerge w:val="continue"/>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6"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3个月以上6个月以下的</w:t>
            </w:r>
          </w:p>
        </w:tc>
        <w:tc>
          <w:tcPr>
            <w:tcW w:w="2701"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jc w:val="center"/>
        </w:trPr>
        <w:tc>
          <w:tcPr>
            <w:tcW w:w="1303" w:type="dxa"/>
            <w:vMerge w:val="continue"/>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6"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6个月以上1年以下的</w:t>
            </w:r>
          </w:p>
        </w:tc>
        <w:tc>
          <w:tcPr>
            <w:tcW w:w="2701"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40" w:hRule="atLeast"/>
          <w:jc w:val="center"/>
        </w:trPr>
        <w:tc>
          <w:tcPr>
            <w:tcW w:w="1303" w:type="dxa"/>
            <w:vMerge w:val="continue"/>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6"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1年以上的</w:t>
            </w:r>
          </w:p>
        </w:tc>
        <w:tc>
          <w:tcPr>
            <w:tcW w:w="2701"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03" w:type="dxa"/>
            <w:vMerge w:val="restart"/>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05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70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303" w:type="dxa"/>
            <w:vMerge w:val="continue"/>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70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40" w:hRule="atLeast"/>
          <w:jc w:val="center"/>
        </w:trPr>
        <w:tc>
          <w:tcPr>
            <w:tcW w:w="1303" w:type="dxa"/>
            <w:vMerge w:val="continue"/>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70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40" w:hRule="atLeast"/>
          <w:jc w:val="center"/>
        </w:trPr>
        <w:tc>
          <w:tcPr>
            <w:tcW w:w="1303" w:type="dxa"/>
            <w:vMerge w:val="continue"/>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05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70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303" w:type="dxa"/>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757" w:type="dxa"/>
            <w:gridSpan w:val="2"/>
            <w:vAlign w:val="center"/>
          </w:tcPr>
          <w:p>
            <w:pPr>
              <w:shd w:val="clear" w:color="auto" w:fill="auto"/>
              <w:wordWrap/>
              <w:adjustRightInd/>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shd w:val="clear" w:color="auto" w:fill="auto"/>
        <w:spacing w:line="590" w:lineRule="exact"/>
        <w:ind w:firstLine="640" w:firstLineChars="200"/>
        <w:outlineLvl w:val="1"/>
        <w:rPr>
          <w:rFonts w:hint="default" w:ascii="Times New Roman" w:hAnsi="Times New Roman" w:eastAsia="方正楷体_GBK" w:cs="Times New Roman"/>
          <w:b w:val="0"/>
          <w:bCs/>
          <w:color w:val="auto"/>
          <w:sz w:val="32"/>
          <w:szCs w:val="32"/>
          <w:shd w:val="clear" w:color="auto" w:fill="auto"/>
        </w:rPr>
      </w:pPr>
      <w:r>
        <w:rPr>
          <w:rFonts w:ascii="Times New Roman" w:hAnsi="Times New Roman" w:eastAsia="方正楷体_GBK" w:cs="Times New Roman"/>
          <w:b w:val="0"/>
          <w:bCs/>
          <w:color w:val="auto"/>
          <w:sz w:val="32"/>
          <w:szCs w:val="32"/>
          <w:shd w:val="clear" w:color="auto" w:fill="auto"/>
        </w:rPr>
        <w:br w:type="page"/>
      </w:r>
      <w:bookmarkStart w:id="453" w:name="_Toc17565"/>
      <w:r>
        <w:rPr>
          <w:rFonts w:ascii="Times New Roman" w:hAnsi="Times New Roman" w:eastAsia="方正楷体_GBK" w:cs="Times New Roman"/>
          <w:b w:val="0"/>
          <w:bCs/>
          <w:color w:val="auto"/>
          <w:sz w:val="32"/>
          <w:szCs w:val="32"/>
          <w:shd w:val="clear" w:color="auto" w:fill="auto"/>
        </w:rPr>
        <w:t>（</w:t>
      </w:r>
      <w:r>
        <w:rPr>
          <w:rFonts w:hint="default" w:ascii="Times New Roman" w:hAnsi="Times New Roman" w:eastAsia="方正楷体_GBK" w:cs="Times New Roman"/>
          <w:b w:val="0"/>
          <w:bCs/>
          <w:color w:val="auto"/>
          <w:sz w:val="32"/>
          <w:szCs w:val="32"/>
          <w:shd w:val="clear" w:color="auto" w:fill="auto"/>
          <w:lang w:eastAsia="zh-CN"/>
        </w:rPr>
        <w:t>十</w:t>
      </w:r>
      <w:r>
        <w:rPr>
          <w:rFonts w:ascii="Times New Roman" w:hAnsi="Times New Roman" w:eastAsia="方正楷体_GBK" w:cs="Times New Roman"/>
          <w:b w:val="0"/>
          <w:bCs/>
          <w:color w:val="auto"/>
          <w:sz w:val="32"/>
          <w:szCs w:val="32"/>
          <w:shd w:val="clear" w:color="auto" w:fill="auto"/>
        </w:rPr>
        <w:t>）其他类</w:t>
      </w:r>
      <w:bookmarkEnd w:id="370"/>
      <w:bookmarkEnd w:id="385"/>
      <w:bookmarkEnd w:id="453"/>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未按照规定公布能源消耗或者重点污染物产生、排放情况的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2.</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不实施强制性清洁生产审核或者在清洁生产审核中弄虚作假的，或者实施强制性清洁生产审核的企业不报告或者不如实报告审核结果的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3.</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自然保护区管理机构拒绝环境保护行政主管部门或者有关自然保护区行政主管部门监督检查，或者在被检查时弄虚作假的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4.</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在禁止养殖区域内建设畜禽养殖场、养殖小区的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lang w:val="en-US" w:eastAsia="zh-CN"/>
        </w:rPr>
      </w:pPr>
      <w:r>
        <w:rPr>
          <w:rFonts w:ascii="Times New Roman" w:hAnsi="Times New Roman" w:eastAsia="方正仿宋_GBK" w:cs="Times New Roman"/>
          <w:color w:val="auto"/>
          <w:sz w:val="32"/>
          <w:szCs w:val="32"/>
          <w:shd w:val="clear" w:color="auto" w:fill="auto"/>
        </w:rPr>
        <w:t>5</w:t>
      </w:r>
      <w:r>
        <w:rPr>
          <w:rFonts w:hint="default" w:ascii="Times New Roman" w:hAnsi="Times New Roman" w:eastAsia="方正仿宋_GBK" w:cs="Times New Roman"/>
          <w:color w:val="auto"/>
          <w:sz w:val="32"/>
          <w:szCs w:val="32"/>
          <w:shd w:val="clear" w:color="auto" w:fill="auto"/>
          <w:lang w:val="en-US"/>
        </w:rPr>
        <w:t>.</w:t>
      </w:r>
      <w:r>
        <w:rPr>
          <w:rFonts w:hint="eastAsia" w:ascii="Times New Roman" w:hAnsi="Times New Roman" w:eastAsia="方正仿宋_GBK" w:cs="Times New Roman"/>
          <w:color w:val="auto"/>
          <w:sz w:val="32"/>
          <w:szCs w:val="32"/>
          <w:shd w:val="clear" w:color="auto" w:fill="auto"/>
          <w:lang w:val="en-US" w:eastAsia="zh-CN"/>
        </w:rPr>
        <w:t xml:space="preserve"> </w:t>
      </w:r>
      <w:r>
        <w:rPr>
          <w:rFonts w:hint="default" w:ascii="Times New Roman" w:hAnsi="Times New Roman" w:eastAsia="方正仿宋_GBK" w:cs="Times New Roman"/>
          <w:color w:val="auto"/>
          <w:sz w:val="32"/>
          <w:szCs w:val="32"/>
          <w:shd w:val="clear" w:color="auto" w:fill="auto"/>
          <w:lang w:val="en-US"/>
        </w:rPr>
        <w:t>畜禽养殖场、养殖小区依法应当进行环境影响评价而未进行的</w:t>
      </w:r>
      <w:r>
        <w:rPr>
          <w:rFonts w:hint="eastAsia" w:ascii="Times New Roman" w:hAnsi="Times New Roman" w:eastAsia="方正仿宋_GBK" w:cs="Times New Roman"/>
          <w:color w:val="auto"/>
          <w:sz w:val="32"/>
          <w:szCs w:val="32"/>
          <w:shd w:val="clear" w:color="auto" w:fill="auto"/>
          <w:lang w:val="en-US"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lang w:eastAsia="zh-CN"/>
        </w:rPr>
      </w:pPr>
      <w:r>
        <w:rPr>
          <w:rFonts w:hint="default" w:ascii="Times New Roman" w:hAnsi="Times New Roman" w:eastAsia="方正仿宋_GBK" w:cs="Times New Roman"/>
          <w:color w:val="auto"/>
          <w:sz w:val="32"/>
          <w:szCs w:val="32"/>
          <w:shd w:val="clear" w:color="auto" w:fill="auto"/>
          <w:lang/>
        </w:rPr>
        <w:t>6</w:t>
      </w:r>
      <w:r>
        <w:rPr>
          <w:rFonts w:hint="default" w:ascii="Times New Roman" w:hAnsi="Times New Roman" w:eastAsia="方正仿宋_GBK" w:cs="Times New Roman"/>
          <w:color w:val="auto"/>
          <w:sz w:val="32"/>
          <w:szCs w:val="32"/>
          <w:shd w:val="clear" w:color="auto" w:fill="auto"/>
          <w:lang w:val="en-US"/>
        </w:rPr>
        <w:t>.</w:t>
      </w:r>
      <w:r>
        <w:rPr>
          <w:rFonts w:hint="eastAsia" w:ascii="Times New Roman" w:hAnsi="Times New Roman" w:eastAsia="方正仿宋_GBK" w:cs="Times New Roman"/>
          <w:color w:val="auto"/>
          <w:sz w:val="32"/>
          <w:szCs w:val="32"/>
          <w:shd w:val="clear" w:color="auto" w:fill="auto"/>
          <w:lang w:val="en-US" w:eastAsia="zh-CN"/>
        </w:rPr>
        <w:t xml:space="preserve"> </w:t>
      </w:r>
      <w:r>
        <w:rPr>
          <w:rFonts w:hint="default" w:ascii="Times New Roman" w:hAnsi="Times New Roman" w:eastAsia="方正仿宋_GBK" w:cs="Times New Roman"/>
          <w:color w:val="auto"/>
          <w:sz w:val="32"/>
          <w:szCs w:val="32"/>
          <w:shd w:val="clear" w:color="auto" w:fill="auto"/>
          <w:lang w:val="en-US"/>
        </w:rPr>
        <w:t>未同时组织实施环境影响报告书、环境影响报告表及其审批部门审批决定中提出的环境保护对策措施的</w:t>
      </w:r>
      <w:r>
        <w:rPr>
          <w:rFonts w:hint="eastAsia" w:ascii="Times New Roman" w:hAnsi="Times New Roman" w:eastAsia="方正仿宋_GBK" w:cs="Times New Roman"/>
          <w:color w:val="auto"/>
          <w:sz w:val="32"/>
          <w:szCs w:val="32"/>
          <w:shd w:val="clear" w:color="auto" w:fill="auto"/>
          <w:lang w:val="en-US"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7.</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超出生产配额许可证规定的品种、数量、期限生产消耗臭氧层物质的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8.</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超出生产配额许可证规定的用途生产或者销售消耗臭氧层物质的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9.</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超出使用配额许可证规定的品种、数量、用途、期限使用消耗臭氧层物质的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10.</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依照规定应当向环境保护主管部门备案而未备案的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11.</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未按照规定完整保存有关生产经营活动的原始资料的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12.</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未按时申报或者谎报、瞒报有关经营活动的数据资料的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13.</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未按照监督检查人员的要求提供必要的资料的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val="0"/>
        <w:spacing w:line="590" w:lineRule="exact"/>
        <w:ind w:firstLine="640" w:firstLineChars="200"/>
        <w:rPr>
          <w:rFonts w:hint="eastAsia" w:ascii="Times New Roman" w:hAnsi="Times New Roman" w:eastAsia="方正仿宋_GBK" w:cs="Times New Roman"/>
          <w:color w:val="auto"/>
          <w:sz w:val="32"/>
          <w:szCs w:val="32"/>
          <w:shd w:val="clear" w:color="auto" w:fill="auto"/>
        </w:rPr>
      </w:pPr>
      <w:r>
        <w:rPr>
          <w:rFonts w:ascii="Times New Roman" w:hAnsi="Times New Roman" w:eastAsia="方正仿宋_GBK" w:cs="Times New Roman"/>
          <w:color w:val="auto"/>
          <w:sz w:val="32"/>
          <w:szCs w:val="32"/>
          <w:shd w:val="clear" w:color="auto" w:fill="auto"/>
        </w:rPr>
        <w:t>14.</w:t>
      </w:r>
      <w:r>
        <w:rPr>
          <w:rFonts w:hint="default" w:ascii="Times New Roman" w:hAnsi="Times New Roman" w:eastAsia="方正仿宋_GBK" w:cs="Times New Roman"/>
          <w:color w:val="auto"/>
          <w:sz w:val="32"/>
          <w:szCs w:val="32"/>
          <w:shd w:val="clear" w:color="auto" w:fill="auto"/>
        </w:rPr>
        <w:t xml:space="preserve"> </w:t>
      </w:r>
      <w:r>
        <w:rPr>
          <w:rFonts w:ascii="Times New Roman" w:hAnsi="Times New Roman" w:eastAsia="方正仿宋_GBK" w:cs="Times New Roman"/>
          <w:color w:val="auto"/>
          <w:sz w:val="32"/>
          <w:szCs w:val="32"/>
          <w:shd w:val="clear" w:color="auto" w:fill="auto"/>
        </w:rPr>
        <w:t>拒绝、阻碍环境保护主管部门或者其他有关部门的监督检查，或者在接受监督检查时弄虚作假的</w:t>
      </w:r>
      <w:r>
        <w:rPr>
          <w:rFonts w:hint="eastAsia" w:ascii="Times New Roman" w:hAnsi="Times New Roman" w:eastAsia="方正仿宋_GBK" w:cs="Times New Roman"/>
          <w:color w:val="auto"/>
          <w:sz w:val="32"/>
          <w:szCs w:val="32"/>
          <w:shd w:val="clear" w:color="auto" w:fill="auto"/>
          <w:lang w:eastAsia="zh-CN"/>
        </w:rPr>
        <w:t>。</w:t>
      </w:r>
    </w:p>
    <w:p>
      <w:pPr>
        <w:shd w:val="clear" w:color="auto" w:fill="auto"/>
        <w:snapToGrid/>
        <w:spacing w:line="200" w:lineRule="exact"/>
        <w:ind w:firstLine="640" w:firstLineChars="200"/>
        <w:outlineLvl w:val="9"/>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color w:val="auto"/>
          <w:sz w:val="32"/>
          <w:szCs w:val="32"/>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rPr>
          <w:trHeight w:val="369" w:hRule="atLeast"/>
        </w:trPr>
        <w:tc>
          <w:tcPr>
            <w:tcW w:w="9060" w:type="dxa"/>
            <w:gridSpan w:val="3"/>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eastAsia="zh-CN"/>
              </w:rPr>
              <w:t>十</w:t>
            </w:r>
            <w:r>
              <w:rPr>
                <w:rFonts w:hint="default" w:ascii="Times New Roman" w:hAnsi="Times New Roman" w:cs="Times New Roman"/>
                <w:b/>
                <w:bCs/>
                <w:color w:val="auto"/>
                <w:sz w:val="20"/>
                <w:szCs w:val="20"/>
                <w:shd w:val="clear" w:color="auto" w:fill="auto"/>
              </w:rPr>
              <w:t>）其他类</w:t>
            </w:r>
          </w:p>
        </w:tc>
      </w:tr>
      <w:tr>
        <w:trPr>
          <w:trHeight w:val="369"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454" w:name="_Toc24333"/>
            <w:r>
              <w:rPr>
                <w:rFonts w:hint="default" w:ascii="Times New Roman" w:hAnsi="Times New Roman" w:cs="Times New Roman"/>
                <w:color w:val="auto"/>
                <w:sz w:val="20"/>
                <w:szCs w:val="20"/>
                <w:shd w:val="clear" w:color="auto" w:fill="auto"/>
              </w:rPr>
              <w:t>1</w:t>
            </w:r>
            <w:bookmarkEnd w:id="454"/>
          </w:p>
        </w:tc>
      </w:tr>
      <w:tr>
        <w:trPr>
          <w:trHeight w:val="369"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center"/>
          </w:tcPr>
          <w:p>
            <w:pPr>
              <w:pStyle w:val="18"/>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1"/>
                <w:szCs w:val="21"/>
                <w:shd w:val="clear" w:color="auto" w:fill="auto"/>
              </w:rPr>
            </w:pPr>
            <w:bookmarkStart w:id="455" w:name="_Toc4221"/>
            <w:r>
              <w:rPr>
                <w:rFonts w:hint="default" w:ascii="Times New Roman" w:hAnsi="Times New Roman" w:cs="Times New Roman"/>
                <w:color w:val="auto"/>
                <w:sz w:val="21"/>
                <w:szCs w:val="21"/>
                <w:shd w:val="clear" w:color="auto" w:fill="auto"/>
              </w:rPr>
              <w:t>未按照规定公布能源消耗或者重点污染物产生、排放情况的</w:t>
            </w:r>
            <w:bookmarkEnd w:id="455"/>
          </w:p>
        </w:tc>
      </w:tr>
      <w:tr>
        <w:trPr>
          <w:trHeight w:val="369"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《中华人民共和国清洁生产促进法》第十七条</w:t>
            </w:r>
            <w:r>
              <w:rPr>
                <w:rFonts w:hint="default" w:ascii="Times New Roman" w:hAnsi="Times New Roman" w:cs="Times New Roman"/>
                <w:color w:val="auto"/>
                <w:sz w:val="21"/>
                <w:szCs w:val="21"/>
                <w:shd w:val="clear" w:color="auto" w:fill="auto"/>
              </w:rPr>
              <w:t xml:space="preserve">  省、自治区、直辖市人民政府负责清洁生产综合协调的部门、环境保护部门，根据促进清洁生产工作的需要，在本地区主要媒体上公布未达到能源消耗控制指标、重点污染物排放控制指标的企业的名单，为公众监督企业实施清洁生产提供依据。</w:t>
            </w:r>
          </w:p>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列入前款规定名单的企业，应当按照国务院清洁生产综合协调部门、环境保护部门的规定公布能源消耗或者重点污染物产生、排放情况，接受公众监督。</w:t>
            </w:r>
          </w:p>
        </w:tc>
      </w:tr>
      <w:tr>
        <w:trPr>
          <w:trHeight w:val="369"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《中华人民共和国清洁生产促进法》第三十六条  </w:t>
            </w:r>
            <w:r>
              <w:rPr>
                <w:rFonts w:hint="default" w:ascii="Times New Roman" w:hAnsi="Times New Roman" w:cs="Times New Roman"/>
                <w:color w:val="auto"/>
                <w:sz w:val="21"/>
                <w:szCs w:val="21"/>
                <w:shd w:val="clear" w:color="auto" w:fill="auto"/>
              </w:rPr>
              <w:t>违反本法第十七条第二款规定，未按照规定公布能源消耗或者重点污染物产生、排放情况的，由县级以上地方人民政府负责清洁生产综合协调的部门、环境保护部门按照职责分工责令公布，可以处十万元以下的罚款。</w:t>
            </w:r>
          </w:p>
        </w:tc>
      </w:tr>
      <w:tr>
        <w:trPr>
          <w:trHeight w:val="369"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51"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3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未按时公布的或者公布内容不规范的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51"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未公布或者公布内容不真实的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51"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拒不公布的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51"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51"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51"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51"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51"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1</w:t>
            </w:r>
          </w:p>
        </w:tc>
      </w:tr>
      <w:tr>
        <w:trPr>
          <w:trHeight w:val="351"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51"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3</w:t>
            </w:r>
          </w:p>
        </w:tc>
      </w:tr>
      <w:tr>
        <w:trPr>
          <w:trHeight w:val="351" w:hRule="atLeast"/>
        </w:trPr>
        <w:tc>
          <w:tcPr>
            <w:tcW w:w="1284"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51"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51"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51"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51"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51"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51"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51"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51"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51"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3</w:t>
            </w:r>
          </w:p>
        </w:tc>
      </w:tr>
      <w:tr>
        <w:trPr>
          <w:trHeight w:val="351"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351"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51"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6"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516"/>
        <w:gridCol w:w="2260"/>
      </w:tblGrid>
      <w:tr>
        <w:trPr>
          <w:trHeight w:val="312" w:hRule="atLeast"/>
        </w:trPr>
        <w:tc>
          <w:tcPr>
            <w:tcW w:w="9060" w:type="dxa"/>
            <w:gridSpan w:val="3"/>
            <w:vAlign w:val="center"/>
          </w:tcPr>
          <w:p>
            <w:pPr>
              <w:widowControl/>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eastAsia="zh-CN"/>
              </w:rPr>
              <w:t>十</w:t>
            </w:r>
            <w:r>
              <w:rPr>
                <w:rFonts w:hint="default" w:ascii="Times New Roman" w:hAnsi="Times New Roman" w:cs="Times New Roman"/>
                <w:b/>
                <w:bCs/>
                <w:color w:val="auto"/>
                <w:sz w:val="20"/>
                <w:szCs w:val="20"/>
                <w:shd w:val="clear" w:color="auto" w:fill="auto"/>
              </w:rPr>
              <w:t>）其他类</w:t>
            </w:r>
          </w:p>
        </w:tc>
      </w:tr>
      <w:tr>
        <w:trPr>
          <w:trHeight w:val="312" w:hRule="atLeast"/>
        </w:trPr>
        <w:tc>
          <w:tcPr>
            <w:tcW w:w="128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wordWrap/>
              <w:adjustRightInd/>
              <w:snapToGrid w:val="0"/>
              <w:spacing w:before="0" w:beforeAutospacing="0" w:after="0" w:afterAutospacing="0" w:line="30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456" w:name="_Toc3013"/>
            <w:r>
              <w:rPr>
                <w:rFonts w:hint="default" w:ascii="Times New Roman" w:hAnsi="Times New Roman" w:cs="Times New Roman"/>
                <w:color w:val="auto"/>
                <w:sz w:val="20"/>
                <w:szCs w:val="20"/>
                <w:shd w:val="clear" w:color="auto" w:fill="auto"/>
              </w:rPr>
              <w:t>2</w:t>
            </w:r>
            <w:bookmarkEnd w:id="456"/>
          </w:p>
        </w:tc>
      </w:tr>
      <w:tr>
        <w:trPr>
          <w:trHeight w:val="312" w:hRule="atLeast"/>
        </w:trPr>
        <w:tc>
          <w:tcPr>
            <w:tcW w:w="128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top"/>
          </w:tcPr>
          <w:p>
            <w:pPr>
              <w:pStyle w:val="18"/>
              <w:shd w:val="clear" w:color="auto" w:fill="auto"/>
              <w:wordWrap/>
              <w:adjustRightInd/>
              <w:spacing w:before="0" w:beforeAutospacing="0" w:after="0" w:afterAutospacing="0" w:line="300" w:lineRule="exact"/>
              <w:ind w:left="0" w:right="0" w:firstLine="420"/>
              <w:textAlignment w:val="auto"/>
              <w:outlineLvl w:val="9"/>
              <w:rPr>
                <w:rFonts w:hint="default" w:ascii="Times New Roman" w:hAnsi="Times New Roman" w:cs="Times New Roman"/>
                <w:color w:val="auto"/>
                <w:sz w:val="21"/>
                <w:szCs w:val="21"/>
                <w:shd w:val="clear" w:color="auto" w:fill="auto"/>
              </w:rPr>
            </w:pPr>
            <w:bookmarkStart w:id="457" w:name="_Toc14549"/>
            <w:r>
              <w:rPr>
                <w:rFonts w:hint="default" w:ascii="Times New Roman" w:hAnsi="Times New Roman" w:cs="Times New Roman"/>
                <w:color w:val="auto"/>
                <w:sz w:val="21"/>
                <w:szCs w:val="21"/>
                <w:shd w:val="clear" w:color="auto" w:fill="auto"/>
              </w:rPr>
              <w:t>不实施强制性清洁生产审核或者在清洁生产审核中弄虚作假的，或者实施强制性清洁生产审核的企业不报告或者不如实报告审核结果的</w:t>
            </w:r>
            <w:bookmarkEnd w:id="457"/>
          </w:p>
        </w:tc>
      </w:tr>
      <w:tr>
        <w:trPr>
          <w:trHeight w:val="312" w:hRule="atLeast"/>
        </w:trPr>
        <w:tc>
          <w:tcPr>
            <w:tcW w:w="128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wordWrap/>
              <w:adjustRightInd/>
              <w:spacing w:before="0" w:beforeAutospacing="0" w:after="0" w:afterAutospacing="0" w:line="30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《中华人民共和国清洁生产促进法》第二十七第二款、第四款</w:t>
            </w:r>
            <w:r>
              <w:rPr>
                <w:rFonts w:hint="default" w:ascii="Times New Roman" w:hAnsi="Times New Roman" w:cs="Times New Roman"/>
                <w:color w:val="auto"/>
                <w:sz w:val="21"/>
                <w:szCs w:val="21"/>
                <w:shd w:val="clear" w:color="auto" w:fill="auto"/>
              </w:rPr>
              <w:t xml:space="preserve">  有下列情形之一的企业，应当实施强制性清洁生产审核：</w:t>
            </w:r>
          </w:p>
          <w:p>
            <w:pPr>
              <w:pStyle w:val="18"/>
              <w:shd w:val="clear" w:color="auto" w:fill="auto"/>
              <w:wordWrap/>
              <w:adjustRightInd/>
              <w:spacing w:before="0" w:beforeAutospacing="0" w:after="0" w:afterAutospacing="0" w:line="30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（一）污染物排放超过国家或者地方规定的排放标准，或者虽未超过国家或者地方规定的排放标准，但超过重点污染物排放总量控制指标的；</w:t>
            </w:r>
          </w:p>
          <w:p>
            <w:pPr>
              <w:pStyle w:val="18"/>
              <w:shd w:val="clear" w:color="auto" w:fill="auto"/>
              <w:wordWrap/>
              <w:adjustRightInd/>
              <w:spacing w:before="0" w:beforeAutospacing="0" w:after="0" w:afterAutospacing="0" w:line="30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（二）超过单位产品能源消耗限额标准构成高耗能的；</w:t>
            </w:r>
          </w:p>
          <w:p>
            <w:pPr>
              <w:pStyle w:val="18"/>
              <w:shd w:val="clear" w:color="auto" w:fill="auto"/>
              <w:wordWrap/>
              <w:adjustRightInd/>
              <w:spacing w:before="0" w:beforeAutospacing="0" w:after="0" w:afterAutospacing="0" w:line="30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（三）使用有毒、有害原料进行生产或者在生产中排放有毒、有害物质的。</w:t>
            </w:r>
          </w:p>
          <w:p>
            <w:pPr>
              <w:pStyle w:val="18"/>
              <w:shd w:val="clear" w:color="auto" w:fill="auto"/>
              <w:wordWrap/>
              <w:adjustRightInd/>
              <w:spacing w:before="0" w:beforeAutospacing="0" w:after="0" w:afterAutospacing="0" w:line="30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实施强制性清洁生产审核的企业，应当将审核结果向所在地县级以上地方人民政府负责清洁生产综合协调的部门、环境保护部门报告，并在本地区主要媒体上公布，接受公众监督，但涉及商业秘密的除外。</w:t>
            </w:r>
          </w:p>
        </w:tc>
      </w:tr>
      <w:tr>
        <w:trPr>
          <w:trHeight w:val="312" w:hRule="atLeast"/>
        </w:trPr>
        <w:tc>
          <w:tcPr>
            <w:tcW w:w="128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wordWrap/>
              <w:adjustRightInd/>
              <w:spacing w:before="0" w:beforeAutospacing="0" w:after="0" w:afterAutospacing="0" w:line="30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《中华人民共和国清洁生产促进法》第三十九条第一款  </w:t>
            </w:r>
            <w:r>
              <w:rPr>
                <w:rFonts w:hint="default" w:ascii="Times New Roman" w:hAnsi="Times New Roman" w:cs="Times New Roman"/>
                <w:color w:val="auto"/>
                <w:sz w:val="21"/>
                <w:szCs w:val="21"/>
                <w:shd w:val="clear" w:color="auto" w:fill="auto"/>
              </w:rPr>
              <w:t>违反本法第二十七条第二款、第四款规定，不实施强制性清洁生产审核或者在清洁生产审核中弄虚作假的，或者实施强制性清洁生产审核的企业不报告或者不如实报告审核结果的，由县级以上地方人民政府负责清洁生产综合协调的部门、环境保护部门按照职责分工责令限期改正；拒不改正的，处以五万元以上五十万元以下的罚款。</w:t>
            </w:r>
          </w:p>
        </w:tc>
      </w:tr>
      <w:tr>
        <w:trPr>
          <w:trHeight w:val="369" w:hRule="atLeast"/>
        </w:trPr>
        <w:tc>
          <w:tcPr>
            <w:tcW w:w="1284"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51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26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trPr>
        <w:tc>
          <w:tcPr>
            <w:tcW w:w="1284"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51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不按要求实施强制性清洁生产审核，或不报告审核结果的</w:t>
            </w:r>
          </w:p>
        </w:tc>
        <w:tc>
          <w:tcPr>
            <w:tcW w:w="226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51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拒不实施强制性清洁生产审核，或者不如实报告审核结果的</w:t>
            </w:r>
          </w:p>
        </w:tc>
        <w:tc>
          <w:tcPr>
            <w:tcW w:w="226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51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在清洁生产审核中弄虚作假的</w:t>
            </w:r>
          </w:p>
        </w:tc>
        <w:tc>
          <w:tcPr>
            <w:tcW w:w="226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284"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51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26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516" w:type="dxa"/>
            <w:vAlign w:val="center"/>
          </w:tcPr>
          <w:p>
            <w:pPr>
              <w:pStyle w:val="19"/>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小型企业</w:t>
            </w:r>
          </w:p>
        </w:tc>
        <w:tc>
          <w:tcPr>
            <w:tcW w:w="226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516" w:type="dxa"/>
            <w:vAlign w:val="center"/>
          </w:tcPr>
          <w:p>
            <w:pPr>
              <w:pStyle w:val="19"/>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中型企业</w:t>
            </w:r>
          </w:p>
        </w:tc>
        <w:tc>
          <w:tcPr>
            <w:tcW w:w="226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516" w:type="dxa"/>
            <w:vAlign w:val="center"/>
          </w:tcPr>
          <w:p>
            <w:pPr>
              <w:pStyle w:val="19"/>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大型企业</w:t>
            </w:r>
          </w:p>
        </w:tc>
        <w:tc>
          <w:tcPr>
            <w:tcW w:w="226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369" w:hRule="atLeast"/>
        </w:trPr>
        <w:tc>
          <w:tcPr>
            <w:tcW w:w="1284"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环评类型</w:t>
            </w:r>
          </w:p>
        </w:tc>
        <w:tc>
          <w:tcPr>
            <w:tcW w:w="5516" w:type="dxa"/>
            <w:vAlign w:val="center"/>
          </w:tcPr>
          <w:p>
            <w:pPr>
              <w:pStyle w:val="19"/>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登记表</w:t>
            </w:r>
          </w:p>
        </w:tc>
        <w:tc>
          <w:tcPr>
            <w:tcW w:w="226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516" w:type="dxa"/>
            <w:vAlign w:val="center"/>
          </w:tcPr>
          <w:p>
            <w:pPr>
              <w:pStyle w:val="19"/>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报告表</w:t>
            </w:r>
          </w:p>
        </w:tc>
        <w:tc>
          <w:tcPr>
            <w:tcW w:w="226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516" w:type="dxa"/>
            <w:vAlign w:val="center"/>
          </w:tcPr>
          <w:p>
            <w:pPr>
              <w:pStyle w:val="19"/>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报告书</w:t>
            </w:r>
          </w:p>
        </w:tc>
        <w:tc>
          <w:tcPr>
            <w:tcW w:w="226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284" w:type="dxa"/>
            <w:vMerge w:val="restart"/>
            <w:vAlign w:val="center"/>
          </w:tcPr>
          <w:p>
            <w:pPr>
              <w:widowControl w:val="0"/>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516"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trPr>
        <w:tc>
          <w:tcPr>
            <w:tcW w:w="1284"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516"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trPr>
        <w:tc>
          <w:tcPr>
            <w:tcW w:w="1284"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516"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trPr>
        <w:tc>
          <w:tcPr>
            <w:tcW w:w="1284"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516"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260"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trPr>
        <w:tc>
          <w:tcPr>
            <w:tcW w:w="1284" w:type="dxa"/>
            <w:vMerge w:val="continue"/>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516"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260"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69" w:hRule="atLeast"/>
        </w:trPr>
        <w:tc>
          <w:tcPr>
            <w:tcW w:w="1284" w:type="dxa"/>
            <w:vMerge w:val="restart"/>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516" w:type="dxa"/>
            <w:vAlign w:val="center"/>
          </w:tcPr>
          <w:p>
            <w:pPr>
              <w:widowControl w:val="0"/>
              <w:shd w:val="clear" w:color="auto" w:fill="auto"/>
              <w:wordWrap/>
              <w:adjustRightInd/>
              <w:snapToGrid w:val="0"/>
              <w:spacing w:before="0" w:beforeAutospacing="0" w:after="0" w:afterAutospacing="0" w:line="300" w:lineRule="exact"/>
              <w:ind w:left="0" w:leftChars="0" w:right="0"/>
              <w:jc w:val="center"/>
              <w:textAlignment w:val="auto"/>
              <w:rPr>
                <w:rFonts w:hint="default" w:ascii="Times New Roman" w:hAnsi="Times New Roman" w:cs="Times New Roman"/>
                <w:color w:val="auto"/>
                <w:kern w:val="2"/>
                <w:sz w:val="21"/>
                <w:szCs w:val="21"/>
                <w:shd w:val="clear" w:color="auto" w:fill="auto"/>
                <w:lang/>
              </w:rPr>
            </w:pPr>
            <w:r>
              <w:rPr>
                <w:rFonts w:hint="eastAsia" w:ascii="Times New Roman" w:hAnsi="Times New Roman" w:cs="Times New Roman"/>
                <w:color w:val="auto"/>
                <w:kern w:val="2"/>
                <w:sz w:val="21"/>
                <w:szCs w:val="21"/>
                <w:shd w:val="clear" w:color="auto" w:fill="auto"/>
                <w:lang w:eastAsia="zh-CN"/>
              </w:rPr>
              <w:t>限期改正</w:t>
            </w:r>
          </w:p>
        </w:tc>
        <w:tc>
          <w:tcPr>
            <w:tcW w:w="226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51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3天以下</w:t>
            </w:r>
          </w:p>
        </w:tc>
        <w:tc>
          <w:tcPr>
            <w:tcW w:w="226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51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26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eastAsia"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4</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51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kern w:val="2"/>
                <w:sz w:val="21"/>
                <w:szCs w:val="21"/>
                <w:shd w:val="clear" w:color="auto" w:fill="auto"/>
                <w:lang/>
              </w:rPr>
            </w:pPr>
            <w:r>
              <w:rPr>
                <w:rFonts w:hint="default" w:ascii="Times New Roman" w:hAnsi="Times New Roman" w:cs="Times New Roman"/>
                <w:color w:val="auto"/>
                <w:sz w:val="20"/>
                <w:szCs w:val="20"/>
                <w:shd w:val="clear" w:color="auto" w:fill="auto"/>
                <w:lang w:val="en-US" w:eastAsia="zh-CN"/>
              </w:rPr>
              <w:t>7天以上</w:t>
            </w:r>
          </w:p>
        </w:tc>
        <w:tc>
          <w:tcPr>
            <w:tcW w:w="226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12"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5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12"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12"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1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26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12"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5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12"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3</w:t>
            </w:r>
          </w:p>
        </w:tc>
      </w:tr>
      <w:tr>
        <w:trPr>
          <w:trHeight w:val="312"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312"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51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26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12"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6"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spacing w:line="200" w:lineRule="exact"/>
        <w:ind w:firstLine="420" w:firstLineChars="200"/>
        <w:jc w:val="left"/>
        <w:outlineLvl w:val="9"/>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c>
          <w:tcPr>
            <w:tcW w:w="9060" w:type="dxa"/>
            <w:gridSpan w:val="3"/>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eastAsia="zh-CN"/>
              </w:rPr>
              <w:t>十</w:t>
            </w:r>
            <w:r>
              <w:rPr>
                <w:rFonts w:hint="default" w:ascii="Times New Roman" w:hAnsi="Times New Roman" w:cs="Times New Roman"/>
                <w:b/>
                <w:bCs/>
                <w:color w:val="auto"/>
                <w:sz w:val="20"/>
                <w:szCs w:val="20"/>
                <w:shd w:val="clear" w:color="auto" w:fill="auto"/>
              </w:rPr>
              <w:t>）其他类</w:t>
            </w:r>
          </w:p>
        </w:tc>
      </w:tr>
      <w:tr>
        <w:trPr>
          <w:trHeight w:val="41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458" w:name="_Toc11226"/>
            <w:r>
              <w:rPr>
                <w:rFonts w:hint="default" w:ascii="Times New Roman" w:hAnsi="Times New Roman" w:cs="Times New Roman"/>
                <w:color w:val="auto"/>
                <w:sz w:val="20"/>
                <w:szCs w:val="20"/>
                <w:shd w:val="clear" w:color="auto" w:fill="auto"/>
              </w:rPr>
              <w:t>3</w:t>
            </w:r>
            <w:bookmarkEnd w:id="458"/>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top"/>
          </w:tcPr>
          <w:p>
            <w:pPr>
              <w:pStyle w:val="18"/>
              <w:shd w:val="clear" w:color="auto" w:fill="auto"/>
              <w:spacing w:before="0" w:beforeAutospacing="0" w:after="0" w:afterAutospacing="0" w:line="320" w:lineRule="exact"/>
              <w:ind w:left="0" w:right="0" w:firstLine="420"/>
              <w:outlineLvl w:val="9"/>
              <w:rPr>
                <w:rFonts w:hint="default" w:ascii="Times New Roman" w:hAnsi="Times New Roman" w:cs="Times New Roman"/>
                <w:color w:val="auto"/>
                <w:sz w:val="21"/>
                <w:szCs w:val="21"/>
                <w:shd w:val="clear" w:color="auto" w:fill="auto"/>
              </w:rPr>
            </w:pPr>
            <w:bookmarkStart w:id="459" w:name="_Toc8028"/>
            <w:r>
              <w:rPr>
                <w:rFonts w:hint="default" w:ascii="Times New Roman" w:hAnsi="Times New Roman" w:cs="Times New Roman"/>
                <w:color w:val="auto"/>
                <w:sz w:val="21"/>
                <w:szCs w:val="21"/>
                <w:shd w:val="clear" w:color="auto" w:fill="auto"/>
              </w:rPr>
              <w:t>自然保护区管理机构拒绝环境保护行政主管部门或者有关自然保护区行政主管部门监督检查，或者在被检查时弄虚作假的</w:t>
            </w:r>
            <w:bookmarkEnd w:id="459"/>
          </w:p>
        </w:tc>
      </w:tr>
      <w:t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《中华人民共和国自然保护区条例》第二十条  </w:t>
            </w:r>
            <w:r>
              <w:rPr>
                <w:rFonts w:hint="default" w:ascii="Times New Roman" w:hAnsi="Times New Roman" w:cs="Times New Roman"/>
                <w:color w:val="auto"/>
                <w:sz w:val="21"/>
                <w:szCs w:val="21"/>
                <w:shd w:val="clear" w:color="auto" w:fill="auto"/>
              </w:rPr>
              <w:t>县级以上人民政府环境保护行政主管部门有权对本行政区域内各类自然保护区的管理进行监督检查；县级以上人民政府有关自然保护区行政主管部门有权对其主管的自然保护区的管理进行监督检查。被检查的单位应当如实反映情况，提供必要的资料。检查者应当为被检查的单位保守技术秘密和业务秘密。</w:t>
            </w:r>
          </w:p>
        </w:tc>
      </w:tr>
      <w:t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《中华人民共和国自然保护区条例》第三十六条  </w:t>
            </w:r>
            <w:r>
              <w:rPr>
                <w:rFonts w:hint="default" w:ascii="Times New Roman" w:hAnsi="Times New Roman" w:cs="Times New Roman"/>
                <w:color w:val="auto"/>
                <w:sz w:val="21"/>
                <w:szCs w:val="21"/>
                <w:shd w:val="clear" w:color="auto" w:fill="auto"/>
              </w:rPr>
              <w:t>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★拒绝检查</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情形</w:t>
            </w:r>
          </w:p>
        </w:tc>
        <w:tc>
          <w:tcPr>
            <w:tcW w:w="513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迟滞10分钟以上30分钟以</w:t>
            </w:r>
            <w:r>
              <w:rPr>
                <w:rFonts w:hint="default" w:ascii="Times New Roman" w:hAnsi="Times New Roman" w:cs="Times New Roman"/>
                <w:color w:val="auto"/>
                <w:sz w:val="21"/>
                <w:szCs w:val="21"/>
                <w:shd w:val="clear" w:color="auto" w:fill="auto"/>
                <w:lang w:eastAsia="zh-CN"/>
              </w:rPr>
              <w:t>下</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迟滞</w:t>
            </w:r>
            <w:r>
              <w:rPr>
                <w:rFonts w:hint="default" w:ascii="Times New Roman" w:hAnsi="Times New Roman" w:cs="Times New Roman"/>
                <w:color w:val="auto"/>
                <w:sz w:val="20"/>
                <w:szCs w:val="20"/>
                <w:shd w:val="clear" w:color="auto" w:fill="auto"/>
                <w:lang w:eastAsia="zh-CN"/>
              </w:rPr>
              <w:t>3</w:t>
            </w:r>
            <w:r>
              <w:rPr>
                <w:rFonts w:hint="default" w:ascii="Times New Roman" w:hAnsi="Times New Roman" w:cs="Times New Roman"/>
                <w:color w:val="auto"/>
                <w:sz w:val="20"/>
                <w:szCs w:val="20"/>
                <w:shd w:val="clear" w:color="auto" w:fill="auto"/>
                <w:lang w:val="en-US" w:eastAsia="zh-CN"/>
              </w:rPr>
              <w:t>0分钟以上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阻碍或隐匿部分资料</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围堵、滞留执法人员或拒绝提供资料</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暴力抗法</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★弄虚作假</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情形</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提供假信息</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伪造现场或证据</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6"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p>
    <w:p>
      <w:pPr>
        <w:widowControl/>
        <w:shd w:val="clear" w:color="auto" w:fill="auto"/>
        <w:snapToGrid w:val="0"/>
        <w:jc w:val="left"/>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rPr>
          <w:trHeight w:val="340" w:hRule="atLeast"/>
        </w:trPr>
        <w:tc>
          <w:tcPr>
            <w:tcW w:w="9060" w:type="dxa"/>
            <w:gridSpan w:val="3"/>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eastAsia="zh-CN"/>
              </w:rPr>
              <w:t>十</w:t>
            </w:r>
            <w:r>
              <w:rPr>
                <w:rFonts w:hint="default" w:ascii="Times New Roman" w:hAnsi="Times New Roman" w:cs="Times New Roman"/>
                <w:b/>
                <w:bCs/>
                <w:color w:val="auto"/>
                <w:sz w:val="20"/>
                <w:szCs w:val="20"/>
                <w:shd w:val="clear" w:color="auto" w:fill="auto"/>
              </w:rPr>
              <w:t>）其他类</w:t>
            </w:r>
          </w:p>
        </w:tc>
      </w:tr>
      <w:tr>
        <w:trPr>
          <w:trHeight w:val="340"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460" w:name="_Toc28051"/>
            <w:r>
              <w:rPr>
                <w:rFonts w:hint="default" w:ascii="Times New Roman" w:hAnsi="Times New Roman" w:cs="Times New Roman"/>
                <w:color w:val="auto"/>
                <w:sz w:val="20"/>
                <w:szCs w:val="20"/>
                <w:shd w:val="clear" w:color="auto" w:fill="auto"/>
              </w:rPr>
              <w:t>4</w:t>
            </w:r>
            <w:bookmarkEnd w:id="460"/>
          </w:p>
        </w:tc>
      </w:tr>
      <w:tr>
        <w:trPr>
          <w:trHeight w:val="340"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top"/>
          </w:tcPr>
          <w:p>
            <w:pPr>
              <w:pStyle w:val="18"/>
              <w:shd w:val="clear" w:color="auto" w:fill="auto"/>
              <w:spacing w:before="0" w:beforeAutospacing="0" w:after="0" w:afterAutospacing="0" w:line="320" w:lineRule="exact"/>
              <w:ind w:left="0" w:right="0"/>
              <w:jc w:val="center"/>
              <w:outlineLvl w:val="9"/>
              <w:rPr>
                <w:rFonts w:hint="default" w:ascii="Times New Roman" w:hAnsi="Times New Roman" w:cs="Times New Roman"/>
                <w:color w:val="auto"/>
                <w:sz w:val="21"/>
                <w:szCs w:val="21"/>
                <w:shd w:val="clear" w:color="auto" w:fill="auto"/>
              </w:rPr>
            </w:pPr>
            <w:bookmarkStart w:id="461" w:name="_Toc7527"/>
            <w:r>
              <w:rPr>
                <w:rFonts w:hint="default" w:ascii="Times New Roman" w:hAnsi="Times New Roman" w:cs="Times New Roman"/>
                <w:color w:val="auto"/>
                <w:sz w:val="21"/>
                <w:szCs w:val="21"/>
                <w:shd w:val="clear" w:color="auto" w:fill="auto"/>
              </w:rPr>
              <w:t>在禁止养殖区域内建设畜禽养殖场、养殖小区的</w:t>
            </w:r>
            <w:bookmarkEnd w:id="461"/>
          </w:p>
        </w:tc>
      </w:tr>
      <w:tr>
        <w:trPr>
          <w:trHeight w:val="340"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《畜禽规模养殖污染防治条例》第十一条</w:t>
            </w:r>
            <w:r>
              <w:rPr>
                <w:rFonts w:hint="default" w:ascii="Times New Roman" w:hAnsi="Times New Roman" w:cs="Times New Roman"/>
                <w:color w:val="auto"/>
                <w:kern w:val="0"/>
                <w:sz w:val="20"/>
                <w:szCs w:val="20"/>
                <w:shd w:val="clear" w:color="auto" w:fill="auto"/>
              </w:rPr>
              <w:t xml:space="preserve"> 禁止在下列区域内建设畜禽养殖场、养殖小区：</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（一）饮用水水源保护区，风景名胜区；</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（二）自然保护区的核心区和缓冲区；</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（三）城镇居民区、文化教育科学研究区等人口集中区域；</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color w:val="auto"/>
                <w:kern w:val="0"/>
                <w:sz w:val="20"/>
                <w:szCs w:val="20"/>
                <w:shd w:val="clear" w:color="auto" w:fill="auto"/>
              </w:rPr>
              <w:t>（四）法律、法规规定的其他禁止养殖区域。</w:t>
            </w:r>
          </w:p>
        </w:tc>
      </w:tr>
      <w:tr>
        <w:trPr>
          <w:trHeight w:val="340"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《畜禽规模养殖污染防治条例》第三十七条</w:t>
            </w:r>
            <w:r>
              <w:rPr>
                <w:rFonts w:hint="default" w:ascii="Times New Roman" w:hAnsi="Times New Roman" w:cs="Times New Roman"/>
                <w:color w:val="auto"/>
                <w:kern w:val="0"/>
                <w:sz w:val="20"/>
                <w:szCs w:val="20"/>
                <w:shd w:val="clear" w:color="auto" w:fill="auto"/>
              </w:rPr>
              <w:t>违反本条例规定，在禁止养殖区域内建设畜禽养殖场、养殖小区的，由县级以上地方人民政府环境保护主管部门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p>
        </w:tc>
      </w:tr>
      <w:tr>
        <w:trPr>
          <w:trHeight w:val="482"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82"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★养殖规模</w:t>
            </w:r>
          </w:p>
        </w:tc>
        <w:tc>
          <w:tcPr>
            <w:tcW w:w="513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在禁止养殖区域内建设畜禽养殖场、养殖小区，尚未投入生产</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82"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在禁止养殖区域内建设畜禽养殖场、养殖小区，年出栏生猪1000头</w:t>
            </w:r>
            <w:r>
              <w:rPr>
                <w:rFonts w:hint="default" w:ascii="Times New Roman" w:hAnsi="Times New Roman" w:cs="Times New Roman"/>
                <w:color w:val="auto"/>
                <w:sz w:val="21"/>
                <w:szCs w:val="21"/>
                <w:shd w:val="clear" w:color="auto" w:fill="auto"/>
                <w:lang w:eastAsia="zh-CN"/>
              </w:rPr>
              <w:t>以下</w:t>
            </w:r>
            <w:r>
              <w:rPr>
                <w:rFonts w:hint="default" w:ascii="Times New Roman" w:hAnsi="Times New Roman" w:cs="Times New Roman"/>
                <w:color w:val="auto"/>
                <w:sz w:val="21"/>
                <w:szCs w:val="21"/>
                <w:shd w:val="clear" w:color="auto" w:fill="auto"/>
              </w:rPr>
              <w:t>(其他畜禽种类折合猪的养殖规模)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82"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在禁止养殖区域内建设畜禽养殖场、养殖小区，年出栏生猪1000头以上，2000头</w:t>
            </w:r>
            <w:r>
              <w:rPr>
                <w:rFonts w:hint="default" w:ascii="Times New Roman" w:hAnsi="Times New Roman" w:cs="Times New Roman"/>
                <w:color w:val="auto"/>
                <w:sz w:val="21"/>
                <w:szCs w:val="21"/>
                <w:shd w:val="clear" w:color="auto" w:fill="auto"/>
                <w:lang w:eastAsia="zh-CN"/>
              </w:rPr>
              <w:t>以下</w:t>
            </w:r>
            <w:r>
              <w:rPr>
                <w:rFonts w:hint="default" w:ascii="Times New Roman" w:hAnsi="Times New Roman" w:cs="Times New Roman"/>
                <w:color w:val="auto"/>
                <w:sz w:val="21"/>
                <w:szCs w:val="21"/>
                <w:shd w:val="clear" w:color="auto" w:fill="auto"/>
              </w:rPr>
              <w:t>(其他畜禽种类折合猪的养殖规模)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82"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在禁止养殖区域内建设畜禽养殖场、养殖小区，年出栏生猪2000头以上(其他畜禽种类折合猪的养殖规模)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82"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污染物设施</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污染物处理设施已建成并配套使用的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82"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污染物处理设施已建成，仍造成一定污染</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82"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未建设污染物处理设施，造成污染</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82"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建设地点</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城镇居民区、文化教育科学研究区等人口集中区域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82"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自然保护区的核心区和缓冲区</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82"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饮用水水源保护区，风景名胜区</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82"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i/>
                <w:iCs/>
                <w:color w:val="auto"/>
                <w:kern w:val="2"/>
                <w:sz w:val="21"/>
                <w:szCs w:val="21"/>
                <w:shd w:val="clear" w:color="auto" w:fill="auto"/>
                <w:lang w:val="en-US" w:eastAsia="zh-CN"/>
              </w:rPr>
            </w:pPr>
            <w:r>
              <w:rPr>
                <w:rFonts w:hint="default" w:ascii="Times New Roman" w:hAnsi="Times New Roman" w:cs="Times New Roman"/>
                <w:b/>
                <w:bCs/>
                <w:color w:val="auto"/>
                <w:sz w:val="20"/>
                <w:szCs w:val="20"/>
                <w:shd w:val="clear" w:color="auto" w:fill="auto"/>
              </w:rPr>
              <w:t>企业规模</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iCs/>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微型企业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iCs/>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1</w:t>
            </w:r>
          </w:p>
        </w:tc>
      </w:tr>
      <w:tr>
        <w:trPr>
          <w:trHeight w:val="482"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i/>
                <w:iCs/>
                <w:color w:val="auto"/>
                <w:kern w:val="2"/>
                <w:sz w:val="21"/>
                <w:szCs w:val="21"/>
                <w:shd w:val="clear" w:color="auto" w:fill="auto"/>
                <w:lang w:val="en-US" w:eastAsia="zh-CN"/>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iCs/>
                <w:color w:val="auto"/>
                <w:kern w:val="2"/>
                <w:sz w:val="21"/>
                <w:szCs w:val="21"/>
                <w:shd w:val="clear" w:color="auto" w:fill="auto"/>
                <w:lang w:val="en-US" w:eastAsia="zh-CN"/>
              </w:rPr>
            </w:pPr>
            <w:r>
              <w:rPr>
                <w:rFonts w:hint="default" w:ascii="Times New Roman" w:hAnsi="Times New Roman" w:cs="Times New Roman"/>
                <w:color w:val="auto"/>
                <w:sz w:val="21"/>
                <w:szCs w:val="21"/>
                <w:shd w:val="clear" w:color="auto" w:fill="auto"/>
              </w:rPr>
              <w:t>小型企业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i/>
                <w:iCs/>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2</w:t>
            </w:r>
          </w:p>
        </w:tc>
      </w:tr>
      <w:tr>
        <w:trPr>
          <w:trHeight w:val="482"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1"/>
                <w:szCs w:val="21"/>
                <w:shd w:val="clear" w:color="auto" w:fill="auto"/>
              </w:rPr>
              <w:t>中型企业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3</w:t>
            </w:r>
          </w:p>
        </w:tc>
      </w:tr>
      <w:tr>
        <w:trPr>
          <w:trHeight w:val="482"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1"/>
                <w:szCs w:val="21"/>
                <w:shd w:val="clear" w:color="auto" w:fill="auto"/>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4</w:t>
            </w:r>
          </w:p>
        </w:tc>
      </w:tr>
      <w:tr>
        <w:trPr>
          <w:trHeight w:val="437" w:hRule="atLeast"/>
        </w:trPr>
        <w:tc>
          <w:tcPr>
            <w:tcW w:w="1284"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50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50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50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37"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37" w:hRule="atLeast"/>
        </w:trPr>
        <w:tc>
          <w:tcPr>
            <w:tcW w:w="128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改正时间</w:t>
            </w:r>
          </w:p>
        </w:tc>
        <w:tc>
          <w:tcPr>
            <w:tcW w:w="513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437"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437"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437"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43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3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3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3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3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3</w:t>
            </w:r>
          </w:p>
        </w:tc>
      </w:tr>
      <w:tr>
        <w:trPr>
          <w:trHeight w:val="43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43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43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776"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widowControl/>
        <w:shd w:val="clear" w:color="auto" w:fill="auto"/>
        <w:snapToGrid w:val="0"/>
        <w:jc w:val="left"/>
        <w:rPr>
          <w:rFonts w:ascii="Times New Roman" w:hAnsi="Times New Roman" w:cs="Times New Roman"/>
          <w:color w:val="auto"/>
          <w:kern w:val="0"/>
          <w:shd w:val="clear" w:color="auto" w:fill="auto"/>
        </w:rPr>
      </w:pPr>
    </w:p>
    <w:p>
      <w:pPr>
        <w:widowControl/>
        <w:shd w:val="clear" w:color="auto" w:fill="auto"/>
        <w:snapToGrid w:val="0"/>
        <w:jc w:val="left"/>
        <w:rPr>
          <w:rFonts w:ascii="Times New Roman" w:hAnsi="Times New Roman" w:cs="Times New Roman"/>
          <w:color w:val="auto"/>
          <w:kern w:val="0"/>
          <w:shd w:val="clear" w:color="auto" w:fill="auto"/>
        </w:rPr>
      </w:pPr>
    </w:p>
    <w:p>
      <w:pPr>
        <w:widowControl/>
        <w:shd w:val="clear" w:color="auto" w:fill="auto"/>
        <w:snapToGrid w:val="0"/>
        <w:jc w:val="left"/>
        <w:rPr>
          <w:rFonts w:ascii="Times New Roman" w:hAnsi="Times New Roman" w:cs="Times New Roman"/>
          <w:color w:val="auto"/>
          <w:kern w:val="0"/>
          <w:shd w:val="clear" w:color="auto" w:fill="auto"/>
        </w:rPr>
      </w:pPr>
    </w:p>
    <w:p>
      <w:pPr>
        <w:widowControl/>
        <w:shd w:val="clear" w:color="auto" w:fill="auto"/>
        <w:snapToGrid w:val="0"/>
        <w:jc w:val="left"/>
        <w:rPr>
          <w:rFonts w:ascii="Times New Roman" w:hAnsi="Times New Roman" w:cs="Times New Roman"/>
          <w:color w:val="auto"/>
          <w:kern w:val="0"/>
          <w:shd w:val="clear" w:color="auto" w:fill="auto"/>
        </w:rPr>
      </w:pPr>
    </w:p>
    <w:p>
      <w:pPr>
        <w:widowControl/>
        <w:shd w:val="clear" w:color="auto" w:fill="auto"/>
        <w:snapToGrid w:val="0"/>
        <w:jc w:val="left"/>
        <w:rPr>
          <w:rFonts w:ascii="Times New Roman" w:hAnsi="Times New Roman" w:cs="Times New Roman"/>
          <w:color w:val="auto"/>
          <w:kern w:val="0"/>
          <w:shd w:val="clear" w:color="auto" w:fill="auto"/>
        </w:rPr>
      </w:pPr>
      <w:r>
        <w:rPr>
          <w:rFonts w:ascii="Times New Roman" w:hAnsi="Times New Roman" w:cs="Times New Roman"/>
          <w:color w:val="auto"/>
          <w:kern w:val="0"/>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rPr>
          <w:trHeight w:val="340" w:hRule="atLeast"/>
        </w:trPr>
        <w:tc>
          <w:tcPr>
            <w:tcW w:w="9060" w:type="dxa"/>
            <w:gridSpan w:val="3"/>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eastAsia="zh-CN"/>
              </w:rPr>
              <w:t>十</w:t>
            </w:r>
            <w:r>
              <w:rPr>
                <w:rFonts w:hint="default" w:ascii="Times New Roman" w:hAnsi="Times New Roman" w:cs="Times New Roman"/>
                <w:b/>
                <w:bCs/>
                <w:color w:val="auto"/>
                <w:sz w:val="20"/>
                <w:szCs w:val="20"/>
                <w:shd w:val="clear" w:color="auto" w:fill="auto"/>
              </w:rPr>
              <w:t>）其他类</w:t>
            </w:r>
          </w:p>
        </w:tc>
      </w:tr>
      <w:tr>
        <w:trPr>
          <w:trHeight w:val="340"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eastAsia="宋体" w:cs="Times New Roman"/>
                <w:color w:val="auto"/>
                <w:sz w:val="20"/>
                <w:szCs w:val="20"/>
                <w:shd w:val="clear" w:color="auto" w:fill="auto"/>
                <w:lang w:eastAsia="zh-CN"/>
              </w:rPr>
            </w:pPr>
            <w:bookmarkStart w:id="462" w:name="_Toc17602"/>
            <w:r>
              <w:rPr>
                <w:rFonts w:hint="default" w:ascii="Times New Roman" w:hAnsi="Times New Roman" w:eastAsia="宋体" w:cs="Times New Roman"/>
                <w:color w:val="auto"/>
                <w:sz w:val="20"/>
                <w:szCs w:val="20"/>
                <w:shd w:val="clear" w:color="auto" w:fill="auto"/>
                <w:lang w:eastAsia="zh-CN"/>
              </w:rPr>
              <w:t>5</w:t>
            </w:r>
            <w:bookmarkEnd w:id="462"/>
          </w:p>
        </w:tc>
      </w:tr>
      <w:tr>
        <w:trPr>
          <w:trHeight w:val="340"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top"/>
          </w:tcPr>
          <w:p>
            <w:pPr>
              <w:pStyle w:val="18"/>
              <w:shd w:val="clear" w:color="auto" w:fill="auto"/>
              <w:spacing w:before="0" w:beforeAutospacing="0" w:after="0" w:afterAutospacing="0" w:line="320" w:lineRule="exact"/>
              <w:ind w:left="0" w:right="0"/>
              <w:jc w:val="center"/>
              <w:outlineLvl w:val="0"/>
              <w:rPr>
                <w:rFonts w:hint="default" w:ascii="Times New Roman" w:hAnsi="Times New Roman" w:cs="Times New Roman"/>
                <w:color w:val="auto"/>
                <w:sz w:val="21"/>
                <w:szCs w:val="21"/>
                <w:shd w:val="clear" w:color="auto" w:fill="auto"/>
              </w:rPr>
            </w:pPr>
            <w:bookmarkStart w:id="463" w:name="_Toc6149"/>
            <w:r>
              <w:rPr>
                <w:rFonts w:hint="default" w:ascii="Times New Roman" w:hAnsi="Times New Roman" w:cs="Times New Roman"/>
                <w:color w:val="auto"/>
                <w:sz w:val="21"/>
                <w:szCs w:val="21"/>
                <w:shd w:val="clear" w:color="auto" w:fill="auto"/>
              </w:rPr>
              <w:t>畜禽养殖场、养殖小区依法应当进行环境影响评价而未进行的</w:t>
            </w:r>
            <w:bookmarkEnd w:id="463"/>
          </w:p>
        </w:tc>
      </w:tr>
      <w:tr>
        <w:trPr>
          <w:trHeight w:val="340"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《畜禽规模养殖污染防治条例》第十</w:t>
            </w:r>
            <w:r>
              <w:rPr>
                <w:rFonts w:hint="default" w:ascii="Times New Roman" w:hAnsi="Times New Roman" w:cs="Times New Roman"/>
                <w:b/>
                <w:bCs/>
                <w:color w:val="auto"/>
                <w:kern w:val="0"/>
                <w:sz w:val="20"/>
                <w:szCs w:val="20"/>
                <w:shd w:val="clear" w:color="auto" w:fill="auto"/>
                <w:lang w:eastAsia="zh-CN"/>
              </w:rPr>
              <w:t>二</w:t>
            </w:r>
            <w:r>
              <w:rPr>
                <w:rFonts w:hint="default" w:ascii="Times New Roman" w:hAnsi="Times New Roman" w:cs="Times New Roman"/>
                <w:b/>
                <w:bCs/>
                <w:color w:val="auto"/>
                <w:kern w:val="0"/>
                <w:sz w:val="20"/>
                <w:szCs w:val="20"/>
                <w:shd w:val="clear" w:color="auto" w:fill="auto"/>
              </w:rPr>
              <w:t>条</w:t>
            </w:r>
            <w:r>
              <w:rPr>
                <w:rFonts w:hint="default" w:ascii="Times New Roman" w:hAnsi="Times New Roman" w:cs="Times New Roman"/>
                <w:b/>
                <w:bCs/>
                <w:color w:val="auto"/>
                <w:kern w:val="0"/>
                <w:sz w:val="20"/>
                <w:szCs w:val="20"/>
                <w:shd w:val="clear" w:color="auto" w:fill="auto"/>
                <w:lang w:eastAsia="zh-CN"/>
              </w:rPr>
              <w:t>第一款</w:t>
            </w:r>
            <w:r>
              <w:rPr>
                <w:rFonts w:hint="default" w:ascii="Times New Roman" w:hAnsi="Times New Roman" w:cs="Times New Roman"/>
                <w:color w:val="auto"/>
                <w:kern w:val="0"/>
                <w:sz w:val="20"/>
                <w:szCs w:val="20"/>
                <w:shd w:val="clear" w:color="auto" w:fill="auto"/>
              </w:rPr>
              <w:t xml:space="preserve"> 新建、改建、扩建畜禽养殖场、养殖小区，应当符合畜牧业发展规划、畜禽养殖污染防治规划，满足动物防疫条件，并进行环境影响评价。对环境可能造成重大影响的大型畜禽养殖场、养殖小区，应当编制环境影响报告书；其他畜禽养殖场、养殖小区应当填报环境影响登记表。大型畜禽养殖场、养殖小区的管理目录，由国务院环境保护主管部门商国务院农牧主管部门确定。</w:t>
            </w:r>
          </w:p>
        </w:tc>
      </w:tr>
      <w:tr>
        <w:trPr>
          <w:trHeight w:val="340"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320" w:lineRule="exact"/>
              <w:ind w:left="0" w:right="0" w:firstLine="420"/>
              <w:jc w:val="left"/>
              <w:rPr>
                <w:rFonts w:hint="default" w:ascii="Times New Roman" w:hAnsi="Times New Roman" w:cs="Times New Roman"/>
                <w:color w:val="auto"/>
                <w:kern w:val="0"/>
                <w:sz w:val="20"/>
                <w:szCs w:val="20"/>
                <w:shd w:val="clear" w:color="auto" w:fill="auto"/>
              </w:rPr>
            </w:pPr>
            <w:r>
              <w:rPr>
                <w:rFonts w:hint="default" w:ascii="Times New Roman" w:hAnsi="Times New Roman" w:cs="Times New Roman"/>
                <w:b/>
                <w:bCs/>
                <w:color w:val="auto"/>
                <w:kern w:val="0"/>
                <w:sz w:val="20"/>
                <w:szCs w:val="20"/>
                <w:shd w:val="clear" w:color="auto" w:fill="auto"/>
              </w:rPr>
              <w:t>《畜禽规模养殖污染防治条例》</w:t>
            </w:r>
            <w:r>
              <w:rPr>
                <w:rFonts w:hint="default" w:ascii="Times New Roman" w:hAnsi="Times New Roman" w:cs="Times New Roman"/>
                <w:color w:val="auto"/>
                <w:kern w:val="0"/>
                <w:sz w:val="20"/>
                <w:szCs w:val="20"/>
                <w:shd w:val="clear" w:color="auto" w:fill="auto"/>
              </w:rPr>
              <w:t xml:space="preserve"> </w:t>
            </w:r>
            <w:r>
              <w:rPr>
                <w:rFonts w:hint="default" w:ascii="Times New Roman" w:hAnsi="Times New Roman" w:cs="Times New Roman"/>
                <w:b/>
                <w:bCs/>
                <w:color w:val="auto"/>
                <w:kern w:val="0"/>
                <w:sz w:val="20"/>
                <w:szCs w:val="20"/>
                <w:shd w:val="clear" w:color="auto" w:fill="auto"/>
              </w:rPr>
              <w:t>第三十八条</w:t>
            </w:r>
            <w:r>
              <w:rPr>
                <w:rFonts w:hint="default" w:ascii="Times New Roman" w:hAnsi="Times New Roman" w:cs="Times New Roman"/>
                <w:color w:val="auto"/>
                <w:kern w:val="0"/>
                <w:sz w:val="20"/>
                <w:szCs w:val="20"/>
                <w:shd w:val="clear" w:color="auto" w:fill="auto"/>
              </w:rPr>
              <w:t xml:space="preserve"> 违反本条例规定，畜禽养殖场、养殖小区依法应当进行环境影响评价而未进行的，由有权审批该项目环境影响评价文件的环境保护主管部门责令停止建设，限期补办手续；逾期不补办手续的，处5万元以上20万元以下的罚款。</w:t>
            </w:r>
          </w:p>
        </w:tc>
      </w:tr>
      <w:tr>
        <w:trPr>
          <w:trHeight w:val="386"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86"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情况</w:t>
            </w:r>
          </w:p>
        </w:tc>
        <w:tc>
          <w:tcPr>
            <w:tcW w:w="513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已开工建设但主体工程未建成</w:t>
            </w:r>
            <w:r>
              <w:rPr>
                <w:rFonts w:hint="default" w:ascii="Times New Roman" w:hAnsi="Times New Roman" w:cs="Times New Roman"/>
                <w:color w:val="auto"/>
                <w:sz w:val="21"/>
                <w:szCs w:val="21"/>
                <w:shd w:val="clear" w:color="auto" w:fill="auto"/>
                <w:lang w:eastAsia="zh-CN"/>
              </w:rPr>
              <w:t>，</w:t>
            </w:r>
            <w:r>
              <w:rPr>
                <w:rFonts w:hint="default" w:ascii="Times New Roman" w:hAnsi="Times New Roman" w:cs="Times New Roman"/>
                <w:color w:val="auto"/>
                <w:sz w:val="21"/>
                <w:szCs w:val="21"/>
                <w:shd w:val="clear" w:color="auto" w:fill="auto"/>
                <w:lang w:val="en-US"/>
              </w:rPr>
              <w:t>未进行环境影响评价</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主体工程已建成但尚未投入生产或者使用的，</w:t>
            </w:r>
            <w:r>
              <w:rPr>
                <w:rFonts w:hint="default" w:ascii="Times New Roman" w:hAnsi="Times New Roman" w:cs="Times New Roman"/>
                <w:color w:val="auto"/>
                <w:sz w:val="21"/>
                <w:szCs w:val="21"/>
                <w:shd w:val="clear" w:color="auto" w:fill="auto"/>
                <w:lang w:val="en-US"/>
              </w:rPr>
              <w:t>未进行环境影响评价</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主体工程已投入生产或者使用</w:t>
            </w:r>
            <w:r>
              <w:rPr>
                <w:rFonts w:hint="default" w:ascii="Times New Roman" w:hAnsi="Times New Roman" w:cs="Times New Roman"/>
                <w:color w:val="auto"/>
                <w:sz w:val="21"/>
                <w:szCs w:val="21"/>
                <w:shd w:val="clear" w:color="auto" w:fill="auto"/>
                <w:lang w:eastAsia="zh-CN"/>
              </w:rPr>
              <w:t>，</w:t>
            </w:r>
            <w:r>
              <w:rPr>
                <w:rFonts w:hint="default" w:ascii="Times New Roman" w:hAnsi="Times New Roman" w:cs="Times New Roman"/>
                <w:color w:val="auto"/>
                <w:sz w:val="21"/>
                <w:szCs w:val="21"/>
                <w:shd w:val="clear" w:color="auto" w:fill="auto"/>
                <w:lang w:val="en-US"/>
              </w:rPr>
              <w:t>未进行环境影响评价</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5</w:t>
            </w:r>
          </w:p>
        </w:tc>
      </w:tr>
      <w:tr>
        <w:trPr>
          <w:trHeight w:val="386"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项目应报批的环评文件类别</w:t>
            </w: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1"/>
                <w:szCs w:val="21"/>
                <w:shd w:val="clear" w:color="auto" w:fill="auto"/>
                <w:lang w:eastAsia="zh-CN"/>
              </w:rPr>
            </w:pPr>
            <w:r>
              <w:rPr>
                <w:rFonts w:hint="default" w:ascii="Times New Roman" w:hAnsi="Times New Roman" w:cs="Times New Roman"/>
                <w:color w:val="auto"/>
                <w:sz w:val="21"/>
                <w:szCs w:val="21"/>
                <w:shd w:val="clear" w:color="auto" w:fill="auto"/>
                <w:lang w:eastAsia="zh-CN"/>
              </w:rPr>
              <w:t>登记表</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1"/>
                <w:szCs w:val="21"/>
                <w:shd w:val="clear" w:color="auto" w:fill="auto"/>
                <w:lang w:val="en-US"/>
              </w:rPr>
            </w:pPr>
            <w:r>
              <w:rPr>
                <w:rFonts w:hint="default" w:ascii="Times New Roman" w:hAnsi="Times New Roman" w:cs="Times New Roman"/>
                <w:color w:val="auto"/>
                <w:sz w:val="21"/>
                <w:szCs w:val="21"/>
                <w:shd w:val="clear" w:color="auto" w:fill="auto"/>
                <w:lang w:val="en-US"/>
              </w:rPr>
              <w:t>报告表</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3</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1"/>
                <w:szCs w:val="21"/>
                <w:shd w:val="clear" w:color="auto" w:fill="auto"/>
                <w:lang w:eastAsia="zh-CN"/>
              </w:rPr>
            </w:pPr>
            <w:r>
              <w:rPr>
                <w:rFonts w:hint="default" w:ascii="Times New Roman" w:hAnsi="Times New Roman" w:cs="Times New Roman"/>
                <w:color w:val="auto"/>
                <w:sz w:val="21"/>
                <w:szCs w:val="21"/>
                <w:shd w:val="clear" w:color="auto" w:fill="auto"/>
                <w:lang w:eastAsia="zh-CN"/>
              </w:rPr>
              <w:t>报告书</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eastAsia="zh-CN"/>
              </w:rPr>
              <w:t>5</w:t>
            </w:r>
          </w:p>
        </w:tc>
      </w:tr>
      <w:tr>
        <w:trPr>
          <w:trHeight w:val="386"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污染防治设施建设情况</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污染物处理设施已建成并配套使用的</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污染物处理设施已建成，仍造成一定污染</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未建设污染物处理设施，造成污染</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项目</w:t>
            </w:r>
            <w:r>
              <w:rPr>
                <w:rFonts w:hint="default" w:ascii="Times New Roman" w:hAnsi="Times New Roman" w:cs="Times New Roman"/>
                <w:b/>
                <w:bCs/>
                <w:color w:val="auto"/>
                <w:sz w:val="20"/>
                <w:szCs w:val="20"/>
                <w:shd w:val="clear" w:color="auto" w:fill="auto"/>
              </w:rPr>
              <w:t>建设</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地点</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城镇居民区、文化教育科学研究区等人口集中区域</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自然保护区的核心区和缓冲区</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饮用水水源保护区，风景名胜区</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86"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r>
              <w:rPr>
                <w:rFonts w:hint="default" w:ascii="Times New Roman" w:hAnsi="Times New Roman" w:cs="Times New Roman"/>
                <w:b/>
                <w:bCs/>
                <w:color w:val="auto"/>
                <w:sz w:val="20"/>
                <w:szCs w:val="20"/>
                <w:shd w:val="clear" w:color="auto" w:fill="auto"/>
                <w:lang w:eastAsia="zh-CN"/>
              </w:rPr>
              <w:t>企业</w:t>
            </w:r>
            <w:r>
              <w:rPr>
                <w:rFonts w:hint="default" w:ascii="Times New Roman" w:hAnsi="Times New Roman" w:cs="Times New Roman"/>
                <w:b/>
                <w:bCs/>
                <w:color w:val="auto"/>
                <w:sz w:val="20"/>
                <w:szCs w:val="20"/>
                <w:shd w:val="clear" w:color="auto" w:fill="auto"/>
                <w:lang w:val="en-US"/>
              </w:rPr>
              <w:t>规模</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eastAsia="宋体" w:cs="Times New Roman"/>
                <w:i w:val="0"/>
                <w:iCs w:val="0"/>
                <w:caps w:val="0"/>
                <w:color w:val="auto"/>
                <w:spacing w:val="0"/>
                <w:sz w:val="21"/>
                <w:szCs w:val="21"/>
                <w:shd w:val="clear" w:color="auto" w:fill="auto"/>
              </w:rPr>
              <w:t>微型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rPr>
              <w:t>1</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Style w:val="14"/>
                <w:rFonts w:ascii="Times New Roman" w:hAnsi="Times New Roman" w:eastAsia="宋体" w:cs="Times New Roman"/>
                <w:i w:val="0"/>
                <w:iCs w:val="0"/>
                <w:caps w:val="0"/>
                <w:color w:val="auto"/>
                <w:spacing w:val="0"/>
                <w:sz w:val="21"/>
                <w:szCs w:val="21"/>
                <w:shd w:val="clear" w:color="auto" w:fill="auto"/>
              </w:rPr>
              <w:t>小型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2</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Style w:val="14"/>
                <w:rFonts w:ascii="Times New Roman" w:hAnsi="Times New Roman" w:eastAsia="宋体" w:cs="Times New Roman"/>
                <w:i w:val="0"/>
                <w:iCs w:val="0"/>
                <w:caps w:val="0"/>
                <w:color w:val="auto"/>
                <w:spacing w:val="0"/>
                <w:sz w:val="21"/>
                <w:szCs w:val="21"/>
                <w:shd w:val="clear" w:color="auto" w:fill="auto"/>
              </w:rPr>
              <w:t>中型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86"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lang w:val="en-US" w:eastAsia="zh-CN"/>
              </w:rPr>
            </w:pPr>
          </w:p>
        </w:tc>
        <w:tc>
          <w:tcPr>
            <w:tcW w:w="5130" w:type="dxa"/>
            <w:vAlign w:val="center"/>
          </w:tcPr>
          <w:p>
            <w:pPr>
              <w:shd w:val="clear" w:color="auto" w:fill="auto"/>
              <w:snapToGrid w:val="0"/>
              <w:spacing w:before="0" w:beforeAutospacing="0" w:after="0" w:afterAutospacing="0" w:line="320" w:lineRule="exact"/>
              <w:ind w:left="0" w:right="0" w:firstLine="2100" w:firstLineChars="1000"/>
              <w:jc w:val="both"/>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eastAsia="zh-CN"/>
              </w:rPr>
              <w:t>大型</w:t>
            </w:r>
            <w:r>
              <w:rPr>
                <w:rFonts w:hint="default" w:ascii="Times New Roman" w:hAnsi="Times New Roman" w:cs="Times New Roman"/>
                <w:i w:val="0"/>
                <w:iCs w:val="0"/>
                <w:caps w:val="0"/>
                <w:color w:val="auto"/>
                <w:spacing w:val="0"/>
                <w:sz w:val="21"/>
                <w:szCs w:val="21"/>
                <w:shd w:val="clear" w:color="auto" w:fill="auto"/>
                <w:lang w:eastAsia="zh-CN"/>
              </w:rPr>
              <w:t>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2"/>
                <w:sz w:val="21"/>
                <w:szCs w:val="21"/>
                <w:shd w:val="clear" w:color="auto" w:fill="auto"/>
                <w:lang w:val="en-US" w:eastAsia="zh-CN"/>
              </w:rPr>
            </w:pPr>
            <w:r>
              <w:rPr>
                <w:rFonts w:hint="default" w:ascii="Times New Roman" w:hAnsi="Times New Roman" w:cs="Times New Roman"/>
                <w:color w:val="auto"/>
                <w:kern w:val="2"/>
                <w:sz w:val="21"/>
                <w:szCs w:val="21"/>
                <w:shd w:val="clear" w:color="auto" w:fill="auto"/>
                <w:lang w:val="en-US" w:eastAsia="zh-CN" w:bidi="ar-SA"/>
              </w:rPr>
              <w:t>4</w:t>
            </w:r>
          </w:p>
        </w:tc>
      </w:tr>
      <w:tr>
        <w:trPr>
          <w:trHeight w:val="386" w:hRule="atLeast"/>
        </w:trPr>
        <w:tc>
          <w:tcPr>
            <w:tcW w:w="1284"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86"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86"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86"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86" w:hRule="atLeast"/>
        </w:trPr>
        <w:tc>
          <w:tcPr>
            <w:tcW w:w="1284"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437" w:hRule="atLeast"/>
        </w:trPr>
        <w:tc>
          <w:tcPr>
            <w:tcW w:w="128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改正时间</w:t>
            </w:r>
          </w:p>
        </w:tc>
        <w:tc>
          <w:tcPr>
            <w:tcW w:w="5130" w:type="dxa"/>
            <w:vAlign w:val="center"/>
          </w:tcPr>
          <w:p>
            <w:pPr>
              <w:snapToGrid w:val="0"/>
              <w:spacing w:before="0" w:beforeAutospacing="0" w:after="0" w:afterAutospacing="0"/>
              <w:ind w:left="0" w:right="0" w:firstLine="420" w:firstLineChars="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3天以下</w:t>
            </w:r>
            <w:r>
              <w:rPr>
                <w:rFonts w:hint="eastAsia" w:ascii="Times New Roman" w:hAnsi="Times New Roman" w:cs="Times New Roman"/>
                <w:color w:val="auto"/>
                <w:sz w:val="20"/>
                <w:szCs w:val="20"/>
                <w:shd w:val="clear" w:color="auto" w:fill="auto"/>
                <w:lang w:val="en-US" w:eastAsia="zh-CN"/>
              </w:rPr>
              <w:tab/>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437"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130" w:type="dxa"/>
            <w:vAlign w:val="center"/>
          </w:tcPr>
          <w:p>
            <w:pPr>
              <w:snapToGrid w:val="0"/>
              <w:spacing w:before="0" w:beforeAutospacing="0" w:after="0" w:afterAutospacing="0"/>
              <w:ind w:left="0" w:right="0" w:firstLine="420" w:firstLineChars="0"/>
              <w:jc w:val="center"/>
              <w:rPr>
                <w:rFonts w:hint="default" w:ascii="Times New Roman" w:hAnsi="Times New Roman" w:cs="Times New Roman"/>
                <w:color w:val="auto"/>
                <w:sz w:val="20"/>
                <w:szCs w:val="20"/>
              </w:rPr>
            </w:pPr>
            <w:r>
              <w:rPr>
                <w:rFonts w:hint="eastAsia"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437"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eastAsia="zh-CN"/>
              </w:rPr>
            </w:pPr>
          </w:p>
        </w:tc>
        <w:tc>
          <w:tcPr>
            <w:tcW w:w="5130" w:type="dxa"/>
            <w:vAlign w:val="center"/>
          </w:tcPr>
          <w:p>
            <w:pPr>
              <w:snapToGrid w:val="0"/>
              <w:spacing w:before="0" w:beforeAutospacing="0" w:after="0" w:afterAutospacing="0"/>
              <w:ind w:left="0" w:right="0" w:firstLine="420" w:firstLineChars="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7天</w:t>
            </w:r>
            <w:r>
              <w:rPr>
                <w:rFonts w:hint="eastAsia" w:ascii="Times New Roman" w:hAnsi="Times New Roman" w:cs="Times New Roman"/>
                <w:color w:val="auto"/>
                <w:sz w:val="20"/>
                <w:szCs w:val="20"/>
                <w:shd w:val="clear" w:color="auto" w:fill="auto"/>
                <w:lang w:val="en-US" w:eastAsia="zh-CN"/>
              </w:rPr>
              <w:t>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43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3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3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firstLine="420" w:firstLineChars="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37"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3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43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4</w:t>
            </w:r>
          </w:p>
        </w:tc>
      </w:tr>
      <w:tr>
        <w:trPr>
          <w:trHeight w:val="437"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437"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776"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widowControl/>
        <w:shd w:val="clear" w:color="auto" w:fill="auto"/>
        <w:snapToGrid w:val="0"/>
        <w:jc w:val="left"/>
        <w:rPr>
          <w:rFonts w:ascii="Times New Roman" w:hAnsi="Times New Roman" w:cs="Times New Roman"/>
          <w:color w:val="auto"/>
          <w:kern w:val="0"/>
          <w:shd w:val="clear" w:color="auto" w:fill="auto"/>
        </w:rPr>
      </w:pPr>
    </w:p>
    <w:p>
      <w:pPr>
        <w:widowControl/>
        <w:shd w:val="clear" w:color="auto" w:fill="auto"/>
        <w:snapToGrid w:val="0"/>
        <w:jc w:val="left"/>
        <w:rPr>
          <w:rFonts w:ascii="Times New Roman" w:hAnsi="Times New Roman" w:cs="Times New Roman"/>
          <w:color w:val="auto"/>
          <w:kern w:val="0"/>
          <w:shd w:val="clear" w:color="auto" w:fill="auto"/>
        </w:rPr>
      </w:pPr>
    </w:p>
    <w:p>
      <w:pPr>
        <w:widowControl/>
        <w:shd w:val="clear" w:color="auto" w:fill="auto"/>
        <w:snapToGrid w:val="0"/>
        <w:jc w:val="left"/>
        <w:rPr>
          <w:rFonts w:ascii="Times New Roman" w:hAnsi="Times New Roman" w:cs="Times New Roman"/>
          <w:color w:val="auto"/>
          <w:kern w:val="0"/>
          <w:shd w:val="clear" w:color="auto" w:fill="auto"/>
        </w:rPr>
      </w:pPr>
    </w:p>
    <w:p>
      <w:pPr>
        <w:widowControl/>
        <w:shd w:val="clear" w:color="auto" w:fill="auto"/>
        <w:snapToGrid w:val="0"/>
        <w:jc w:val="left"/>
        <w:rPr>
          <w:rFonts w:ascii="Times New Roman" w:hAnsi="Times New Roman" w:cs="Times New Roman"/>
          <w:color w:val="auto"/>
          <w:kern w:val="0"/>
          <w:shd w:val="clear" w:color="auto" w:fill="auto"/>
        </w:rPr>
      </w:pPr>
    </w:p>
    <w:p>
      <w:pPr>
        <w:widowControl/>
        <w:shd w:val="clear" w:color="auto" w:fill="auto"/>
        <w:snapToGrid w:val="0"/>
        <w:jc w:val="left"/>
        <w:rPr>
          <w:rFonts w:ascii="Times New Roman" w:hAnsi="Times New Roman" w:cs="Times New Roman"/>
          <w:color w:val="auto"/>
          <w:kern w:val="0"/>
          <w:shd w:val="clear" w:color="auto" w:fill="auto"/>
        </w:rPr>
      </w:pPr>
      <w:r>
        <w:rPr>
          <w:rFonts w:ascii="Times New Roman" w:hAnsi="Times New Roman" w:cs="Times New Roman"/>
          <w:color w:val="auto"/>
          <w:kern w:val="0"/>
          <w:shd w:val="clear" w:color="auto" w:fill="auto"/>
        </w:rPr>
        <w:br w:type="page"/>
      </w:r>
    </w:p>
    <w:tbl>
      <w:tblPr>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5311"/>
        <w:gridCol w:w="2741"/>
      </w:tblGrid>
      <w:tr>
        <w:trPr>
          <w:trHeight w:val="340" w:hRule="atLeast"/>
          <w:jc w:val="center"/>
        </w:trPr>
        <w:tc>
          <w:tcPr>
            <w:tcW w:w="9338" w:type="dxa"/>
            <w:gridSpan w:val="3"/>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eastAsia="zh-CN"/>
              </w:rPr>
              <w:t>十</w:t>
            </w:r>
            <w:r>
              <w:rPr>
                <w:rFonts w:hint="default" w:ascii="Times New Roman" w:hAnsi="Times New Roman" w:cs="Times New Roman"/>
                <w:b/>
                <w:bCs/>
                <w:color w:val="auto"/>
                <w:sz w:val="20"/>
                <w:szCs w:val="20"/>
                <w:shd w:val="clear" w:color="auto" w:fill="auto"/>
              </w:rPr>
              <w:t>）其他类</w:t>
            </w:r>
          </w:p>
        </w:tc>
      </w:tr>
      <w:tr>
        <w:trPr>
          <w:trHeight w:val="340" w:hRule="atLeast"/>
          <w:jc w:val="center"/>
        </w:trPr>
        <w:tc>
          <w:tcPr>
            <w:tcW w:w="128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8052" w:type="dxa"/>
            <w:gridSpan w:val="2"/>
            <w:vAlign w:val="center"/>
          </w:tcPr>
          <w:p>
            <w:pPr>
              <w:shd w:val="clear" w:color="auto" w:fill="auto"/>
              <w:snapToGrid w:val="0"/>
              <w:spacing w:before="0" w:beforeAutospacing="0" w:after="0" w:afterAutospacing="0" w:line="320" w:lineRule="exact"/>
              <w:ind w:left="0" w:right="0"/>
              <w:jc w:val="center"/>
              <w:outlineLvl w:val="0"/>
              <w:rPr>
                <w:rFonts w:hint="default" w:ascii="Times New Roman" w:hAnsi="Times New Roman" w:eastAsia="宋体" w:cs="Times New Roman"/>
                <w:color w:val="auto"/>
                <w:sz w:val="20"/>
                <w:szCs w:val="20"/>
                <w:shd w:val="clear" w:color="auto" w:fill="auto"/>
                <w:lang w:eastAsia="zh-CN"/>
              </w:rPr>
            </w:pPr>
            <w:bookmarkStart w:id="464" w:name="_Toc20757"/>
            <w:r>
              <w:rPr>
                <w:rFonts w:hint="default" w:ascii="Times New Roman" w:hAnsi="Times New Roman" w:eastAsia="宋体" w:cs="Times New Roman"/>
                <w:color w:val="auto"/>
                <w:sz w:val="20"/>
                <w:szCs w:val="20"/>
                <w:shd w:val="clear" w:color="auto" w:fill="auto"/>
                <w:lang w:eastAsia="zh-CN"/>
              </w:rPr>
              <w:t>6</w:t>
            </w:r>
            <w:bookmarkEnd w:id="464"/>
          </w:p>
        </w:tc>
      </w:tr>
      <w:tr>
        <w:trPr>
          <w:trHeight w:val="340" w:hRule="atLeast"/>
          <w:jc w:val="center"/>
        </w:trPr>
        <w:tc>
          <w:tcPr>
            <w:tcW w:w="128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8052" w:type="dxa"/>
            <w:gridSpan w:val="2"/>
            <w:vAlign w:val="top"/>
          </w:tcPr>
          <w:p>
            <w:pPr>
              <w:shd w:val="clear" w:color="auto" w:fill="auto"/>
              <w:snapToGrid w:val="0"/>
              <w:spacing w:before="0" w:beforeAutospacing="0" w:after="0" w:afterAutospacing="0" w:line="320" w:lineRule="exact"/>
              <w:ind w:left="0" w:right="0" w:firstLine="420"/>
              <w:outlineLvl w:val="0"/>
              <w:rPr>
                <w:rFonts w:hint="default" w:ascii="Times New Roman" w:hAnsi="Times New Roman" w:cs="Times New Roman"/>
                <w:color w:val="auto"/>
                <w:sz w:val="20"/>
                <w:szCs w:val="20"/>
                <w:shd w:val="clear" w:color="auto" w:fill="auto"/>
              </w:rPr>
            </w:pPr>
            <w:bookmarkStart w:id="465" w:name="_Toc17292"/>
            <w:r>
              <w:rPr>
                <w:rFonts w:hint="default" w:ascii="Times New Roman" w:hAnsi="Times New Roman" w:cs="Times New Roman"/>
                <w:color w:val="auto"/>
                <w:sz w:val="20"/>
                <w:szCs w:val="20"/>
                <w:shd w:val="clear" w:color="auto" w:fill="auto"/>
              </w:rPr>
              <w:t>未同时组织实施环境影响报告书、环境影响报告表及其审批部门审批决定中提出的环境保护对策措施的</w:t>
            </w:r>
            <w:bookmarkEnd w:id="465"/>
          </w:p>
        </w:tc>
      </w:tr>
      <w:tr>
        <w:trPr>
          <w:trHeight w:val="340" w:hRule="atLeast"/>
          <w:jc w:val="center"/>
        </w:trPr>
        <w:tc>
          <w:tcPr>
            <w:tcW w:w="128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8052" w:type="dxa"/>
            <w:gridSpan w:val="2"/>
            <w:vAlign w:val="center"/>
          </w:tcPr>
          <w:p>
            <w:pPr>
              <w:pStyle w:val="19"/>
              <w:shd w:val="clear" w:color="auto" w:fill="auto"/>
              <w:snapToGrid w:val="0"/>
              <w:spacing w:before="0" w:beforeAutospacing="0" w:after="0" w:afterAutospacing="0" w:line="320" w:lineRule="exact"/>
              <w:ind w:left="0" w:right="0" w:firstLine="480"/>
              <w:jc w:val="both"/>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bCs/>
                <w:color w:val="auto"/>
                <w:kern w:val="0"/>
                <w:sz w:val="21"/>
                <w:szCs w:val="21"/>
                <w:shd w:val="clear" w:color="auto" w:fill="auto"/>
              </w:rPr>
              <w:t>《畜禽规模养殖污染防治条例》</w:t>
            </w:r>
            <w:r>
              <w:rPr>
                <w:rFonts w:hint="default" w:ascii="Times New Roman" w:hAnsi="Times New Roman" w:cs="Times New Roman"/>
                <w:b/>
                <w:bCs/>
                <w:color w:val="auto"/>
                <w:sz w:val="21"/>
                <w:szCs w:val="21"/>
                <w:shd w:val="clear" w:color="auto" w:fill="auto"/>
              </w:rPr>
              <w:t xml:space="preserve">第十三条 </w:t>
            </w:r>
            <w:r>
              <w:rPr>
                <w:rFonts w:hint="default" w:ascii="Times New Roman" w:hAnsi="Times New Roman" w:cs="Times New Roman"/>
                <w:b w:val="0"/>
                <w:bCs w:val="0"/>
                <w:color w:val="auto"/>
                <w:sz w:val="21"/>
                <w:szCs w:val="21"/>
                <w:shd w:val="clear" w:color="auto" w:fill="auto"/>
              </w:rPr>
              <w:t>畜禽养殖场、养殖小区应当根据养殖规模和污染防治需要，建设相应的畜禽粪便、污水与雨水分流设施，畜禽粪便、污水的贮存设施，粪污厌氧消化和堆沤、有机肥加工、制取沼气、沼渣沼液分离和输送、污水处理、畜禽尸体处理等综合利用和无害化处理设施。已经委托他人对畜禽养殖废弃物代为综合利用和无害化处理的，可以不自行建设综合利用和无害化处理设施。</w:t>
            </w:r>
          </w:p>
          <w:p>
            <w:pPr>
              <w:pStyle w:val="19"/>
              <w:shd w:val="clear" w:color="auto" w:fill="auto"/>
              <w:snapToGrid w:val="0"/>
              <w:spacing w:before="0" w:beforeAutospacing="0" w:after="0" w:afterAutospacing="0" w:line="320" w:lineRule="exact"/>
              <w:ind w:left="0" w:right="0" w:firstLine="480"/>
              <w:jc w:val="both"/>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未建设污染防治配套设施、自行建设的配套设施不合格，或者未委托他人对畜禽养殖废弃物进行综合利用和无害化处理的，畜禽养殖场、养殖小区不得投入生产或者使用。</w:t>
            </w:r>
          </w:p>
          <w:p>
            <w:pPr>
              <w:pStyle w:val="19"/>
              <w:shd w:val="clear" w:color="auto" w:fill="auto"/>
              <w:snapToGrid w:val="0"/>
              <w:spacing w:before="0" w:beforeAutospacing="0" w:after="0" w:afterAutospacing="0" w:line="320" w:lineRule="exact"/>
              <w:ind w:left="0" w:right="0" w:firstLine="48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畜禽养殖场、养殖小区自行建设污染防治配套设施的，应当确保其正常运行。</w:t>
            </w:r>
          </w:p>
        </w:tc>
      </w:tr>
      <w:tr>
        <w:trPr>
          <w:trHeight w:val="1730" w:hRule="atLeast"/>
          <w:jc w:val="center"/>
        </w:trPr>
        <w:tc>
          <w:tcPr>
            <w:tcW w:w="128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8052" w:type="dxa"/>
            <w:gridSpan w:val="2"/>
            <w:vAlign w:val="center"/>
          </w:tcPr>
          <w:p>
            <w:pPr>
              <w:pStyle w:val="19"/>
              <w:shd w:val="clear" w:color="auto" w:fill="auto"/>
              <w:snapToGrid w:val="0"/>
              <w:spacing w:before="0" w:beforeAutospacing="0" w:after="0" w:afterAutospacing="0" w:line="320" w:lineRule="exact"/>
              <w:ind w:left="0" w:right="0" w:firstLine="420"/>
              <w:jc w:val="both"/>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kern w:val="0"/>
                <w:sz w:val="21"/>
                <w:szCs w:val="21"/>
                <w:shd w:val="clear" w:color="auto" w:fill="auto"/>
              </w:rPr>
              <w:t>《畜禽规模养殖污染防治条例》</w:t>
            </w:r>
            <w:r>
              <w:rPr>
                <w:rFonts w:hint="default" w:ascii="Times New Roman" w:hAnsi="Times New Roman" w:cs="Times New Roman"/>
                <w:b/>
                <w:bCs/>
                <w:color w:val="auto"/>
                <w:sz w:val="21"/>
                <w:szCs w:val="21"/>
                <w:shd w:val="clear" w:color="auto" w:fill="auto"/>
              </w:rPr>
              <w:t xml:space="preserve">第三十九条 </w:t>
            </w:r>
            <w:r>
              <w:rPr>
                <w:rFonts w:hint="default" w:ascii="Times New Roman" w:hAnsi="Times New Roman" w:cs="Times New Roman"/>
                <w:b w:val="0"/>
                <w:bCs w:val="0"/>
                <w:color w:val="auto"/>
                <w:sz w:val="21"/>
                <w:szCs w:val="21"/>
                <w:shd w:val="clear" w:color="auto" w:fill="auto"/>
              </w:rPr>
              <w:t>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tc>
      </w:tr>
      <w:tr>
        <w:trPr>
          <w:trHeight w:val="369" w:hRule="atLeast"/>
          <w:jc w:val="center"/>
        </w:trPr>
        <w:tc>
          <w:tcPr>
            <w:tcW w:w="128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7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69" w:hRule="atLeast"/>
          <w:jc w:val="center"/>
        </w:trPr>
        <w:tc>
          <w:tcPr>
            <w:tcW w:w="128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kern w:val="2"/>
                <w:sz w:val="21"/>
                <w:szCs w:val="21"/>
                <w:shd w:val="clear" w:color="auto" w:fill="auto"/>
              </w:rPr>
              <w:t>★违法事实</w:t>
            </w:r>
          </w:p>
        </w:tc>
        <w:tc>
          <w:tcPr>
            <w:tcW w:w="531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项目配套的环保辅助对策措施未按要求建设</w:t>
            </w:r>
          </w:p>
        </w:tc>
        <w:tc>
          <w:tcPr>
            <w:tcW w:w="27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28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1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kern w:val="2"/>
                <w:sz w:val="21"/>
                <w:szCs w:val="21"/>
                <w:shd w:val="clear" w:color="auto" w:fill="auto"/>
              </w:rPr>
              <w:t>项目配套的</w:t>
            </w:r>
            <w:r>
              <w:rPr>
                <w:rFonts w:hint="default" w:ascii="Times New Roman" w:hAnsi="Times New Roman" w:cs="Times New Roman"/>
                <w:color w:val="auto"/>
                <w:sz w:val="21"/>
                <w:szCs w:val="21"/>
                <w:shd w:val="clear" w:color="auto" w:fill="auto"/>
              </w:rPr>
              <w:t>环保对策措施</w:t>
            </w:r>
            <w:r>
              <w:rPr>
                <w:rFonts w:hint="default" w:ascii="Times New Roman" w:hAnsi="Times New Roman" w:cs="Times New Roman"/>
                <w:color w:val="auto"/>
                <w:kern w:val="2"/>
                <w:sz w:val="21"/>
                <w:szCs w:val="21"/>
                <w:shd w:val="clear" w:color="auto" w:fill="auto"/>
              </w:rPr>
              <w:t>未建设</w:t>
            </w:r>
          </w:p>
        </w:tc>
        <w:tc>
          <w:tcPr>
            <w:tcW w:w="27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28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项目应报批的环评文件类别</w:t>
            </w:r>
          </w:p>
        </w:tc>
        <w:tc>
          <w:tcPr>
            <w:tcW w:w="531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报告表</w:t>
            </w:r>
          </w:p>
        </w:tc>
        <w:tc>
          <w:tcPr>
            <w:tcW w:w="27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8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登记表</w:t>
            </w:r>
          </w:p>
        </w:tc>
        <w:tc>
          <w:tcPr>
            <w:tcW w:w="27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28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报告书</w:t>
            </w:r>
          </w:p>
        </w:tc>
        <w:tc>
          <w:tcPr>
            <w:tcW w:w="27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28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情况</w:t>
            </w:r>
          </w:p>
        </w:tc>
        <w:tc>
          <w:tcPr>
            <w:tcW w:w="5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已开工建设但主体工程未建成的</w:t>
            </w:r>
          </w:p>
        </w:tc>
        <w:tc>
          <w:tcPr>
            <w:tcW w:w="27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8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主体工程已建成但尚未投入生产或者使用的</w:t>
            </w:r>
          </w:p>
        </w:tc>
        <w:tc>
          <w:tcPr>
            <w:tcW w:w="27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28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主体工程已投入生产或者使用的</w:t>
            </w:r>
          </w:p>
        </w:tc>
        <w:tc>
          <w:tcPr>
            <w:tcW w:w="27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jc w:val="center"/>
        </w:trPr>
        <w:tc>
          <w:tcPr>
            <w:tcW w:w="128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项目建设</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地点</w:t>
            </w:r>
          </w:p>
        </w:tc>
        <w:tc>
          <w:tcPr>
            <w:tcW w:w="5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城镇居民区、文化教育科学研究区等人口集中区域</w:t>
            </w:r>
          </w:p>
        </w:tc>
        <w:tc>
          <w:tcPr>
            <w:tcW w:w="27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86"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自然保护区的核心区和缓冲区</w:t>
            </w:r>
          </w:p>
        </w:tc>
        <w:tc>
          <w:tcPr>
            <w:tcW w:w="27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69" w:hRule="atLeast"/>
          <w:jc w:val="center"/>
        </w:trPr>
        <w:tc>
          <w:tcPr>
            <w:tcW w:w="1286"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11" w:type="dxa"/>
            <w:vAlign w:val="center"/>
          </w:tcPr>
          <w:p>
            <w:pPr>
              <w:shd w:val="clear" w:color="auto" w:fill="auto"/>
              <w:snapToGrid w:val="0"/>
              <w:spacing w:before="0" w:beforeAutospacing="0" w:after="0" w:afterAutospacing="0" w:line="320" w:lineRule="exact"/>
              <w:ind w:left="0" w:right="0" w:firstLine="1050" w:firstLineChars="500"/>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饮用水</w:t>
            </w:r>
            <w:r>
              <w:rPr>
                <w:rFonts w:hint="default" w:ascii="Times New Roman" w:hAnsi="Times New Roman" w:cs="Times New Roman"/>
                <w:color w:val="auto"/>
                <w:sz w:val="20"/>
                <w:szCs w:val="20"/>
                <w:shd w:val="clear" w:color="auto" w:fill="auto"/>
                <w:lang w:eastAsia="zh-CN"/>
              </w:rPr>
              <w:t>水源保护区</w:t>
            </w:r>
            <w:r>
              <w:rPr>
                <w:rFonts w:hint="default"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rPr>
              <w:t>风景名胜区</w:t>
            </w:r>
          </w:p>
        </w:tc>
        <w:tc>
          <w:tcPr>
            <w:tcW w:w="27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5</w:t>
            </w:r>
          </w:p>
        </w:tc>
      </w:tr>
      <w:tr>
        <w:trPr>
          <w:trHeight w:val="369" w:hRule="atLeast"/>
          <w:jc w:val="center"/>
        </w:trPr>
        <w:tc>
          <w:tcPr>
            <w:tcW w:w="128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养殖规模</w:t>
            </w:r>
          </w:p>
        </w:tc>
        <w:tc>
          <w:tcPr>
            <w:tcW w:w="531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年出栏生猪500</w:t>
            </w:r>
            <w:r>
              <w:rPr>
                <w:rFonts w:hint="default" w:ascii="Times New Roman" w:hAnsi="Times New Roman" w:cs="Times New Roman"/>
                <w:color w:val="auto"/>
                <w:sz w:val="21"/>
                <w:szCs w:val="21"/>
                <w:shd w:val="clear" w:color="auto" w:fill="auto"/>
                <w:lang w:val="en-US"/>
              </w:rPr>
              <w:t>头以上</w:t>
            </w:r>
            <w:r>
              <w:rPr>
                <w:rFonts w:hint="default" w:ascii="Times New Roman" w:hAnsi="Times New Roman" w:cs="Times New Roman"/>
                <w:color w:val="auto"/>
                <w:sz w:val="21"/>
                <w:szCs w:val="21"/>
                <w:shd w:val="clear" w:color="auto" w:fill="auto"/>
              </w:rPr>
              <w:t>1000头</w:t>
            </w:r>
            <w:r>
              <w:rPr>
                <w:rFonts w:hint="default" w:ascii="Times New Roman" w:hAnsi="Times New Roman" w:cs="Times New Roman"/>
                <w:color w:val="auto"/>
                <w:sz w:val="21"/>
                <w:szCs w:val="21"/>
                <w:shd w:val="clear" w:color="auto" w:fill="auto"/>
                <w:lang w:val="en-US"/>
              </w:rPr>
              <w:t>以下</w:t>
            </w:r>
            <w:r>
              <w:rPr>
                <w:rFonts w:hint="default" w:ascii="Times New Roman" w:hAnsi="Times New Roman" w:cs="Times New Roman"/>
                <w:color w:val="auto"/>
                <w:sz w:val="21"/>
                <w:szCs w:val="21"/>
                <w:shd w:val="clear" w:color="auto" w:fill="auto"/>
              </w:rPr>
              <w:t>(其他畜禽种类折合猪的养殖规模)</w:t>
            </w:r>
          </w:p>
        </w:tc>
        <w:tc>
          <w:tcPr>
            <w:tcW w:w="27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1</w:t>
            </w:r>
          </w:p>
        </w:tc>
      </w:tr>
      <w:tr>
        <w:trPr>
          <w:trHeight w:val="369" w:hRule="atLeast"/>
          <w:jc w:val="center"/>
        </w:trPr>
        <w:tc>
          <w:tcPr>
            <w:tcW w:w="128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1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年出栏生猪1000</w:t>
            </w:r>
            <w:r>
              <w:rPr>
                <w:rFonts w:hint="default" w:ascii="Times New Roman" w:hAnsi="Times New Roman" w:cs="Times New Roman"/>
                <w:color w:val="auto"/>
                <w:sz w:val="21"/>
                <w:szCs w:val="21"/>
                <w:shd w:val="clear" w:color="auto" w:fill="auto"/>
                <w:lang w:val="en-US"/>
              </w:rPr>
              <w:t>头以上</w:t>
            </w:r>
            <w:r>
              <w:rPr>
                <w:rFonts w:hint="default" w:ascii="Times New Roman" w:hAnsi="Times New Roman" w:cs="Times New Roman"/>
                <w:color w:val="auto"/>
                <w:sz w:val="21"/>
                <w:szCs w:val="21"/>
                <w:shd w:val="clear" w:color="auto" w:fill="auto"/>
                <w:lang/>
              </w:rPr>
              <w:t>2</w:t>
            </w:r>
            <w:r>
              <w:rPr>
                <w:rFonts w:hint="default" w:ascii="Times New Roman" w:hAnsi="Times New Roman" w:cs="Times New Roman"/>
                <w:color w:val="auto"/>
                <w:sz w:val="21"/>
                <w:szCs w:val="21"/>
                <w:shd w:val="clear" w:color="auto" w:fill="auto"/>
              </w:rPr>
              <w:t>000头</w:t>
            </w:r>
            <w:r>
              <w:rPr>
                <w:rFonts w:hint="default" w:ascii="Times New Roman" w:hAnsi="Times New Roman" w:cs="Times New Roman"/>
                <w:color w:val="auto"/>
                <w:sz w:val="21"/>
                <w:szCs w:val="21"/>
                <w:shd w:val="clear" w:color="auto" w:fill="auto"/>
                <w:lang w:val="en-US"/>
              </w:rPr>
              <w:t>以下</w:t>
            </w:r>
            <w:r>
              <w:rPr>
                <w:rFonts w:hint="default" w:ascii="Times New Roman" w:hAnsi="Times New Roman" w:cs="Times New Roman"/>
                <w:color w:val="auto"/>
                <w:sz w:val="21"/>
                <w:szCs w:val="21"/>
                <w:shd w:val="clear" w:color="auto" w:fill="auto"/>
              </w:rPr>
              <w:t>(其他畜禽种类折合猪的养殖规模)</w:t>
            </w:r>
          </w:p>
        </w:tc>
        <w:tc>
          <w:tcPr>
            <w:tcW w:w="27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2</w:t>
            </w:r>
          </w:p>
        </w:tc>
      </w:tr>
      <w:tr>
        <w:trPr>
          <w:trHeight w:val="369" w:hRule="atLeast"/>
          <w:jc w:val="center"/>
        </w:trPr>
        <w:tc>
          <w:tcPr>
            <w:tcW w:w="128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1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年出栏生猪2000</w:t>
            </w:r>
            <w:r>
              <w:rPr>
                <w:rFonts w:hint="default" w:ascii="Times New Roman" w:hAnsi="Times New Roman" w:cs="Times New Roman"/>
                <w:color w:val="auto"/>
                <w:sz w:val="21"/>
                <w:szCs w:val="21"/>
                <w:shd w:val="clear" w:color="auto" w:fill="auto"/>
                <w:lang w:val="en-US"/>
              </w:rPr>
              <w:t>头以上</w:t>
            </w:r>
            <w:r>
              <w:rPr>
                <w:rFonts w:hint="default" w:ascii="Times New Roman" w:hAnsi="Times New Roman" w:cs="Times New Roman"/>
                <w:color w:val="auto"/>
                <w:sz w:val="21"/>
                <w:szCs w:val="21"/>
                <w:shd w:val="clear" w:color="auto" w:fill="auto"/>
                <w:lang/>
              </w:rPr>
              <w:t>3</w:t>
            </w:r>
            <w:r>
              <w:rPr>
                <w:rFonts w:hint="default" w:ascii="Times New Roman" w:hAnsi="Times New Roman" w:cs="Times New Roman"/>
                <w:color w:val="auto"/>
                <w:sz w:val="21"/>
                <w:szCs w:val="21"/>
                <w:shd w:val="clear" w:color="auto" w:fill="auto"/>
              </w:rPr>
              <w:t>000头</w:t>
            </w:r>
            <w:r>
              <w:rPr>
                <w:rFonts w:hint="default" w:ascii="Times New Roman" w:hAnsi="Times New Roman" w:cs="Times New Roman"/>
                <w:color w:val="auto"/>
                <w:sz w:val="21"/>
                <w:szCs w:val="21"/>
                <w:shd w:val="clear" w:color="auto" w:fill="auto"/>
                <w:lang w:val="en-US"/>
              </w:rPr>
              <w:t>以下</w:t>
            </w:r>
            <w:r>
              <w:rPr>
                <w:rFonts w:hint="default" w:ascii="Times New Roman" w:hAnsi="Times New Roman" w:cs="Times New Roman"/>
                <w:color w:val="auto"/>
                <w:sz w:val="21"/>
                <w:szCs w:val="21"/>
                <w:shd w:val="clear" w:color="auto" w:fill="auto"/>
              </w:rPr>
              <w:t>(其他畜禽种类折合猪的养殖规模)</w:t>
            </w:r>
          </w:p>
        </w:tc>
        <w:tc>
          <w:tcPr>
            <w:tcW w:w="27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3</w:t>
            </w:r>
          </w:p>
        </w:tc>
      </w:tr>
      <w:tr>
        <w:trPr>
          <w:trHeight w:val="369" w:hRule="atLeast"/>
          <w:jc w:val="center"/>
        </w:trPr>
        <w:tc>
          <w:tcPr>
            <w:tcW w:w="128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11"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kern w:val="0"/>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年出栏生猪</w:t>
            </w:r>
            <w:r>
              <w:rPr>
                <w:rFonts w:hint="default" w:ascii="Times New Roman" w:hAnsi="Times New Roman" w:cs="Times New Roman"/>
                <w:color w:val="auto"/>
                <w:sz w:val="21"/>
                <w:szCs w:val="21"/>
                <w:shd w:val="clear" w:color="auto" w:fill="auto"/>
                <w:lang/>
              </w:rPr>
              <w:t>3</w:t>
            </w:r>
            <w:r>
              <w:rPr>
                <w:rFonts w:hint="default" w:ascii="Times New Roman" w:hAnsi="Times New Roman" w:cs="Times New Roman"/>
                <w:color w:val="auto"/>
                <w:sz w:val="21"/>
                <w:szCs w:val="21"/>
                <w:shd w:val="clear" w:color="auto" w:fill="auto"/>
              </w:rPr>
              <w:t>000头</w:t>
            </w:r>
            <w:r>
              <w:rPr>
                <w:rFonts w:hint="default" w:ascii="Times New Roman" w:hAnsi="Times New Roman" w:cs="Times New Roman"/>
                <w:color w:val="auto"/>
                <w:sz w:val="21"/>
                <w:szCs w:val="21"/>
                <w:shd w:val="clear" w:color="auto" w:fill="auto"/>
                <w:lang w:val="en-US"/>
              </w:rPr>
              <w:t>以上</w:t>
            </w:r>
            <w:r>
              <w:rPr>
                <w:rFonts w:hint="default" w:ascii="Times New Roman" w:hAnsi="Times New Roman" w:cs="Times New Roman"/>
                <w:color w:val="auto"/>
                <w:sz w:val="21"/>
                <w:szCs w:val="21"/>
                <w:shd w:val="clear" w:color="auto" w:fill="auto"/>
              </w:rPr>
              <w:t>(其他畜禽种类折合猪的养殖规模)</w:t>
            </w:r>
          </w:p>
        </w:tc>
        <w:tc>
          <w:tcPr>
            <w:tcW w:w="27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286"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311"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7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1</w:t>
            </w:r>
          </w:p>
        </w:tc>
      </w:tr>
      <w:tr>
        <w:trPr>
          <w:trHeight w:val="340" w:hRule="atLeast"/>
          <w:jc w:val="center"/>
        </w:trPr>
        <w:tc>
          <w:tcPr>
            <w:tcW w:w="128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311" w:type="dxa"/>
            <w:vAlign w:val="center"/>
          </w:tcPr>
          <w:p>
            <w:pPr>
              <w:shd w:val="clear" w:color="auto" w:fill="auto"/>
              <w:snapToGrid w:val="0"/>
              <w:spacing w:before="0" w:beforeAutospacing="0" w:after="0" w:afterAutospacing="0" w:line="300" w:lineRule="exact"/>
              <w:ind w:left="0" w:right="0"/>
              <w:jc w:val="center"/>
              <w:rPr>
                <w:rFonts w:hint="eastAsia"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7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40" w:hRule="atLeast"/>
          <w:jc w:val="center"/>
        </w:trPr>
        <w:tc>
          <w:tcPr>
            <w:tcW w:w="128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7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4</w:t>
            </w:r>
          </w:p>
        </w:tc>
      </w:tr>
      <w:tr>
        <w:trPr>
          <w:trHeight w:val="340" w:hRule="atLeast"/>
          <w:jc w:val="center"/>
        </w:trPr>
        <w:tc>
          <w:tcPr>
            <w:tcW w:w="128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7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5</w:t>
            </w:r>
          </w:p>
        </w:tc>
      </w:tr>
      <w:tr>
        <w:trPr>
          <w:trHeight w:val="340" w:hRule="atLeast"/>
          <w:jc w:val="center"/>
        </w:trPr>
        <w:tc>
          <w:tcPr>
            <w:tcW w:w="1286"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3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74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40" w:hRule="atLeast"/>
          <w:jc w:val="center"/>
        </w:trPr>
        <w:tc>
          <w:tcPr>
            <w:tcW w:w="128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3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74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40" w:hRule="atLeast"/>
          <w:jc w:val="center"/>
        </w:trPr>
        <w:tc>
          <w:tcPr>
            <w:tcW w:w="128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3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74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40" w:hRule="atLeast"/>
          <w:jc w:val="center"/>
        </w:trPr>
        <w:tc>
          <w:tcPr>
            <w:tcW w:w="128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3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74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40" w:hRule="atLeast"/>
          <w:jc w:val="center"/>
        </w:trPr>
        <w:tc>
          <w:tcPr>
            <w:tcW w:w="128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lang w:eastAsia="zh-CN"/>
              </w:rPr>
            </w:pPr>
          </w:p>
        </w:tc>
        <w:tc>
          <w:tcPr>
            <w:tcW w:w="531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741"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40" w:hRule="atLeast"/>
          <w:jc w:val="center"/>
        </w:trPr>
        <w:tc>
          <w:tcPr>
            <w:tcW w:w="128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7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1</w:t>
            </w:r>
          </w:p>
        </w:tc>
      </w:tr>
      <w:tr>
        <w:trPr>
          <w:trHeight w:val="340" w:hRule="atLeast"/>
          <w:jc w:val="center"/>
        </w:trPr>
        <w:tc>
          <w:tcPr>
            <w:tcW w:w="1286"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7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w:t>
            </w:r>
          </w:p>
        </w:tc>
      </w:tr>
      <w:tr>
        <w:trPr>
          <w:trHeight w:val="340" w:hRule="atLeast"/>
          <w:jc w:val="center"/>
        </w:trPr>
        <w:tc>
          <w:tcPr>
            <w:tcW w:w="1286" w:type="dxa"/>
            <w:vMerge w:val="continue"/>
            <w:vAlign w:val="top"/>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1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741"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5</w:t>
            </w:r>
          </w:p>
        </w:tc>
      </w:tr>
      <w:tr>
        <w:trPr>
          <w:trHeight w:val="340" w:hRule="atLeast"/>
          <w:jc w:val="center"/>
        </w:trPr>
        <w:tc>
          <w:tcPr>
            <w:tcW w:w="128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7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jc w:val="center"/>
        </w:trPr>
        <w:tc>
          <w:tcPr>
            <w:tcW w:w="128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7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40" w:hRule="atLeast"/>
          <w:jc w:val="center"/>
        </w:trPr>
        <w:tc>
          <w:tcPr>
            <w:tcW w:w="128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7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40" w:hRule="atLeast"/>
          <w:jc w:val="center"/>
        </w:trPr>
        <w:tc>
          <w:tcPr>
            <w:tcW w:w="128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31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741"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jc w:val="center"/>
        </w:trPr>
        <w:tc>
          <w:tcPr>
            <w:tcW w:w="128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8052" w:type="dxa"/>
            <w:gridSpan w:val="2"/>
            <w:vAlign w:val="top"/>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widowControl/>
        <w:shd w:val="clear" w:color="auto" w:fill="auto"/>
        <w:snapToGrid w:val="0"/>
        <w:jc w:val="left"/>
        <w:rPr>
          <w:rFonts w:ascii="Times New Roman" w:hAnsi="Times New Roman" w:cs="Times New Roman"/>
          <w:color w:val="auto"/>
          <w:kern w:val="0"/>
          <w:shd w:val="clear" w:color="auto" w:fill="auto"/>
        </w:rPr>
      </w:pPr>
    </w:p>
    <w:p>
      <w:pPr>
        <w:widowControl/>
        <w:shd w:val="clear" w:color="auto" w:fill="auto"/>
        <w:snapToGrid w:val="0"/>
        <w:jc w:val="left"/>
        <w:rPr>
          <w:rFonts w:ascii="Times New Roman" w:hAnsi="Times New Roman" w:cs="Times New Roman"/>
          <w:color w:val="auto"/>
          <w:kern w:val="0"/>
          <w:shd w:val="clear" w:color="auto" w:fill="auto"/>
        </w:rPr>
      </w:pPr>
    </w:p>
    <w:p>
      <w:pPr>
        <w:widowControl/>
        <w:shd w:val="clear" w:color="auto" w:fill="auto"/>
        <w:snapToGrid w:val="0"/>
        <w:jc w:val="left"/>
        <w:rPr>
          <w:rFonts w:ascii="Times New Roman" w:hAnsi="Times New Roman" w:cs="Times New Roman"/>
          <w:color w:val="auto"/>
          <w:kern w:val="0"/>
          <w:shd w:val="clear" w:color="auto" w:fill="auto"/>
        </w:rPr>
      </w:pPr>
    </w:p>
    <w:p>
      <w:pPr>
        <w:widowControl/>
        <w:shd w:val="clear" w:color="auto" w:fill="auto"/>
        <w:snapToGrid w:val="0"/>
        <w:jc w:val="left"/>
        <w:rPr>
          <w:rFonts w:ascii="Times New Roman" w:hAnsi="Times New Roman" w:cs="Times New Roman"/>
          <w:color w:val="auto"/>
          <w:kern w:val="0"/>
          <w:shd w:val="clear" w:color="auto" w:fill="auto"/>
        </w:rPr>
      </w:pPr>
    </w:p>
    <w:p>
      <w:pPr>
        <w:widowControl/>
        <w:shd w:val="clear" w:color="auto" w:fill="auto"/>
        <w:snapToGrid w:val="0"/>
        <w:jc w:val="left"/>
        <w:rPr>
          <w:rFonts w:hint="default" w:ascii="Times New Roman" w:hAnsi="Times New Roman" w:cs="Times New Roman"/>
          <w:color w:val="auto"/>
          <w:kern w:val="0"/>
          <w:shd w:val="clear" w:color="auto" w:fill="auto"/>
        </w:rPr>
      </w:pPr>
      <w:r>
        <w:rPr>
          <w:rFonts w:hint="default" w:ascii="Times New Roman" w:hAnsi="Times New Roman" w:cs="Times New Roman"/>
          <w:color w:val="auto"/>
          <w:kern w:val="0"/>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5128"/>
        <w:gridCol w:w="2646"/>
      </w:tblGrid>
      <w:tr>
        <w:tc>
          <w:tcPr>
            <w:tcW w:w="9060" w:type="dxa"/>
            <w:gridSpan w:val="3"/>
            <w:vAlign w:val="top"/>
          </w:tcPr>
          <w:p>
            <w:pPr>
              <w:widowControl/>
              <w:shd w:val="clear" w:color="auto" w:fill="auto"/>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eastAsia="zh-CN"/>
              </w:rPr>
              <w:t>十</w:t>
            </w:r>
            <w:r>
              <w:rPr>
                <w:rFonts w:hint="default" w:ascii="Times New Roman" w:hAnsi="Times New Roman" w:cs="Times New Roman"/>
                <w:b/>
                <w:bCs/>
                <w:color w:val="auto"/>
                <w:sz w:val="20"/>
                <w:szCs w:val="20"/>
                <w:shd w:val="clear" w:color="auto" w:fill="auto"/>
              </w:rPr>
              <w:t>）其他类</w:t>
            </w:r>
          </w:p>
        </w:tc>
      </w:tr>
      <w:tr>
        <w:trPr>
          <w:trHeight w:val="397" w:hRule="atLeast"/>
        </w:trPr>
        <w:tc>
          <w:tcPr>
            <w:tcW w:w="128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4"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466" w:name="_Toc16498"/>
            <w:r>
              <w:rPr>
                <w:rFonts w:hint="default" w:ascii="Times New Roman" w:hAnsi="Times New Roman" w:cs="Times New Roman"/>
                <w:color w:val="auto"/>
                <w:sz w:val="20"/>
                <w:szCs w:val="20"/>
                <w:shd w:val="clear" w:color="auto" w:fill="auto"/>
              </w:rPr>
              <w:t>7</w:t>
            </w:r>
            <w:bookmarkEnd w:id="466"/>
          </w:p>
        </w:tc>
      </w:tr>
      <w:tr>
        <w:trPr>
          <w:trHeight w:val="397" w:hRule="atLeast"/>
        </w:trPr>
        <w:tc>
          <w:tcPr>
            <w:tcW w:w="128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4" w:type="dxa"/>
            <w:gridSpan w:val="2"/>
            <w:vAlign w:val="center"/>
          </w:tcPr>
          <w:p>
            <w:pPr>
              <w:pStyle w:val="18"/>
              <w:shd w:val="clear" w:color="auto" w:fill="auto"/>
              <w:spacing w:before="0" w:beforeAutospacing="0" w:after="0" w:afterAutospacing="0" w:line="320" w:lineRule="exact"/>
              <w:ind w:left="0" w:right="0"/>
              <w:jc w:val="center"/>
              <w:outlineLvl w:val="9"/>
              <w:rPr>
                <w:rFonts w:hint="default" w:ascii="Times New Roman" w:hAnsi="Times New Roman" w:cs="Times New Roman"/>
                <w:color w:val="auto"/>
                <w:sz w:val="21"/>
                <w:szCs w:val="21"/>
                <w:shd w:val="clear" w:color="auto" w:fill="auto"/>
              </w:rPr>
            </w:pPr>
            <w:bookmarkStart w:id="467" w:name="_Toc31207"/>
            <w:r>
              <w:rPr>
                <w:rFonts w:hint="default" w:ascii="Times New Roman" w:hAnsi="Times New Roman" w:cs="Times New Roman"/>
                <w:color w:val="auto"/>
                <w:sz w:val="21"/>
                <w:szCs w:val="21"/>
                <w:shd w:val="clear" w:color="auto" w:fill="auto"/>
              </w:rPr>
              <w:t>超出生产配额许可证规定的品种、数量、期限生产消耗臭氧层物质的</w:t>
            </w:r>
            <w:bookmarkEnd w:id="467"/>
          </w:p>
        </w:tc>
      </w:tr>
      <w:tr>
        <w:tc>
          <w:tcPr>
            <w:tcW w:w="128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4" w:type="dxa"/>
            <w:gridSpan w:val="2"/>
            <w:vAlign w:val="top"/>
          </w:tcPr>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《消耗臭氧层物质管理条例》第十五条第一款 </w:t>
            </w:r>
            <w:r>
              <w:rPr>
                <w:rFonts w:hint="default" w:ascii="Times New Roman" w:hAnsi="Times New Roman" w:cs="Times New Roman"/>
                <w:color w:val="auto"/>
                <w:sz w:val="21"/>
                <w:szCs w:val="21"/>
                <w:shd w:val="clear" w:color="auto" w:fill="auto"/>
              </w:rPr>
              <w:t>消耗臭氧层物质的生产单位不得超出生产配额许可证规定的品种、数量、期限生产消耗臭氧层物质，不得超出生产配额许可证规定的用途生产、销售消耗臭氧层物质。</w:t>
            </w:r>
          </w:p>
        </w:tc>
      </w:tr>
      <w:tr>
        <w:tc>
          <w:tcPr>
            <w:tcW w:w="128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4" w:type="dxa"/>
            <w:gridSpan w:val="2"/>
            <w:vAlign w:val="top"/>
          </w:tcPr>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《消耗臭氧层物质管理条例》第三十三条第（一）项 </w:t>
            </w:r>
            <w:r>
              <w:rPr>
                <w:rFonts w:hint="default" w:ascii="Times New Roman" w:hAnsi="Times New Roman" w:cs="Times New Roman"/>
                <w:color w:val="auto"/>
                <w:sz w:val="21"/>
                <w:szCs w:val="21"/>
                <w:shd w:val="clear" w:color="auto" w:fill="auto"/>
              </w:rPr>
              <w:t>消耗臭氧层物质的生产、使用单位有下列行为之一的，由所在地省、自治区、直辖市人民政府环境保护主管部门责令停止违法行为，没收违法生产、使用的消耗臭氧层物质、违法使用消耗臭氧层物质生产的产品和违法所得，并处2万元以上10万元以下的罚款，报国务院环境保护主管部门核减其生产、使用配额数量；情节严重的，并处10万元以上20万元以下的罚款，报国务院环境保护主管部门吊销其生产、使用配额许可证：</w:t>
            </w:r>
          </w:p>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（一）超出生产配额许可证规定的品种、数量、期限生产消耗臭氧层物质的。</w:t>
            </w:r>
          </w:p>
        </w:tc>
      </w:tr>
      <w:tr>
        <w:trPr>
          <w:trHeight w:val="442" w:hRule="atLeast"/>
        </w:trPr>
        <w:tc>
          <w:tcPr>
            <w:tcW w:w="128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42" w:hRule="atLeast"/>
        </w:trPr>
        <w:tc>
          <w:tcPr>
            <w:tcW w:w="128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★消耗臭氧层物质种类</w:t>
            </w:r>
          </w:p>
        </w:tc>
        <w:tc>
          <w:tcPr>
            <w:tcW w:w="51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允许使用类物质</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trPr>
        <w:tc>
          <w:tcPr>
            <w:tcW w:w="128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过渡性使用类物质</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trPr>
        <w:tc>
          <w:tcPr>
            <w:tcW w:w="128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禁止使用类物质</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42" w:hRule="atLeast"/>
        </w:trPr>
        <w:tc>
          <w:tcPr>
            <w:tcW w:w="128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★涉及消耗</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臭氧层物质</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数量</w:t>
            </w:r>
          </w:p>
        </w:tc>
        <w:tc>
          <w:tcPr>
            <w:tcW w:w="5128"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10千克</w:t>
            </w:r>
            <w:r>
              <w:rPr>
                <w:rFonts w:hint="default" w:ascii="Times New Roman" w:hAnsi="Times New Roman" w:cs="Times New Roman"/>
                <w:color w:val="auto"/>
                <w:sz w:val="21"/>
                <w:szCs w:val="21"/>
                <w:shd w:val="clear" w:color="auto" w:fill="auto"/>
                <w:lang w:eastAsia="zh-CN"/>
              </w:rPr>
              <w:t>以下</w:t>
            </w:r>
          </w:p>
        </w:tc>
        <w:tc>
          <w:tcPr>
            <w:tcW w:w="2646"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442" w:hRule="atLeast"/>
        </w:trPr>
        <w:tc>
          <w:tcPr>
            <w:tcW w:w="128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8"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10千克以上100千克</w:t>
            </w:r>
            <w:r>
              <w:rPr>
                <w:rFonts w:hint="default" w:ascii="Times New Roman" w:hAnsi="Times New Roman" w:cs="Times New Roman"/>
                <w:color w:val="auto"/>
                <w:sz w:val="21"/>
                <w:szCs w:val="21"/>
                <w:shd w:val="clear" w:color="auto" w:fill="auto"/>
                <w:lang w:eastAsia="zh-CN"/>
              </w:rPr>
              <w:t>以下</w:t>
            </w:r>
          </w:p>
        </w:tc>
        <w:tc>
          <w:tcPr>
            <w:tcW w:w="2646"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442" w:hRule="atLeast"/>
        </w:trPr>
        <w:tc>
          <w:tcPr>
            <w:tcW w:w="128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8"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100千克以上500千克</w:t>
            </w:r>
            <w:r>
              <w:rPr>
                <w:rFonts w:hint="default" w:ascii="Times New Roman" w:hAnsi="Times New Roman" w:cs="Times New Roman"/>
                <w:color w:val="auto"/>
                <w:sz w:val="21"/>
                <w:szCs w:val="21"/>
                <w:shd w:val="clear" w:color="auto" w:fill="auto"/>
                <w:lang w:eastAsia="zh-CN"/>
              </w:rPr>
              <w:t>以下</w:t>
            </w:r>
          </w:p>
        </w:tc>
        <w:tc>
          <w:tcPr>
            <w:tcW w:w="2646"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442" w:hRule="atLeast"/>
        </w:trPr>
        <w:tc>
          <w:tcPr>
            <w:tcW w:w="128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8"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500千克以上1000千克</w:t>
            </w:r>
            <w:r>
              <w:rPr>
                <w:rFonts w:hint="default" w:ascii="Times New Roman" w:hAnsi="Times New Roman" w:cs="Times New Roman"/>
                <w:color w:val="auto"/>
                <w:sz w:val="21"/>
                <w:szCs w:val="21"/>
                <w:shd w:val="clear" w:color="auto" w:fill="auto"/>
                <w:lang w:eastAsia="zh-CN"/>
              </w:rPr>
              <w:t>以下</w:t>
            </w:r>
          </w:p>
        </w:tc>
        <w:tc>
          <w:tcPr>
            <w:tcW w:w="2646"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4</w:t>
            </w:r>
          </w:p>
        </w:tc>
      </w:tr>
      <w:tr>
        <w:trPr>
          <w:trHeight w:val="442" w:hRule="atLeast"/>
        </w:trPr>
        <w:tc>
          <w:tcPr>
            <w:tcW w:w="128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8"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1000千克以上</w:t>
            </w:r>
          </w:p>
        </w:tc>
        <w:tc>
          <w:tcPr>
            <w:tcW w:w="2646"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w:t>
            </w:r>
          </w:p>
        </w:tc>
      </w:tr>
      <w:tr>
        <w:trPr>
          <w:trHeight w:val="442" w:hRule="atLeast"/>
        </w:trPr>
        <w:tc>
          <w:tcPr>
            <w:tcW w:w="128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1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trPr>
        <w:tc>
          <w:tcPr>
            <w:tcW w:w="128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8"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小型企业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42" w:hRule="atLeast"/>
        </w:trPr>
        <w:tc>
          <w:tcPr>
            <w:tcW w:w="128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8"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中型企业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trPr>
        <w:tc>
          <w:tcPr>
            <w:tcW w:w="128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8"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大型企业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442" w:hRule="atLeast"/>
        </w:trPr>
        <w:tc>
          <w:tcPr>
            <w:tcW w:w="128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管理类别</w:t>
            </w:r>
          </w:p>
        </w:tc>
        <w:tc>
          <w:tcPr>
            <w:tcW w:w="51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42" w:hRule="atLeast"/>
        </w:trPr>
        <w:tc>
          <w:tcPr>
            <w:tcW w:w="128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42" w:hRule="atLeast"/>
        </w:trPr>
        <w:tc>
          <w:tcPr>
            <w:tcW w:w="1286"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2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42" w:hRule="atLeast"/>
        </w:trPr>
        <w:tc>
          <w:tcPr>
            <w:tcW w:w="128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2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42" w:hRule="atLeast"/>
        </w:trPr>
        <w:tc>
          <w:tcPr>
            <w:tcW w:w="128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2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42" w:hRule="atLeast"/>
        </w:trPr>
        <w:tc>
          <w:tcPr>
            <w:tcW w:w="128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2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42" w:hRule="atLeast"/>
        </w:trPr>
        <w:tc>
          <w:tcPr>
            <w:tcW w:w="1286"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5128"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286"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128"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trPr>
        <w:tc>
          <w:tcPr>
            <w:tcW w:w="128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128" w:type="dxa"/>
            <w:vAlign w:val="center"/>
          </w:tcPr>
          <w:p>
            <w:pPr>
              <w:shd w:val="clear" w:color="auto" w:fill="auto"/>
              <w:snapToGrid w:val="0"/>
              <w:spacing w:before="0" w:beforeAutospacing="0" w:after="0" w:afterAutospacing="0" w:line="300" w:lineRule="exact"/>
              <w:ind w:left="0" w:right="0"/>
              <w:jc w:val="center"/>
              <w:rPr>
                <w:rFonts w:hint="eastAsia"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97" w:hRule="atLeast"/>
        </w:trPr>
        <w:tc>
          <w:tcPr>
            <w:tcW w:w="1286"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512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trPr>
        <w:tc>
          <w:tcPr>
            <w:tcW w:w="128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6"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2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286"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28"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97" w:hRule="atLeast"/>
        </w:trPr>
        <w:tc>
          <w:tcPr>
            <w:tcW w:w="128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备注</w:t>
            </w:r>
          </w:p>
        </w:tc>
        <w:tc>
          <w:tcPr>
            <w:tcW w:w="7774"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4865"/>
        <w:gridCol w:w="2647"/>
      </w:tblGrid>
      <w:tr>
        <w:tc>
          <w:tcPr>
            <w:tcW w:w="9060" w:type="dxa"/>
            <w:gridSpan w:val="3"/>
            <w:vAlign w:val="center"/>
          </w:tcPr>
          <w:p>
            <w:pPr>
              <w:widowControl/>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eastAsia="zh-CN"/>
              </w:rPr>
              <w:t>十</w:t>
            </w:r>
            <w:r>
              <w:rPr>
                <w:rFonts w:hint="default" w:ascii="Times New Roman" w:hAnsi="Times New Roman" w:cs="Times New Roman"/>
                <w:b/>
                <w:bCs/>
                <w:color w:val="auto"/>
                <w:sz w:val="20"/>
                <w:szCs w:val="20"/>
                <w:shd w:val="clear" w:color="auto" w:fill="auto"/>
              </w:rPr>
              <w:t>）其他类</w:t>
            </w:r>
          </w:p>
        </w:tc>
      </w:tr>
      <w:tr>
        <w:trPr>
          <w:trHeight w:val="397"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512" w:type="dxa"/>
            <w:gridSpan w:val="2"/>
            <w:vAlign w:val="center"/>
          </w:tcPr>
          <w:p>
            <w:pPr>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0"/>
                <w:szCs w:val="20"/>
                <w:shd w:val="clear" w:color="auto" w:fill="auto"/>
              </w:rPr>
            </w:pPr>
            <w:bookmarkStart w:id="468" w:name="_Toc30521"/>
            <w:r>
              <w:rPr>
                <w:rFonts w:hint="default" w:ascii="Times New Roman" w:hAnsi="Times New Roman" w:cs="Times New Roman"/>
                <w:color w:val="auto"/>
                <w:sz w:val="20"/>
                <w:szCs w:val="20"/>
                <w:shd w:val="clear" w:color="auto" w:fill="auto"/>
              </w:rPr>
              <w:t>8</w:t>
            </w:r>
            <w:bookmarkEnd w:id="468"/>
          </w:p>
        </w:tc>
      </w:tr>
      <w:tr>
        <w:trPr>
          <w:trHeight w:val="397"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512" w:type="dxa"/>
            <w:gridSpan w:val="2"/>
            <w:vAlign w:val="center"/>
          </w:tcPr>
          <w:p>
            <w:pPr>
              <w:pStyle w:val="18"/>
              <w:shd w:val="clear" w:color="auto" w:fill="auto"/>
              <w:snapToGrid w:val="0"/>
              <w:spacing w:before="0" w:beforeAutospacing="0" w:after="0" w:afterAutospacing="0" w:line="320" w:lineRule="exact"/>
              <w:ind w:left="0" w:right="0"/>
              <w:jc w:val="center"/>
              <w:outlineLvl w:val="9"/>
              <w:rPr>
                <w:rFonts w:hint="default" w:ascii="Times New Roman" w:hAnsi="Times New Roman" w:cs="Times New Roman"/>
                <w:color w:val="auto"/>
                <w:sz w:val="21"/>
                <w:szCs w:val="21"/>
                <w:shd w:val="clear" w:color="auto" w:fill="auto"/>
              </w:rPr>
            </w:pPr>
            <w:bookmarkStart w:id="469" w:name="_Toc3557"/>
            <w:r>
              <w:rPr>
                <w:rFonts w:hint="default" w:ascii="Times New Roman" w:hAnsi="Times New Roman" w:cs="Times New Roman"/>
                <w:color w:val="auto"/>
                <w:sz w:val="21"/>
                <w:szCs w:val="21"/>
                <w:shd w:val="clear" w:color="auto" w:fill="auto"/>
              </w:rPr>
              <w:t>超出生产配额许可证规定的用途生产或者销售消耗臭氧层物质的</w:t>
            </w:r>
            <w:bookmarkEnd w:id="469"/>
          </w:p>
        </w:tc>
      </w:tr>
      <w:t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512" w:type="dxa"/>
            <w:gridSpan w:val="2"/>
            <w:vAlign w:val="top"/>
          </w:tcPr>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《消耗臭氧层物质管理条例》第十五条第一款</w:t>
            </w:r>
            <w:r>
              <w:rPr>
                <w:rFonts w:hint="default" w:ascii="Times New Roman" w:hAnsi="Times New Roman" w:cs="Times New Roman"/>
                <w:color w:val="auto"/>
                <w:sz w:val="21"/>
                <w:szCs w:val="21"/>
                <w:shd w:val="clear" w:color="auto" w:fill="auto"/>
              </w:rPr>
              <w:t xml:space="preserve">  消耗臭氧层物质的生产单位不得超出生产配额许可证规定的品种、数量、期限生产消耗臭氧层物质，不得超出生产配额许可证规定的用途生产、销售消耗臭氧层物质。</w:t>
            </w:r>
          </w:p>
        </w:tc>
      </w:tr>
      <w:t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512" w:type="dxa"/>
            <w:gridSpan w:val="2"/>
            <w:vAlign w:val="top"/>
          </w:tcPr>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《消耗臭氧层物质管理条例》第三十三条第（二）项  </w:t>
            </w:r>
            <w:r>
              <w:rPr>
                <w:rFonts w:hint="default" w:ascii="Times New Roman" w:hAnsi="Times New Roman" w:cs="Times New Roman"/>
                <w:color w:val="auto"/>
                <w:sz w:val="21"/>
                <w:szCs w:val="21"/>
                <w:shd w:val="clear" w:color="auto" w:fill="auto"/>
              </w:rPr>
              <w:t>消耗臭氧层物质的生产、使用单位有下列行为之一的，由所在地省、自治区、直辖市人民政府环境保护主管部门责令停止违法行为，没收违法生产、使用的消耗臭氧层物质、违法使用消耗臭氧层物质生产的产品和违法所得，并处2万元以上10万元以下的罚款，报国务院环境保护主管部门核减其生产、使用配额数量；情节严重的，并处10万元以上20万元以下的罚款，报国务院环境保护主管部门吊销其生产、使用配额许可证：</w:t>
            </w:r>
          </w:p>
          <w:p>
            <w:pPr>
              <w:pStyle w:val="18"/>
              <w:shd w:val="clear" w:color="auto" w:fill="auto"/>
              <w:spacing w:before="0" w:beforeAutospacing="0" w:after="0" w:afterAutospacing="0" w:line="320" w:lineRule="exact"/>
              <w:ind w:left="0" w:right="0" w:firstLine="42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（二）超出生产配额许可证规定的用途生产或者销售消耗臭氧层物质的。</w:t>
            </w:r>
          </w:p>
        </w:tc>
      </w:tr>
      <w:tr>
        <w:trPr>
          <w:trHeight w:val="425"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48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25"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★消耗臭氧层物质种类</w:t>
            </w:r>
          </w:p>
        </w:tc>
        <w:tc>
          <w:tcPr>
            <w:tcW w:w="48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允许使用类物质</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过渡性使用类物质</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禁止使用类物质</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48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小型企业</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中型企业</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pStyle w:val="19"/>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大型企业</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48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简化管理</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重点管理</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25"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涉及消耗臭氧层物质数量</w:t>
            </w:r>
          </w:p>
        </w:tc>
        <w:tc>
          <w:tcPr>
            <w:tcW w:w="4865"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10千克</w:t>
            </w:r>
            <w:r>
              <w:rPr>
                <w:rFonts w:hint="default" w:ascii="Times New Roman" w:hAnsi="Times New Roman" w:cs="Times New Roman"/>
                <w:color w:val="auto"/>
                <w:sz w:val="21"/>
                <w:szCs w:val="21"/>
                <w:shd w:val="clear" w:color="auto" w:fill="auto"/>
                <w:lang w:eastAsia="zh-CN"/>
              </w:rPr>
              <w:t>以下</w:t>
            </w:r>
          </w:p>
        </w:tc>
        <w:tc>
          <w:tcPr>
            <w:tcW w:w="2647"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10千克以上100千克</w:t>
            </w:r>
            <w:r>
              <w:rPr>
                <w:rFonts w:hint="default" w:ascii="Times New Roman" w:hAnsi="Times New Roman" w:cs="Times New Roman"/>
                <w:color w:val="auto"/>
                <w:sz w:val="21"/>
                <w:szCs w:val="21"/>
                <w:shd w:val="clear" w:color="auto" w:fill="auto"/>
                <w:lang w:eastAsia="zh-CN"/>
              </w:rPr>
              <w:t>以下</w:t>
            </w:r>
          </w:p>
        </w:tc>
        <w:tc>
          <w:tcPr>
            <w:tcW w:w="2647"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100千克以上500千克</w:t>
            </w:r>
            <w:r>
              <w:rPr>
                <w:rFonts w:hint="default" w:ascii="Times New Roman" w:hAnsi="Times New Roman" w:cs="Times New Roman"/>
                <w:color w:val="auto"/>
                <w:sz w:val="21"/>
                <w:szCs w:val="21"/>
                <w:shd w:val="clear" w:color="auto" w:fill="auto"/>
                <w:lang w:eastAsia="zh-CN"/>
              </w:rPr>
              <w:t>以下</w:t>
            </w:r>
          </w:p>
        </w:tc>
        <w:tc>
          <w:tcPr>
            <w:tcW w:w="2647"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500千克以</w:t>
            </w:r>
            <w:r>
              <w:rPr>
                <w:rFonts w:hint="default" w:ascii="Times New Roman" w:hAnsi="Times New Roman" w:cs="Times New Roman"/>
                <w:color w:val="auto"/>
                <w:sz w:val="20"/>
                <w:szCs w:val="20"/>
                <w:shd w:val="clear" w:color="auto" w:fill="auto"/>
                <w:lang w:eastAsia="zh-CN"/>
              </w:rPr>
              <w:t>上</w:t>
            </w:r>
            <w:r>
              <w:rPr>
                <w:rFonts w:hint="default" w:ascii="Times New Roman" w:hAnsi="Times New Roman" w:cs="Times New Roman"/>
                <w:color w:val="auto"/>
                <w:sz w:val="20"/>
                <w:szCs w:val="20"/>
                <w:shd w:val="clear" w:color="auto" w:fill="auto"/>
              </w:rPr>
              <w:t>1000千克</w:t>
            </w:r>
            <w:r>
              <w:rPr>
                <w:rFonts w:hint="default" w:ascii="Times New Roman" w:hAnsi="Times New Roman" w:cs="Times New Roman"/>
                <w:color w:val="auto"/>
                <w:sz w:val="21"/>
                <w:szCs w:val="21"/>
                <w:shd w:val="clear" w:color="auto" w:fill="auto"/>
                <w:lang w:eastAsia="zh-CN"/>
              </w:rPr>
              <w:t>以下</w:t>
            </w:r>
          </w:p>
        </w:tc>
        <w:tc>
          <w:tcPr>
            <w:tcW w:w="2647"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4</w:t>
            </w:r>
          </w:p>
        </w:tc>
      </w:tr>
      <w:tr>
        <w:trPr>
          <w:trHeight w:val="425"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1000千克以上</w:t>
            </w:r>
          </w:p>
        </w:tc>
        <w:tc>
          <w:tcPr>
            <w:tcW w:w="2647"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w:t>
            </w:r>
          </w:p>
        </w:tc>
      </w:tr>
      <w:tr>
        <w:trPr>
          <w:trHeight w:val="425" w:hRule="atLeast"/>
        </w:trPr>
        <w:tc>
          <w:tcPr>
            <w:tcW w:w="1548" w:type="dxa"/>
            <w:vMerge w:val="restart"/>
            <w:vAlign w:val="center"/>
          </w:tcPr>
          <w:p>
            <w:pPr>
              <w:widowControl w:val="0"/>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486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25" w:hRule="atLeast"/>
        </w:trPr>
        <w:tc>
          <w:tcPr>
            <w:tcW w:w="154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25" w:hRule="atLeast"/>
        </w:trPr>
        <w:tc>
          <w:tcPr>
            <w:tcW w:w="154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25" w:hRule="atLeast"/>
        </w:trPr>
        <w:tc>
          <w:tcPr>
            <w:tcW w:w="154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25" w:hRule="atLeast"/>
        </w:trPr>
        <w:tc>
          <w:tcPr>
            <w:tcW w:w="1548" w:type="dxa"/>
            <w:vMerge w:val="continue"/>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7" w:type="dxa"/>
            <w:vAlign w:val="center"/>
          </w:tcPr>
          <w:p>
            <w:pPr>
              <w:widowControl w:val="0"/>
              <w:shd w:val="clear" w:color="auto" w:fill="auto"/>
              <w:snapToGrid w:val="0"/>
              <w:spacing w:before="0" w:beforeAutospacing="0" w:after="0" w:afterAutospacing="0" w:line="320" w:lineRule="exact"/>
              <w:ind w:left="0" w:leftChars="0" w:right="0"/>
              <w:jc w:val="center"/>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548"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4865"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64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trPr>
        <w:tc>
          <w:tcPr>
            <w:tcW w:w="154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4865" w:type="dxa"/>
            <w:vAlign w:val="center"/>
          </w:tcPr>
          <w:p>
            <w:pPr>
              <w:shd w:val="clear" w:color="auto" w:fill="auto"/>
              <w:snapToGrid w:val="0"/>
              <w:spacing w:before="0" w:beforeAutospacing="0" w:after="0" w:afterAutospacing="0" w:line="300" w:lineRule="exact"/>
              <w:ind w:left="0" w:right="0"/>
              <w:jc w:val="center"/>
              <w:rPr>
                <w:rFonts w:hint="eastAsia"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54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64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97" w:hRule="atLeast"/>
        </w:trPr>
        <w:tc>
          <w:tcPr>
            <w:tcW w:w="1548"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64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48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647"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548"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48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64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64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548"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4865"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647"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97" w:hRule="atLeast"/>
        </w:trPr>
        <w:tc>
          <w:tcPr>
            <w:tcW w:w="1548"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512" w:type="dxa"/>
            <w:gridSpan w:val="2"/>
            <w:vAlign w:val="center"/>
          </w:tcPr>
          <w:p>
            <w:pPr>
              <w:shd w:val="clear" w:color="auto" w:fill="auto"/>
              <w:snapToGrid w:val="0"/>
              <w:spacing w:before="0" w:beforeAutospacing="0" w:after="0" w:afterAutospacing="0" w:line="320" w:lineRule="exact"/>
              <w:ind w:left="0" w:right="0" w:firstLine="420"/>
              <w:jc w:val="center"/>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rPr>
          <w:trHeight w:val="340" w:hRule="atLeast"/>
        </w:trPr>
        <w:tc>
          <w:tcPr>
            <w:tcW w:w="9060" w:type="dxa"/>
            <w:gridSpan w:val="3"/>
            <w:vAlign w:val="top"/>
          </w:tcPr>
          <w:p>
            <w:pPr>
              <w:widowControl/>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eastAsia="zh-CN"/>
              </w:rPr>
              <w:t>十</w:t>
            </w:r>
            <w:r>
              <w:rPr>
                <w:rFonts w:hint="default" w:ascii="Times New Roman" w:hAnsi="Times New Roman" w:cs="Times New Roman"/>
                <w:b/>
                <w:bCs/>
                <w:color w:val="auto"/>
                <w:sz w:val="20"/>
                <w:szCs w:val="20"/>
                <w:shd w:val="clear" w:color="auto" w:fill="auto"/>
              </w:rPr>
              <w:t>）其他类</w:t>
            </w:r>
          </w:p>
        </w:tc>
      </w:tr>
      <w:tr>
        <w:trPr>
          <w:trHeight w:val="340" w:hRule="atLeast"/>
        </w:trPr>
        <w:tc>
          <w:tcPr>
            <w:tcW w:w="1284"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wordWrap/>
              <w:adjustRightInd/>
              <w:snapToGrid w:val="0"/>
              <w:spacing w:before="0" w:beforeAutospacing="0" w:after="0" w:afterAutospacing="0" w:line="34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470" w:name="_Toc15080"/>
            <w:r>
              <w:rPr>
                <w:rFonts w:hint="default" w:ascii="Times New Roman" w:hAnsi="Times New Roman" w:cs="Times New Roman"/>
                <w:color w:val="auto"/>
                <w:sz w:val="20"/>
                <w:szCs w:val="20"/>
                <w:shd w:val="clear" w:color="auto" w:fill="auto"/>
              </w:rPr>
              <w:t>9</w:t>
            </w:r>
            <w:bookmarkEnd w:id="470"/>
          </w:p>
        </w:tc>
      </w:tr>
      <w:tr>
        <w:trPr>
          <w:trHeight w:val="340" w:hRule="atLeast"/>
        </w:trPr>
        <w:tc>
          <w:tcPr>
            <w:tcW w:w="1284"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center"/>
          </w:tcPr>
          <w:p>
            <w:pPr>
              <w:pStyle w:val="18"/>
              <w:shd w:val="clear" w:color="auto" w:fill="auto"/>
              <w:wordWrap/>
              <w:adjustRightInd/>
              <w:snapToGrid w:val="0"/>
              <w:spacing w:before="0" w:beforeAutospacing="0" w:after="0" w:afterAutospacing="0" w:line="340" w:lineRule="exact"/>
              <w:ind w:left="0" w:right="0"/>
              <w:jc w:val="center"/>
              <w:textAlignment w:val="auto"/>
              <w:outlineLvl w:val="9"/>
              <w:rPr>
                <w:rFonts w:hint="default" w:ascii="Times New Roman" w:hAnsi="Times New Roman" w:cs="Times New Roman"/>
                <w:color w:val="auto"/>
                <w:sz w:val="21"/>
                <w:szCs w:val="21"/>
                <w:shd w:val="clear" w:color="auto" w:fill="auto"/>
              </w:rPr>
            </w:pPr>
            <w:bookmarkStart w:id="471" w:name="_Toc18935"/>
            <w:r>
              <w:rPr>
                <w:rFonts w:hint="default" w:ascii="Times New Roman" w:hAnsi="Times New Roman" w:cs="Times New Roman"/>
                <w:color w:val="auto"/>
                <w:sz w:val="21"/>
                <w:szCs w:val="21"/>
                <w:shd w:val="clear" w:color="auto" w:fill="auto"/>
              </w:rPr>
              <w:t>超出使用配额许可证规定的品种、数量、用途、期限使用消耗臭氧层物质的</w:t>
            </w:r>
            <w:bookmarkEnd w:id="471"/>
          </w:p>
        </w:tc>
      </w:tr>
      <w:tr>
        <w:trPr>
          <w:trHeight w:val="340" w:hRule="atLeast"/>
        </w:trPr>
        <w:tc>
          <w:tcPr>
            <w:tcW w:w="1284"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wordWrap/>
              <w:adjustRightInd/>
              <w:spacing w:before="0" w:beforeAutospacing="0" w:after="0" w:afterAutospacing="0" w:line="34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《消耗臭氧层物质管理条例》第十六条第一款  </w:t>
            </w:r>
            <w:r>
              <w:rPr>
                <w:rFonts w:hint="default" w:ascii="Times New Roman" w:hAnsi="Times New Roman" w:cs="Times New Roman"/>
                <w:color w:val="auto"/>
                <w:sz w:val="21"/>
                <w:szCs w:val="21"/>
                <w:shd w:val="clear" w:color="auto" w:fill="auto"/>
              </w:rPr>
              <w:t>依照本条例规定领取使用配额许可证的单位，不得超出使用配额许可证规定的品种、用途、数量、期限使用消耗臭氧层物质。</w:t>
            </w:r>
          </w:p>
        </w:tc>
      </w:tr>
      <w:tr>
        <w:trPr>
          <w:trHeight w:val="340" w:hRule="atLeast"/>
        </w:trPr>
        <w:tc>
          <w:tcPr>
            <w:tcW w:w="1284"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wordWrap/>
              <w:adjustRightInd/>
              <w:spacing w:before="0" w:beforeAutospacing="0" w:after="0" w:afterAutospacing="0" w:line="34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《消耗臭氧层物质管理条例》第三十三条第（三）项  </w:t>
            </w:r>
            <w:r>
              <w:rPr>
                <w:rFonts w:hint="default" w:ascii="Times New Roman" w:hAnsi="Times New Roman" w:cs="Times New Roman"/>
                <w:color w:val="auto"/>
                <w:sz w:val="21"/>
                <w:szCs w:val="21"/>
                <w:shd w:val="clear" w:color="auto" w:fill="auto"/>
              </w:rPr>
              <w:t>消耗臭氧层物质的生产、使用单位有下列行为之一的，由所在地省、自治区、直辖市人民政府环境保护主管部门责令停止违法行为，没收违法生产、使用的消耗臭氧层物质、违法使用消耗臭氧层物质生产的产品和违法所得，并处2万元以上10万元以下的罚款，报国务院环境保护主管部门核减其生产、使用配额数量；情节严重的，并处10万元以上20万元以下的罚款，报国务院环境保护主管部门吊销其生产、使用配额许可证：</w:t>
            </w:r>
          </w:p>
          <w:p>
            <w:pPr>
              <w:pStyle w:val="18"/>
              <w:shd w:val="clear" w:color="auto" w:fill="auto"/>
              <w:wordWrap/>
              <w:adjustRightInd/>
              <w:spacing w:before="0" w:beforeAutospacing="0" w:after="0" w:afterAutospacing="0" w:line="34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（三）超出使用配额许可证规定的品种、数量、用途、期限使用消耗臭氧层物质的。</w:t>
            </w:r>
          </w:p>
        </w:tc>
      </w:tr>
      <w:tr>
        <w:trPr>
          <w:trHeight w:val="340" w:hRule="atLeast"/>
        </w:trPr>
        <w:tc>
          <w:tcPr>
            <w:tcW w:w="1284"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40" w:hRule="atLeast"/>
        </w:trPr>
        <w:tc>
          <w:tcPr>
            <w:tcW w:w="1284" w:type="dxa"/>
            <w:vMerge w:val="restart"/>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★消耗臭氧层物质种类</w:t>
            </w:r>
          </w:p>
        </w:tc>
        <w:tc>
          <w:tcPr>
            <w:tcW w:w="5130"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允许使用类物质</w:t>
            </w:r>
          </w:p>
        </w:tc>
        <w:tc>
          <w:tcPr>
            <w:tcW w:w="264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284"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过渡性使用类物质</w:t>
            </w:r>
          </w:p>
        </w:tc>
        <w:tc>
          <w:tcPr>
            <w:tcW w:w="264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trPr>
        <w:tc>
          <w:tcPr>
            <w:tcW w:w="1284"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禁止使用类物质</w:t>
            </w:r>
          </w:p>
        </w:tc>
        <w:tc>
          <w:tcPr>
            <w:tcW w:w="264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trPr>
        <w:tc>
          <w:tcPr>
            <w:tcW w:w="1284" w:type="dxa"/>
            <w:vMerge w:val="restart"/>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★涉及消耗</w:t>
            </w:r>
          </w:p>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臭氧层物质</w:t>
            </w:r>
          </w:p>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数量</w:t>
            </w:r>
          </w:p>
        </w:tc>
        <w:tc>
          <w:tcPr>
            <w:tcW w:w="5130" w:type="dxa"/>
            <w:vAlign w:val="center"/>
          </w:tcPr>
          <w:p>
            <w:pPr>
              <w:pStyle w:val="18"/>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10千克</w:t>
            </w:r>
            <w:r>
              <w:rPr>
                <w:rFonts w:hint="default" w:ascii="Times New Roman" w:hAnsi="Times New Roman" w:cs="Times New Roman"/>
                <w:color w:val="auto"/>
                <w:sz w:val="21"/>
                <w:szCs w:val="21"/>
                <w:shd w:val="clear" w:color="auto" w:fill="auto"/>
                <w:lang w:eastAsia="zh-CN"/>
              </w:rPr>
              <w:t>以下</w:t>
            </w:r>
          </w:p>
        </w:tc>
        <w:tc>
          <w:tcPr>
            <w:tcW w:w="2646" w:type="dxa"/>
            <w:vAlign w:val="center"/>
          </w:tcPr>
          <w:p>
            <w:pPr>
              <w:pStyle w:val="18"/>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340" w:hRule="atLeast"/>
        </w:trPr>
        <w:tc>
          <w:tcPr>
            <w:tcW w:w="1284"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10千克以上100千克</w:t>
            </w:r>
            <w:r>
              <w:rPr>
                <w:rFonts w:hint="default" w:ascii="Times New Roman" w:hAnsi="Times New Roman" w:cs="Times New Roman"/>
                <w:color w:val="auto"/>
                <w:sz w:val="21"/>
                <w:szCs w:val="21"/>
                <w:shd w:val="clear" w:color="auto" w:fill="auto"/>
                <w:lang w:eastAsia="zh-CN"/>
              </w:rPr>
              <w:t>以下</w:t>
            </w:r>
          </w:p>
        </w:tc>
        <w:tc>
          <w:tcPr>
            <w:tcW w:w="264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40" w:hRule="atLeast"/>
        </w:trPr>
        <w:tc>
          <w:tcPr>
            <w:tcW w:w="1284"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100千克以上500千克</w:t>
            </w:r>
            <w:r>
              <w:rPr>
                <w:rFonts w:hint="default" w:ascii="Times New Roman" w:hAnsi="Times New Roman" w:cs="Times New Roman"/>
                <w:color w:val="auto"/>
                <w:sz w:val="21"/>
                <w:szCs w:val="21"/>
                <w:shd w:val="clear" w:color="auto" w:fill="auto"/>
                <w:lang w:eastAsia="zh-CN"/>
              </w:rPr>
              <w:t>以下</w:t>
            </w:r>
          </w:p>
        </w:tc>
        <w:tc>
          <w:tcPr>
            <w:tcW w:w="264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trPr>
        <w:tc>
          <w:tcPr>
            <w:tcW w:w="1284"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500千克以</w:t>
            </w:r>
            <w:r>
              <w:rPr>
                <w:rFonts w:hint="default" w:ascii="Times New Roman" w:hAnsi="Times New Roman" w:cs="Times New Roman"/>
                <w:color w:val="auto"/>
                <w:sz w:val="20"/>
                <w:szCs w:val="20"/>
                <w:shd w:val="clear" w:color="auto" w:fill="auto"/>
                <w:lang w:eastAsia="zh-CN"/>
              </w:rPr>
              <w:t>上</w:t>
            </w:r>
            <w:r>
              <w:rPr>
                <w:rFonts w:hint="default" w:ascii="Times New Roman" w:hAnsi="Times New Roman" w:cs="Times New Roman"/>
                <w:color w:val="auto"/>
                <w:sz w:val="20"/>
                <w:szCs w:val="20"/>
                <w:shd w:val="clear" w:color="auto" w:fill="auto"/>
              </w:rPr>
              <w:t>1000千克</w:t>
            </w:r>
            <w:r>
              <w:rPr>
                <w:rFonts w:hint="default" w:ascii="Times New Roman" w:hAnsi="Times New Roman" w:cs="Times New Roman"/>
                <w:color w:val="auto"/>
                <w:sz w:val="21"/>
                <w:szCs w:val="21"/>
                <w:shd w:val="clear" w:color="auto" w:fill="auto"/>
                <w:lang w:eastAsia="zh-CN"/>
              </w:rPr>
              <w:t>以下</w:t>
            </w:r>
          </w:p>
        </w:tc>
        <w:tc>
          <w:tcPr>
            <w:tcW w:w="264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40" w:hRule="atLeast"/>
        </w:trPr>
        <w:tc>
          <w:tcPr>
            <w:tcW w:w="1284"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1000千克以上</w:t>
            </w:r>
          </w:p>
        </w:tc>
        <w:tc>
          <w:tcPr>
            <w:tcW w:w="264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trPr>
        <w:tc>
          <w:tcPr>
            <w:tcW w:w="1284" w:type="dxa"/>
            <w:vMerge w:val="restart"/>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rPr>
              <w:t>企业规模</w:t>
            </w:r>
          </w:p>
        </w:tc>
        <w:tc>
          <w:tcPr>
            <w:tcW w:w="5130"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64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284"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130" w:type="dxa"/>
            <w:vAlign w:val="center"/>
          </w:tcPr>
          <w:p>
            <w:pPr>
              <w:pStyle w:val="19"/>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小型企业</w:t>
            </w:r>
          </w:p>
        </w:tc>
        <w:tc>
          <w:tcPr>
            <w:tcW w:w="264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40" w:hRule="atLeast"/>
        </w:trPr>
        <w:tc>
          <w:tcPr>
            <w:tcW w:w="1284"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130" w:type="dxa"/>
            <w:vAlign w:val="center"/>
          </w:tcPr>
          <w:p>
            <w:pPr>
              <w:pStyle w:val="19"/>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中型企业</w:t>
            </w:r>
          </w:p>
        </w:tc>
        <w:tc>
          <w:tcPr>
            <w:tcW w:w="264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trPr>
        <w:tc>
          <w:tcPr>
            <w:tcW w:w="1284"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130" w:type="dxa"/>
            <w:vAlign w:val="center"/>
          </w:tcPr>
          <w:p>
            <w:pPr>
              <w:pStyle w:val="19"/>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大型企业</w:t>
            </w:r>
          </w:p>
        </w:tc>
        <w:tc>
          <w:tcPr>
            <w:tcW w:w="264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40" w:hRule="atLeast"/>
        </w:trPr>
        <w:tc>
          <w:tcPr>
            <w:tcW w:w="1284" w:type="dxa"/>
            <w:vMerge w:val="restart"/>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40" w:hRule="atLeast"/>
        </w:trPr>
        <w:tc>
          <w:tcPr>
            <w:tcW w:w="1284"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130"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40" w:hRule="atLeast"/>
        </w:trPr>
        <w:tc>
          <w:tcPr>
            <w:tcW w:w="1284" w:type="dxa"/>
            <w:vMerge w:val="restart"/>
            <w:vAlign w:val="center"/>
          </w:tcPr>
          <w:p>
            <w:pPr>
              <w:widowControl w:val="0"/>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0"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40" w:hRule="atLeast"/>
        </w:trPr>
        <w:tc>
          <w:tcPr>
            <w:tcW w:w="1284" w:type="dxa"/>
            <w:vMerge w:val="continue"/>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b/>
                <w:bCs/>
                <w:color w:val="auto"/>
                <w:sz w:val="20"/>
                <w:szCs w:val="20"/>
                <w:shd w:val="clear" w:color="auto" w:fill="auto"/>
                <w:lang w:eastAsia="zh-CN"/>
              </w:rPr>
            </w:pPr>
          </w:p>
        </w:tc>
        <w:tc>
          <w:tcPr>
            <w:tcW w:w="5130"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40" w:hRule="atLeast"/>
        </w:trPr>
        <w:tc>
          <w:tcPr>
            <w:tcW w:w="1284" w:type="dxa"/>
            <w:vMerge w:val="continue"/>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b/>
                <w:bCs/>
                <w:color w:val="auto"/>
                <w:sz w:val="20"/>
                <w:szCs w:val="20"/>
                <w:shd w:val="clear" w:color="auto" w:fill="auto"/>
                <w:lang w:eastAsia="zh-CN"/>
              </w:rPr>
            </w:pPr>
          </w:p>
        </w:tc>
        <w:tc>
          <w:tcPr>
            <w:tcW w:w="5130"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40" w:hRule="atLeast"/>
        </w:trPr>
        <w:tc>
          <w:tcPr>
            <w:tcW w:w="1284" w:type="dxa"/>
            <w:vMerge w:val="continue"/>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b/>
                <w:bCs/>
                <w:color w:val="auto"/>
                <w:sz w:val="20"/>
                <w:szCs w:val="20"/>
                <w:shd w:val="clear" w:color="auto" w:fill="auto"/>
                <w:lang w:eastAsia="zh-CN"/>
              </w:rPr>
            </w:pPr>
          </w:p>
        </w:tc>
        <w:tc>
          <w:tcPr>
            <w:tcW w:w="5130"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40" w:hRule="atLeast"/>
        </w:trPr>
        <w:tc>
          <w:tcPr>
            <w:tcW w:w="1284" w:type="dxa"/>
            <w:vMerge w:val="continue"/>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b/>
                <w:bCs/>
                <w:color w:val="auto"/>
                <w:sz w:val="20"/>
                <w:szCs w:val="20"/>
                <w:shd w:val="clear" w:color="auto" w:fill="auto"/>
                <w:lang w:eastAsia="zh-CN"/>
              </w:rPr>
            </w:pPr>
          </w:p>
        </w:tc>
        <w:tc>
          <w:tcPr>
            <w:tcW w:w="5130"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40" w:hRule="atLeast"/>
        </w:trPr>
        <w:tc>
          <w:tcPr>
            <w:tcW w:w="1284" w:type="dxa"/>
            <w:vMerge w:val="restart"/>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130" w:type="dxa"/>
            <w:vAlign w:val="center"/>
          </w:tcPr>
          <w:p>
            <w:pPr>
              <w:widowControl w:val="0"/>
              <w:shd w:val="clear" w:color="auto" w:fill="auto"/>
              <w:wordWrap/>
              <w:adjustRightInd/>
              <w:snapToGrid w:val="0"/>
              <w:spacing w:before="0" w:beforeAutospacing="0" w:after="0" w:afterAutospacing="0" w:line="34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64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40" w:hRule="atLeast"/>
        </w:trPr>
        <w:tc>
          <w:tcPr>
            <w:tcW w:w="1284"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lang w:val="en-US"/>
              </w:rPr>
            </w:pPr>
          </w:p>
        </w:tc>
        <w:tc>
          <w:tcPr>
            <w:tcW w:w="5130"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eastAsia"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40" w:hRule="atLeast"/>
        </w:trPr>
        <w:tc>
          <w:tcPr>
            <w:tcW w:w="1284"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40" w:hRule="atLeast"/>
        </w:trPr>
        <w:tc>
          <w:tcPr>
            <w:tcW w:w="1284" w:type="dxa"/>
            <w:vMerge w:val="continue"/>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646" w:type="dxa"/>
            <w:vAlign w:val="center"/>
          </w:tcPr>
          <w:p>
            <w:pPr>
              <w:shd w:val="clear" w:color="auto" w:fill="auto"/>
              <w:wordWrap/>
              <w:adjustRightInd/>
              <w:snapToGrid w:val="0"/>
              <w:spacing w:before="0" w:beforeAutospacing="0" w:after="0" w:afterAutospacing="0" w:line="34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69"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69" w:hRule="atLeast"/>
        </w:trPr>
        <w:tc>
          <w:tcPr>
            <w:tcW w:w="1284" w:type="dxa"/>
            <w:vMerge w:val="restart"/>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3</w:t>
            </w:r>
          </w:p>
        </w:tc>
      </w:tr>
      <w:tr>
        <w:trPr>
          <w:trHeight w:val="369"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369" w:hRule="atLeast"/>
        </w:trPr>
        <w:tc>
          <w:tcPr>
            <w:tcW w:w="1284" w:type="dxa"/>
            <w:vMerge w:val="continue"/>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69" w:hRule="atLeast"/>
        </w:trPr>
        <w:tc>
          <w:tcPr>
            <w:tcW w:w="1284"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备注</w:t>
            </w:r>
          </w:p>
        </w:tc>
        <w:tc>
          <w:tcPr>
            <w:tcW w:w="7776" w:type="dxa"/>
            <w:gridSpan w:val="2"/>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eastAsia="zh-CN"/>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c>
          <w:tcPr>
            <w:tcW w:w="9060" w:type="dxa"/>
            <w:gridSpan w:val="3"/>
            <w:vAlign w:val="center"/>
          </w:tcPr>
          <w:p>
            <w:pPr>
              <w:widowControl/>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w:t>
            </w:r>
            <w:r>
              <w:rPr>
                <w:rFonts w:hint="default" w:ascii="Times New Roman" w:hAnsi="Times New Roman" w:cs="Times New Roman"/>
                <w:b/>
                <w:bCs/>
                <w:color w:val="auto"/>
                <w:sz w:val="21"/>
                <w:szCs w:val="21"/>
                <w:shd w:val="clear" w:color="auto" w:fill="auto"/>
                <w:lang w:eastAsia="zh-CN"/>
              </w:rPr>
              <w:t>十</w:t>
            </w:r>
            <w:r>
              <w:rPr>
                <w:rFonts w:hint="default" w:ascii="Times New Roman" w:hAnsi="Times New Roman" w:cs="Times New Roman"/>
                <w:b/>
                <w:bCs/>
                <w:color w:val="auto"/>
                <w:sz w:val="21"/>
                <w:szCs w:val="21"/>
                <w:shd w:val="clear" w:color="auto" w:fill="auto"/>
              </w:rPr>
              <w:t>）其他类</w:t>
            </w:r>
          </w:p>
        </w:tc>
      </w:tr>
      <w:tr>
        <w:trPr>
          <w:trHeight w:val="397"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序号</w:t>
            </w:r>
          </w:p>
        </w:tc>
        <w:tc>
          <w:tcPr>
            <w:tcW w:w="7776" w:type="dxa"/>
            <w:gridSpan w:val="2"/>
            <w:vAlign w:val="center"/>
          </w:tcPr>
          <w:p>
            <w:pPr>
              <w:shd w:val="clear" w:color="auto" w:fill="auto"/>
              <w:wordWrap/>
              <w:adjustRightInd/>
              <w:snapToGrid w:val="0"/>
              <w:spacing w:before="0" w:beforeAutospacing="0" w:after="0" w:afterAutospacing="0" w:line="320" w:lineRule="exact"/>
              <w:ind w:left="0" w:right="0"/>
              <w:jc w:val="center"/>
              <w:textAlignment w:val="auto"/>
              <w:outlineLvl w:val="9"/>
              <w:rPr>
                <w:rFonts w:hint="default" w:ascii="Times New Roman" w:hAnsi="Times New Roman" w:cs="Times New Roman"/>
                <w:color w:val="auto"/>
                <w:sz w:val="21"/>
                <w:szCs w:val="21"/>
                <w:shd w:val="clear" w:color="auto" w:fill="auto"/>
              </w:rPr>
            </w:pPr>
            <w:bookmarkStart w:id="472" w:name="_Toc24311"/>
            <w:r>
              <w:rPr>
                <w:rFonts w:hint="default" w:ascii="Times New Roman" w:hAnsi="Times New Roman" w:cs="Times New Roman"/>
                <w:color w:val="auto"/>
                <w:sz w:val="21"/>
                <w:szCs w:val="21"/>
                <w:shd w:val="clear" w:color="auto" w:fill="auto"/>
              </w:rPr>
              <w:t>10</w:t>
            </w:r>
            <w:bookmarkEnd w:id="472"/>
          </w:p>
        </w:tc>
      </w:tr>
      <w:tr>
        <w:trPr>
          <w:trHeight w:val="397"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违法行为</w:t>
            </w:r>
          </w:p>
        </w:tc>
        <w:tc>
          <w:tcPr>
            <w:tcW w:w="7776" w:type="dxa"/>
            <w:gridSpan w:val="2"/>
            <w:vAlign w:val="center"/>
          </w:tcPr>
          <w:p>
            <w:pPr>
              <w:pStyle w:val="18"/>
              <w:shd w:val="clear" w:color="auto" w:fill="auto"/>
              <w:wordWrap/>
              <w:adjustRightInd/>
              <w:snapToGrid w:val="0"/>
              <w:spacing w:before="0" w:beforeAutospacing="0" w:after="0" w:afterAutospacing="0" w:line="320" w:lineRule="exact"/>
              <w:ind w:left="0" w:right="0"/>
              <w:jc w:val="center"/>
              <w:textAlignment w:val="auto"/>
              <w:outlineLvl w:val="9"/>
              <w:rPr>
                <w:rFonts w:hint="default" w:ascii="Times New Roman" w:hAnsi="Times New Roman" w:cs="Times New Roman"/>
                <w:color w:val="auto"/>
                <w:sz w:val="21"/>
                <w:szCs w:val="21"/>
                <w:shd w:val="clear" w:color="auto" w:fill="auto"/>
              </w:rPr>
            </w:pPr>
            <w:bookmarkStart w:id="473" w:name="_Toc3104"/>
            <w:r>
              <w:rPr>
                <w:rFonts w:hint="default" w:ascii="Times New Roman" w:hAnsi="Times New Roman" w:cs="Times New Roman"/>
                <w:color w:val="auto"/>
                <w:sz w:val="21"/>
                <w:szCs w:val="21"/>
                <w:shd w:val="clear" w:color="auto" w:fill="auto"/>
              </w:rPr>
              <w:t>依照规定应当向环境保护主管部门备案而未备案的</w:t>
            </w:r>
            <w:bookmarkEnd w:id="473"/>
          </w:p>
        </w:tc>
      </w:tr>
      <w:t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违反条款</w:t>
            </w:r>
          </w:p>
        </w:tc>
        <w:tc>
          <w:tcPr>
            <w:tcW w:w="7776" w:type="dxa"/>
            <w:gridSpan w:val="2"/>
            <w:vAlign w:val="top"/>
          </w:tcPr>
          <w:p>
            <w:pPr>
              <w:pStyle w:val="18"/>
              <w:shd w:val="clear" w:color="auto" w:fill="auto"/>
              <w:wordWrap/>
              <w:adjustRightInd/>
              <w:spacing w:before="0" w:beforeAutospacing="0" w:after="0" w:afterAutospacing="0" w:line="30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《消耗臭氧层物质管理条例》第十七条第一款  </w:t>
            </w:r>
            <w:r>
              <w:rPr>
                <w:rFonts w:hint="default" w:ascii="Times New Roman" w:hAnsi="Times New Roman" w:cs="Times New Roman"/>
                <w:color w:val="auto"/>
                <w:sz w:val="21"/>
                <w:szCs w:val="21"/>
                <w:shd w:val="clear" w:color="auto" w:fill="auto"/>
              </w:rPr>
              <w:t>消耗臭氧层物质的销售单位，应当按照国务院环境保护主管部门的规定办理备案手续。</w:t>
            </w:r>
          </w:p>
          <w:p>
            <w:pPr>
              <w:pStyle w:val="18"/>
              <w:shd w:val="clear" w:color="auto" w:fill="auto"/>
              <w:wordWrap/>
              <w:adjustRightInd/>
              <w:spacing w:before="0" w:beforeAutospacing="0" w:after="0" w:afterAutospacing="0" w:line="30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第十九条  </w:t>
            </w:r>
            <w:r>
              <w:rPr>
                <w:rFonts w:hint="default" w:ascii="Times New Roman" w:hAnsi="Times New Roman" w:cs="Times New Roman"/>
                <w:color w:val="auto"/>
                <w:sz w:val="21"/>
                <w:szCs w:val="21"/>
                <w:shd w:val="clear" w:color="auto" w:fill="auto"/>
              </w:rPr>
              <w:t>从事含消耗臭氧层物质的制冷设备、制冷系统或者灭火系统的维修、报废处理等经营活动的单位，应当向所在地县级人民政府环境保护主管部门备案。</w:t>
            </w:r>
          </w:p>
          <w:p>
            <w:pPr>
              <w:pStyle w:val="18"/>
              <w:shd w:val="clear" w:color="auto" w:fill="auto"/>
              <w:wordWrap/>
              <w:adjustRightInd/>
              <w:spacing w:before="0" w:beforeAutospacing="0" w:after="0" w:afterAutospacing="0" w:line="300" w:lineRule="exact"/>
              <w:ind w:left="0" w:right="0" w:firstLine="420"/>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color w:val="auto"/>
                <w:sz w:val="21"/>
                <w:szCs w:val="21"/>
                <w:shd w:val="clear" w:color="auto" w:fill="auto"/>
              </w:rPr>
              <w:t>专门从事消耗臭氧层物质回收、再生利用或者销毁等经营活动的单位，应当向所在地省、自治区、直辖市人民政府环境保护主管部门备案。</w:t>
            </w:r>
          </w:p>
        </w:tc>
      </w:tr>
      <w:t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处罚依据</w:t>
            </w:r>
          </w:p>
        </w:tc>
        <w:tc>
          <w:tcPr>
            <w:tcW w:w="7776" w:type="dxa"/>
            <w:gridSpan w:val="2"/>
            <w:vAlign w:val="top"/>
          </w:tcPr>
          <w:p>
            <w:pPr>
              <w:pStyle w:val="18"/>
              <w:shd w:val="clear" w:color="auto" w:fill="auto"/>
              <w:wordWrap/>
              <w:adjustRightInd/>
              <w:spacing w:before="0" w:beforeAutospacing="0" w:after="0" w:afterAutospacing="0" w:line="30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《消耗臭氧层物质管理条例》第三十八条第（一）项  </w:t>
            </w:r>
            <w:r>
              <w:rPr>
                <w:rFonts w:hint="default" w:ascii="Times New Roman" w:hAnsi="Times New Roman" w:cs="Times New Roman"/>
                <w:color w:val="auto"/>
                <w:sz w:val="21"/>
                <w:szCs w:val="21"/>
                <w:shd w:val="clear" w:color="auto" w:fill="auto"/>
              </w:rPr>
              <w:t>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5000元以上2万元以下的罚款：</w:t>
            </w:r>
          </w:p>
          <w:p>
            <w:pPr>
              <w:pStyle w:val="18"/>
              <w:shd w:val="clear" w:color="auto" w:fill="auto"/>
              <w:wordWrap/>
              <w:adjustRightInd/>
              <w:spacing w:before="0" w:beforeAutospacing="0" w:after="0" w:afterAutospacing="0" w:line="30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（一）依照本条例规定应当向环境保护主管部门备案而未备案的。</w:t>
            </w:r>
          </w:p>
        </w:tc>
      </w:tr>
      <w:tr>
        <w:trPr>
          <w:trHeight w:val="391"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裁量因素</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判定标准</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裁量等级</w:t>
            </w:r>
          </w:p>
        </w:tc>
      </w:tr>
      <w:tr>
        <w:trPr>
          <w:trHeight w:val="369"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★消耗臭氧层物质种类</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允许使用类物质</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过渡性使用类物质</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禁止使用类物质</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w:t>
            </w:r>
          </w:p>
        </w:tc>
      </w:tr>
      <w:tr>
        <w:trPr>
          <w:trHeight w:val="369"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涉及消耗</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臭氧层物质</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数量</w:t>
            </w:r>
          </w:p>
        </w:tc>
        <w:tc>
          <w:tcPr>
            <w:tcW w:w="5130" w:type="dxa"/>
            <w:vAlign w:val="center"/>
          </w:tcPr>
          <w:p>
            <w:pPr>
              <w:pStyle w:val="18"/>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10千克</w:t>
            </w:r>
            <w:r>
              <w:rPr>
                <w:rFonts w:hint="default" w:ascii="Times New Roman" w:hAnsi="Times New Roman" w:cs="Times New Roman"/>
                <w:color w:val="auto"/>
                <w:sz w:val="21"/>
                <w:szCs w:val="21"/>
                <w:shd w:val="clear" w:color="auto" w:fill="auto"/>
                <w:lang w:eastAsia="zh-CN"/>
              </w:rPr>
              <w:t>以下</w:t>
            </w:r>
          </w:p>
        </w:tc>
        <w:tc>
          <w:tcPr>
            <w:tcW w:w="2646" w:type="dxa"/>
            <w:vAlign w:val="center"/>
          </w:tcPr>
          <w:p>
            <w:pPr>
              <w:pStyle w:val="18"/>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10千克以上100千克</w:t>
            </w:r>
            <w:r>
              <w:rPr>
                <w:rFonts w:hint="default" w:ascii="Times New Roman" w:hAnsi="Times New Roman" w:cs="Times New Roman"/>
                <w:color w:val="auto"/>
                <w:sz w:val="21"/>
                <w:szCs w:val="21"/>
                <w:shd w:val="clear" w:color="auto" w:fill="auto"/>
                <w:lang w:eastAsia="zh-CN"/>
              </w:rPr>
              <w:t>以下</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100千克以上500千克</w:t>
            </w:r>
            <w:r>
              <w:rPr>
                <w:rFonts w:hint="default" w:ascii="Times New Roman" w:hAnsi="Times New Roman" w:cs="Times New Roman"/>
                <w:color w:val="auto"/>
                <w:sz w:val="21"/>
                <w:szCs w:val="21"/>
                <w:shd w:val="clear" w:color="auto" w:fill="auto"/>
                <w:lang w:eastAsia="zh-CN"/>
              </w:rPr>
              <w:t>以下</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500千克以</w:t>
            </w:r>
            <w:r>
              <w:rPr>
                <w:rFonts w:hint="default" w:ascii="Times New Roman" w:hAnsi="Times New Roman" w:cs="Times New Roman"/>
                <w:color w:val="auto"/>
                <w:sz w:val="20"/>
                <w:szCs w:val="20"/>
                <w:shd w:val="clear" w:color="auto" w:fill="auto"/>
                <w:lang w:eastAsia="zh-CN"/>
              </w:rPr>
              <w:t>上</w:t>
            </w:r>
            <w:r>
              <w:rPr>
                <w:rFonts w:hint="default" w:ascii="Times New Roman" w:hAnsi="Times New Roman" w:cs="Times New Roman"/>
                <w:color w:val="auto"/>
                <w:sz w:val="20"/>
                <w:szCs w:val="20"/>
                <w:shd w:val="clear" w:color="auto" w:fill="auto"/>
              </w:rPr>
              <w:t>1000千克</w:t>
            </w:r>
            <w:r>
              <w:rPr>
                <w:rFonts w:hint="default" w:ascii="Times New Roman" w:hAnsi="Times New Roman" w:cs="Times New Roman"/>
                <w:color w:val="auto"/>
                <w:sz w:val="21"/>
                <w:szCs w:val="21"/>
                <w:shd w:val="clear" w:color="auto" w:fill="auto"/>
                <w:lang w:eastAsia="zh-CN"/>
              </w:rPr>
              <w:t>以下</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4</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1000千克以上</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w:t>
            </w:r>
          </w:p>
        </w:tc>
      </w:tr>
      <w:tr>
        <w:trPr>
          <w:trHeight w:val="369"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企业规模</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微型企业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小型企业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2</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中型企业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大型企业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sz w:val="21"/>
                <w:szCs w:val="21"/>
                <w:shd w:val="clear" w:color="auto" w:fill="auto"/>
                <w:lang w:eastAsia="zh-CN"/>
              </w:rPr>
            </w:pPr>
            <w:r>
              <w:rPr>
                <w:rFonts w:hint="default" w:ascii="Times New Roman" w:hAnsi="Times New Roman" w:cs="Times New Roman"/>
                <w:color w:val="auto"/>
                <w:sz w:val="21"/>
                <w:szCs w:val="21"/>
                <w:shd w:val="clear" w:color="auto" w:fill="auto"/>
                <w:lang w:val="en-US" w:eastAsia="zh-CN"/>
              </w:rPr>
              <w:t>4</w:t>
            </w:r>
          </w:p>
        </w:tc>
      </w:tr>
      <w:tr>
        <w:trPr>
          <w:trHeight w:val="369"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lang w:val="en-US"/>
              </w:rPr>
              <w:t>管理类别</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1</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1"/>
                <w:szCs w:val="21"/>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69"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3</w:t>
            </w:r>
          </w:p>
        </w:tc>
      </w:tr>
      <w:tr>
        <w:trPr>
          <w:trHeight w:val="369" w:hRule="atLeast"/>
        </w:trPr>
        <w:tc>
          <w:tcPr>
            <w:tcW w:w="1284" w:type="dxa"/>
            <w:vMerge w:val="restart"/>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0"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69" w:hRule="atLeast"/>
        </w:trPr>
        <w:tc>
          <w:tcPr>
            <w:tcW w:w="1284"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1"/>
                <w:szCs w:val="21"/>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69" w:hRule="atLeast"/>
        </w:trPr>
        <w:tc>
          <w:tcPr>
            <w:tcW w:w="1284"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1"/>
                <w:szCs w:val="21"/>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69" w:hRule="atLeast"/>
        </w:trPr>
        <w:tc>
          <w:tcPr>
            <w:tcW w:w="1284"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1"/>
                <w:szCs w:val="21"/>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69" w:hRule="atLeast"/>
        </w:trPr>
        <w:tc>
          <w:tcPr>
            <w:tcW w:w="1284"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1"/>
                <w:szCs w:val="21"/>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284" w:type="dxa"/>
            <w:vMerge w:val="restart"/>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0"/>
                <w:szCs w:val="20"/>
                <w:shd w:val="clear" w:color="auto" w:fill="auto"/>
                <w:lang w:val="en-US"/>
              </w:rPr>
              <w:t>改正时间</w:t>
            </w:r>
          </w:p>
        </w:tc>
        <w:tc>
          <w:tcPr>
            <w:tcW w:w="5130" w:type="dxa"/>
            <w:vAlign w:val="center"/>
          </w:tcPr>
          <w:p>
            <w:pPr>
              <w:widowControl w:val="0"/>
              <w:shd w:val="clear" w:color="auto" w:fill="auto"/>
              <w:snapToGrid w:val="0"/>
              <w:spacing w:before="0" w:beforeAutospacing="0" w:after="0" w:afterAutospacing="0" w:line="300" w:lineRule="exact"/>
              <w:ind w:left="0" w:leftChars="0" w:right="0"/>
              <w:jc w:val="center"/>
              <w:rPr>
                <w:rFonts w:hint="default" w:ascii="Times New Roman" w:hAnsi="Times New Roman" w:cs="Times New Roman"/>
                <w:color w:val="auto"/>
                <w:sz w:val="21"/>
                <w:szCs w:val="21"/>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0"/>
                <w:szCs w:val="20"/>
                <w:shd w:val="clear" w:color="auto" w:fill="auto"/>
                <w:lang w:val="en-US"/>
              </w:rPr>
            </w:pPr>
          </w:p>
        </w:tc>
        <w:tc>
          <w:tcPr>
            <w:tcW w:w="5130" w:type="dxa"/>
            <w:vAlign w:val="center"/>
          </w:tcPr>
          <w:p>
            <w:pPr>
              <w:shd w:val="clear" w:color="auto" w:fill="auto"/>
              <w:snapToGrid w:val="0"/>
              <w:spacing w:before="0" w:beforeAutospacing="0" w:after="0" w:afterAutospacing="0" w:line="300" w:lineRule="exact"/>
              <w:ind w:left="0" w:right="0"/>
              <w:jc w:val="center"/>
              <w:rPr>
                <w:rFonts w:hint="eastAsia" w:ascii="Times New Roman" w:hAnsi="Times New Roman"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1"/>
                <w:szCs w:val="21"/>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eastAsia" w:ascii="Times New Roman" w:hAnsi="Times New Roman" w:cs="Times New Roman"/>
                <w:color w:val="auto"/>
                <w:sz w:val="20"/>
                <w:szCs w:val="20"/>
                <w:shd w:val="clear" w:color="auto" w:fill="auto"/>
                <w:lang w:val="en-US" w:eastAsia="zh-CN"/>
              </w:rPr>
              <w:t>4</w:t>
            </w:r>
          </w:p>
        </w:tc>
      </w:tr>
      <w:tr>
        <w:trPr>
          <w:trHeight w:val="397" w:hRule="atLeast"/>
        </w:trPr>
        <w:tc>
          <w:tcPr>
            <w:tcW w:w="1284" w:type="dxa"/>
            <w:vMerge w:val="continue"/>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b/>
                <w:bCs/>
                <w:color w:val="auto"/>
                <w:sz w:val="21"/>
                <w:szCs w:val="21"/>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lang w:eastAsia="zh-CN"/>
              </w:rPr>
              <w:t>受处罚次数</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两年内未受到过同类处罚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两年内受到同类处罚1次</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3</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两年内受到同类处罚2次以上</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5</w:t>
            </w:r>
          </w:p>
        </w:tc>
      </w:tr>
      <w:tr>
        <w:trPr>
          <w:trHeight w:val="397"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是否配合</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1"/>
                <w:szCs w:val="21"/>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1"/>
                <w:szCs w:val="21"/>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1"/>
                <w:szCs w:val="21"/>
                <w:shd w:val="clear" w:color="auto" w:fill="auto"/>
                <w:lang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1"/>
                <w:szCs w:val="21"/>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1"/>
                <w:szCs w:val="21"/>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1"/>
                <w:szCs w:val="21"/>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1"/>
                <w:szCs w:val="21"/>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Align w:val="top"/>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1"/>
                <w:szCs w:val="21"/>
                <w:shd w:val="clear" w:color="auto" w:fill="auto"/>
              </w:rPr>
            </w:pPr>
            <w:r>
              <w:rPr>
                <w:rFonts w:hint="default" w:ascii="Times New Roman" w:hAnsi="Times New Roman" w:cs="Times New Roman"/>
                <w:b/>
                <w:bCs/>
                <w:color w:val="auto"/>
                <w:sz w:val="21"/>
                <w:szCs w:val="21"/>
                <w:shd w:val="clear" w:color="auto" w:fill="auto"/>
              </w:rPr>
              <w:t>备注</w:t>
            </w:r>
          </w:p>
        </w:tc>
        <w:tc>
          <w:tcPr>
            <w:tcW w:w="7776" w:type="dxa"/>
            <w:gridSpan w:val="2"/>
            <w:vAlign w:val="top"/>
          </w:tcPr>
          <w:p>
            <w:pPr>
              <w:shd w:val="clear" w:color="auto" w:fill="auto"/>
              <w:wordWrap/>
              <w:adjustRightInd/>
              <w:snapToGrid w:val="0"/>
              <w:spacing w:before="0" w:beforeAutospacing="0" w:after="0" w:afterAutospacing="0" w:line="320" w:lineRule="exact"/>
              <w:ind w:left="0" w:right="0" w:firstLine="420"/>
              <w:jc w:val="center"/>
              <w:textAlignment w:val="auto"/>
              <w:rPr>
                <w:rFonts w:hint="default" w:ascii="Times New Roman" w:hAnsi="Times New Roman" w:cs="Times New Roman"/>
                <w:color w:val="auto"/>
                <w:sz w:val="21"/>
                <w:szCs w:val="21"/>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c>
          <w:tcPr>
            <w:tcW w:w="9060" w:type="dxa"/>
            <w:gridSpan w:val="3"/>
            <w:vAlign w:val="top"/>
          </w:tcPr>
          <w:p>
            <w:pPr>
              <w:widowControl/>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eastAsia="zh-CN"/>
              </w:rPr>
              <w:t>十</w:t>
            </w:r>
            <w:r>
              <w:rPr>
                <w:rFonts w:hint="default" w:ascii="Times New Roman" w:hAnsi="Times New Roman" w:cs="Times New Roman"/>
                <w:b/>
                <w:bCs/>
                <w:color w:val="auto"/>
                <w:sz w:val="20"/>
                <w:szCs w:val="20"/>
                <w:shd w:val="clear" w:color="auto" w:fill="auto"/>
              </w:rPr>
              <w:t>）其他类</w:t>
            </w:r>
          </w:p>
        </w:tc>
      </w:tr>
      <w:tr>
        <w:trPr>
          <w:trHeight w:val="397"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wordWrap/>
              <w:adjustRightInd/>
              <w:snapToGrid w:val="0"/>
              <w:spacing w:before="0" w:beforeAutospacing="0" w:after="0" w:afterAutospacing="0" w:line="32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474" w:name="_Toc26650"/>
            <w:r>
              <w:rPr>
                <w:rFonts w:hint="default" w:ascii="Times New Roman" w:hAnsi="Times New Roman" w:cs="Times New Roman"/>
                <w:color w:val="auto"/>
                <w:sz w:val="20"/>
                <w:szCs w:val="20"/>
                <w:shd w:val="clear" w:color="auto" w:fill="auto"/>
              </w:rPr>
              <w:t>11</w:t>
            </w:r>
            <w:bookmarkEnd w:id="474"/>
          </w:p>
        </w:tc>
      </w:tr>
      <w:tr>
        <w:trPr>
          <w:trHeight w:val="397"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center"/>
          </w:tcPr>
          <w:p>
            <w:pPr>
              <w:pStyle w:val="18"/>
              <w:shd w:val="clear" w:color="auto" w:fill="auto"/>
              <w:wordWrap/>
              <w:adjustRightInd/>
              <w:snapToGrid w:val="0"/>
              <w:spacing w:before="0" w:beforeAutospacing="0" w:after="0" w:afterAutospacing="0" w:line="320" w:lineRule="exact"/>
              <w:ind w:left="0" w:right="0"/>
              <w:jc w:val="center"/>
              <w:textAlignment w:val="auto"/>
              <w:outlineLvl w:val="9"/>
              <w:rPr>
                <w:rFonts w:hint="default" w:ascii="Times New Roman" w:hAnsi="Times New Roman" w:cs="Times New Roman"/>
                <w:color w:val="auto"/>
                <w:sz w:val="21"/>
                <w:szCs w:val="21"/>
                <w:shd w:val="clear" w:color="auto" w:fill="auto"/>
              </w:rPr>
            </w:pPr>
            <w:bookmarkStart w:id="475" w:name="_Toc29183"/>
            <w:r>
              <w:rPr>
                <w:rFonts w:hint="default" w:ascii="Times New Roman" w:hAnsi="Times New Roman" w:cs="Times New Roman"/>
                <w:color w:val="auto"/>
                <w:sz w:val="21"/>
                <w:szCs w:val="21"/>
                <w:shd w:val="clear" w:color="auto" w:fill="auto"/>
              </w:rPr>
              <w:t>未按照规定完整保存有关生产经营活动的原始资料的</w:t>
            </w:r>
            <w:bookmarkEnd w:id="475"/>
          </w:p>
        </w:tc>
      </w:tr>
      <w:t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wordWrap/>
              <w:adjustRightInd/>
              <w:spacing w:before="0" w:beforeAutospacing="0" w:after="0" w:afterAutospacing="0" w:line="32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《消耗臭氧层物质管理条例》第二十一条</w:t>
            </w:r>
            <w:r>
              <w:rPr>
                <w:rFonts w:hint="default" w:ascii="Times New Roman" w:hAnsi="Times New Roman" w:cs="Times New Roman"/>
                <w:color w:val="auto"/>
                <w:sz w:val="21"/>
                <w:szCs w:val="21"/>
                <w:shd w:val="clear" w:color="auto" w:fill="auto"/>
              </w:rPr>
              <w:t xml:space="preserve">  从事消耗臭氧层物质的生产、销售、使用、回收、再生利用、销毁等经营活动的单位，以及从事含消耗臭氧层物质的制冷设备、制冷系统或者灭火系统的维修、报废处理等经营活动的单位，应当完整保存有关生产经营活动的原始资料至少3年，并按照国务院环境保护主管部门的规定报送相关数据。</w:t>
            </w:r>
          </w:p>
        </w:tc>
      </w:tr>
      <w:t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wordWrap/>
              <w:adjustRightInd/>
              <w:spacing w:before="0" w:beforeAutospacing="0" w:after="0" w:afterAutospacing="0" w:line="32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《消耗臭氧层物质管理条例》第三十八条第（二）项  </w:t>
            </w:r>
            <w:r>
              <w:rPr>
                <w:rFonts w:hint="default" w:ascii="Times New Roman" w:hAnsi="Times New Roman" w:cs="Times New Roman"/>
                <w:color w:val="auto"/>
                <w:sz w:val="21"/>
                <w:szCs w:val="21"/>
                <w:shd w:val="clear" w:color="auto" w:fill="auto"/>
              </w:rPr>
              <w:t>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5000元以上2万元以下的罚款：</w:t>
            </w:r>
          </w:p>
          <w:p>
            <w:pPr>
              <w:pStyle w:val="18"/>
              <w:shd w:val="clear" w:color="auto" w:fill="auto"/>
              <w:wordWrap/>
              <w:adjustRightInd/>
              <w:spacing w:before="0" w:beforeAutospacing="0" w:after="0" w:afterAutospacing="0" w:line="32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（二）未按照规定完整保存有关生产经营活动的原始资料的。</w:t>
            </w:r>
          </w:p>
        </w:tc>
      </w:tr>
      <w:tr>
        <w:trPr>
          <w:trHeight w:val="425"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已</w:t>
            </w:r>
            <w:r>
              <w:rPr>
                <w:rFonts w:hint="default" w:ascii="Times New Roman" w:hAnsi="Times New Roman" w:cs="Times New Roman"/>
                <w:color w:val="auto"/>
                <w:sz w:val="20"/>
                <w:szCs w:val="20"/>
                <w:shd w:val="clear" w:color="auto" w:fill="auto"/>
              </w:rPr>
              <w:t>保存部分原始资料，但不完整的</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未保存原始资料的</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小型企业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中型企业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大型企业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消耗臭氧层物质种类</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允许使用类物质</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过渡性使用类物质</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禁止使用类物质</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保存时限</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2年以上3年以</w:t>
            </w:r>
            <w:r>
              <w:rPr>
                <w:rFonts w:hint="default" w:ascii="Times New Roman" w:hAnsi="Times New Roman" w:cs="Times New Roman"/>
                <w:color w:val="auto"/>
                <w:sz w:val="20"/>
                <w:szCs w:val="20"/>
                <w:shd w:val="clear" w:color="auto" w:fill="auto"/>
                <w:lang w:eastAsia="zh-CN"/>
              </w:rPr>
              <w:t>下</w:t>
            </w:r>
            <w:r>
              <w:rPr>
                <w:rFonts w:hint="default" w:ascii="Times New Roman" w:hAnsi="Times New Roman" w:cs="Times New Roman"/>
                <w:color w:val="auto"/>
                <w:sz w:val="20"/>
                <w:szCs w:val="20"/>
                <w:shd w:val="clear" w:color="auto" w:fill="auto"/>
              </w:rPr>
              <w:t>的</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1年以上2年以</w:t>
            </w:r>
            <w:r>
              <w:rPr>
                <w:rFonts w:hint="default" w:ascii="Times New Roman" w:hAnsi="Times New Roman" w:cs="Times New Roman"/>
                <w:color w:val="auto"/>
                <w:sz w:val="20"/>
                <w:szCs w:val="20"/>
                <w:shd w:val="clear" w:color="auto" w:fill="auto"/>
                <w:lang w:eastAsia="zh-CN"/>
              </w:rPr>
              <w:t>下</w:t>
            </w:r>
            <w:r>
              <w:rPr>
                <w:rFonts w:hint="default" w:ascii="Times New Roman" w:hAnsi="Times New Roman" w:cs="Times New Roman"/>
                <w:color w:val="auto"/>
                <w:sz w:val="20"/>
                <w:szCs w:val="20"/>
                <w:shd w:val="clear" w:color="auto" w:fill="auto"/>
              </w:rPr>
              <w:t>的</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1年</w:t>
            </w:r>
            <w:r>
              <w:rPr>
                <w:rFonts w:hint="default" w:ascii="Times New Roman" w:hAnsi="Times New Roman" w:cs="Times New Roman"/>
                <w:color w:val="auto"/>
                <w:sz w:val="20"/>
                <w:szCs w:val="20"/>
                <w:shd w:val="clear" w:color="auto" w:fill="auto"/>
                <w:lang w:eastAsia="zh-CN"/>
              </w:rPr>
              <w:t>以下</w:t>
            </w:r>
            <w:r>
              <w:rPr>
                <w:rFonts w:hint="default" w:ascii="Times New Roman" w:hAnsi="Times New Roman" w:cs="Times New Roman"/>
                <w:color w:val="auto"/>
                <w:sz w:val="20"/>
                <w:szCs w:val="20"/>
                <w:shd w:val="clear" w:color="auto" w:fill="auto"/>
              </w:rPr>
              <w:t>的</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0"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284"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lang w:eastAsia="zh-CN"/>
              </w:rPr>
            </w:pPr>
          </w:p>
        </w:tc>
        <w:tc>
          <w:tcPr>
            <w:tcW w:w="5130"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284"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lang w:eastAsia="zh-CN"/>
              </w:rPr>
            </w:pPr>
          </w:p>
        </w:tc>
        <w:tc>
          <w:tcPr>
            <w:tcW w:w="5130"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284"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lang w:eastAsia="zh-CN"/>
              </w:rPr>
            </w:pPr>
          </w:p>
        </w:tc>
        <w:tc>
          <w:tcPr>
            <w:tcW w:w="5130"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284"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lang w:eastAsia="zh-CN"/>
              </w:rPr>
            </w:pPr>
          </w:p>
        </w:tc>
        <w:tc>
          <w:tcPr>
            <w:tcW w:w="5130"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6" w:type="dxa"/>
            <w:gridSpan w:val="2"/>
            <w:vAlign w:val="center"/>
          </w:tcPr>
          <w:p>
            <w:pPr>
              <w:shd w:val="clear" w:color="auto" w:fill="auto"/>
              <w:wordWrap/>
              <w:adjustRightInd/>
              <w:snapToGrid w:val="0"/>
              <w:spacing w:before="0" w:beforeAutospacing="0" w:after="0" w:afterAutospacing="0" w:line="320" w:lineRule="exact"/>
              <w:ind w:left="0" w:right="0" w:firstLine="420"/>
              <w:jc w:val="center"/>
              <w:textAlignment w:val="auto"/>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c>
          <w:tcPr>
            <w:tcW w:w="9060" w:type="dxa"/>
            <w:gridSpan w:val="3"/>
            <w:vAlign w:val="center"/>
          </w:tcPr>
          <w:p>
            <w:pPr>
              <w:widowControl/>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eastAsia="zh-CN"/>
              </w:rPr>
              <w:t>十</w:t>
            </w:r>
            <w:r>
              <w:rPr>
                <w:rFonts w:hint="default" w:ascii="Times New Roman" w:hAnsi="Times New Roman" w:cs="Times New Roman"/>
                <w:b/>
                <w:bCs/>
                <w:color w:val="auto"/>
                <w:sz w:val="20"/>
                <w:szCs w:val="20"/>
                <w:shd w:val="clear" w:color="auto" w:fill="auto"/>
              </w:rPr>
              <w:t>）其他类</w:t>
            </w:r>
          </w:p>
        </w:tc>
      </w:tr>
      <w:tr>
        <w:trPr>
          <w:trHeight w:val="397"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wordWrap/>
              <w:adjustRightInd/>
              <w:snapToGrid w:val="0"/>
              <w:spacing w:before="0" w:beforeAutospacing="0" w:after="0" w:afterAutospacing="0" w:line="32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476" w:name="_Toc25157"/>
            <w:r>
              <w:rPr>
                <w:rFonts w:hint="default" w:ascii="Times New Roman" w:hAnsi="Times New Roman" w:cs="Times New Roman"/>
                <w:color w:val="auto"/>
                <w:sz w:val="20"/>
                <w:szCs w:val="20"/>
                <w:shd w:val="clear" w:color="auto" w:fill="auto"/>
              </w:rPr>
              <w:t>12</w:t>
            </w:r>
            <w:bookmarkEnd w:id="476"/>
          </w:p>
        </w:tc>
      </w:tr>
      <w:tr>
        <w:trPr>
          <w:trHeight w:val="397"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center"/>
          </w:tcPr>
          <w:p>
            <w:pPr>
              <w:pStyle w:val="18"/>
              <w:shd w:val="clear" w:color="auto" w:fill="auto"/>
              <w:wordWrap/>
              <w:adjustRightInd/>
              <w:snapToGrid w:val="0"/>
              <w:spacing w:before="0" w:beforeAutospacing="0" w:after="0" w:afterAutospacing="0" w:line="320" w:lineRule="exact"/>
              <w:ind w:left="0" w:right="0"/>
              <w:jc w:val="center"/>
              <w:textAlignment w:val="auto"/>
              <w:outlineLvl w:val="9"/>
              <w:rPr>
                <w:rFonts w:hint="default" w:ascii="Times New Roman" w:hAnsi="Times New Roman" w:cs="Times New Roman"/>
                <w:color w:val="auto"/>
                <w:sz w:val="21"/>
                <w:szCs w:val="21"/>
                <w:shd w:val="clear" w:color="auto" w:fill="auto"/>
              </w:rPr>
            </w:pPr>
            <w:bookmarkStart w:id="477" w:name="_Toc28993"/>
            <w:r>
              <w:rPr>
                <w:rFonts w:hint="default" w:ascii="Times New Roman" w:hAnsi="Times New Roman" w:cs="Times New Roman"/>
                <w:color w:val="auto"/>
                <w:sz w:val="21"/>
                <w:szCs w:val="21"/>
                <w:shd w:val="clear" w:color="auto" w:fill="auto"/>
              </w:rPr>
              <w:t>未按时申报或者谎报、瞒报有关经营活动的数据资料的</w:t>
            </w:r>
            <w:bookmarkEnd w:id="477"/>
          </w:p>
        </w:tc>
      </w:tr>
      <w:t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wordWrap/>
              <w:adjustRightInd/>
              <w:spacing w:before="0" w:beforeAutospacing="0" w:after="0" w:afterAutospacing="0" w:line="32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《消耗臭氧层物质管理条例》第二十一条 </w:t>
            </w:r>
            <w:r>
              <w:rPr>
                <w:rFonts w:hint="default" w:ascii="Times New Roman" w:hAnsi="Times New Roman" w:cs="Times New Roman"/>
                <w:color w:val="auto"/>
                <w:sz w:val="21"/>
                <w:szCs w:val="21"/>
                <w:shd w:val="clear" w:color="auto" w:fill="auto"/>
              </w:rPr>
              <w:t>从事消耗臭氧层物质的生产、销售、使用、回收、再生利用、销毁等经营活动的单位，以及从事含消耗臭氧层物质的制冷设备、制冷系统或者灭火系统的维修、报废处理等经营活动的单位，应当完整保存有关生产经营活动的原始资料至少3年，并按照国务院环境保护主管部门的规定报送相关数据。</w:t>
            </w:r>
          </w:p>
        </w:tc>
      </w:tr>
      <w:t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wordWrap/>
              <w:adjustRightInd/>
              <w:spacing w:before="0" w:beforeAutospacing="0" w:after="0" w:afterAutospacing="0" w:line="32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《消耗臭氧层物质管理条例》第三十八条第（三）项 </w:t>
            </w:r>
            <w:r>
              <w:rPr>
                <w:rFonts w:hint="default" w:ascii="Times New Roman" w:hAnsi="Times New Roman" w:cs="Times New Roman"/>
                <w:color w:val="auto"/>
                <w:sz w:val="21"/>
                <w:szCs w:val="21"/>
                <w:shd w:val="clear" w:color="auto" w:fill="auto"/>
              </w:rPr>
              <w:t>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5000元以上2万元以下的罚款：</w:t>
            </w:r>
          </w:p>
          <w:p>
            <w:pPr>
              <w:pStyle w:val="18"/>
              <w:shd w:val="clear" w:color="auto" w:fill="auto"/>
              <w:wordWrap/>
              <w:adjustRightInd/>
              <w:spacing w:before="0" w:beforeAutospacing="0" w:after="0" w:afterAutospacing="0" w:line="32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（三）未按时申报或者谎报、瞒报有关经营活动的数据资料的。</w:t>
            </w:r>
          </w:p>
        </w:tc>
      </w:tr>
      <w:tr>
        <w:trPr>
          <w:trHeight w:val="425"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30" w:type="dxa"/>
            <w:vAlign w:val="center"/>
          </w:tcPr>
          <w:p>
            <w:pPr>
              <w:pStyle w:val="18"/>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未按时申报有关经营活动的数据资料的</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8"/>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谎报、瞒报有关经营活动的数据资料的</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小型企业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中型企业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大型企业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消耗臭氧层物质种类</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允许使用类物质</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过渡性使用类物质</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禁止使用类物质</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30"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284"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284"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284"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284"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6" w:type="dxa"/>
            <w:gridSpan w:val="2"/>
            <w:vAlign w:val="center"/>
          </w:tcPr>
          <w:p>
            <w:pPr>
              <w:shd w:val="clear" w:color="auto" w:fill="auto"/>
              <w:wordWrap/>
              <w:adjustRightInd/>
              <w:snapToGrid w:val="0"/>
              <w:spacing w:before="0" w:beforeAutospacing="0" w:after="0" w:afterAutospacing="0" w:line="320" w:lineRule="exact"/>
              <w:ind w:left="0" w:right="0" w:firstLine="420"/>
              <w:jc w:val="center"/>
              <w:textAlignment w:val="auto"/>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rPr>
          <w:trHeight w:val="425" w:hRule="atLeast"/>
        </w:trPr>
        <w:tc>
          <w:tcPr>
            <w:tcW w:w="9060" w:type="dxa"/>
            <w:gridSpan w:val="3"/>
            <w:vAlign w:val="center"/>
          </w:tcPr>
          <w:p>
            <w:pPr>
              <w:widowControl/>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eastAsia="zh-CN"/>
              </w:rPr>
              <w:t>十</w:t>
            </w:r>
            <w:r>
              <w:rPr>
                <w:rFonts w:hint="default" w:ascii="Times New Roman" w:hAnsi="Times New Roman" w:cs="Times New Roman"/>
                <w:b/>
                <w:bCs/>
                <w:color w:val="auto"/>
                <w:sz w:val="20"/>
                <w:szCs w:val="20"/>
                <w:shd w:val="clear" w:color="auto" w:fill="auto"/>
              </w:rPr>
              <w:t>）其他类</w:t>
            </w:r>
          </w:p>
        </w:tc>
      </w:tr>
      <w:tr>
        <w:trPr>
          <w:trHeight w:val="425"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wordWrap/>
              <w:adjustRightInd/>
              <w:snapToGrid w:val="0"/>
              <w:spacing w:before="0" w:beforeAutospacing="0" w:after="0" w:afterAutospacing="0" w:line="32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478" w:name="_Toc18392"/>
            <w:r>
              <w:rPr>
                <w:rFonts w:hint="default" w:ascii="Times New Roman" w:hAnsi="Times New Roman" w:cs="Times New Roman"/>
                <w:color w:val="auto"/>
                <w:sz w:val="20"/>
                <w:szCs w:val="20"/>
                <w:shd w:val="clear" w:color="auto" w:fill="auto"/>
              </w:rPr>
              <w:t>13</w:t>
            </w:r>
            <w:bookmarkEnd w:id="478"/>
          </w:p>
        </w:tc>
      </w:tr>
      <w:tr>
        <w:trPr>
          <w:trHeight w:val="425"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center"/>
          </w:tcPr>
          <w:p>
            <w:pPr>
              <w:pStyle w:val="18"/>
              <w:shd w:val="clear" w:color="auto" w:fill="auto"/>
              <w:wordWrap/>
              <w:adjustRightInd/>
              <w:snapToGrid w:val="0"/>
              <w:spacing w:before="0" w:beforeAutospacing="0" w:after="0" w:afterAutospacing="0" w:line="320" w:lineRule="exact"/>
              <w:ind w:left="0" w:right="0"/>
              <w:jc w:val="center"/>
              <w:textAlignment w:val="auto"/>
              <w:outlineLvl w:val="9"/>
              <w:rPr>
                <w:rFonts w:hint="default" w:ascii="Times New Roman" w:hAnsi="Times New Roman" w:cs="Times New Roman"/>
                <w:color w:val="auto"/>
                <w:sz w:val="21"/>
                <w:szCs w:val="21"/>
                <w:shd w:val="clear" w:color="auto" w:fill="auto"/>
              </w:rPr>
            </w:pPr>
            <w:bookmarkStart w:id="479" w:name="_Toc4256"/>
            <w:r>
              <w:rPr>
                <w:rFonts w:hint="default" w:ascii="Times New Roman" w:hAnsi="Times New Roman" w:cs="Times New Roman"/>
                <w:color w:val="auto"/>
                <w:sz w:val="21"/>
                <w:szCs w:val="21"/>
                <w:shd w:val="clear" w:color="auto" w:fill="auto"/>
              </w:rPr>
              <w:t>未按照监督检查人员的要求提供必要的资料的</w:t>
            </w:r>
            <w:bookmarkEnd w:id="479"/>
          </w:p>
        </w:tc>
      </w:tr>
      <w:tr>
        <w:trPr>
          <w:trHeight w:val="425"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wordWrap/>
              <w:adjustRightInd/>
              <w:spacing w:before="0" w:beforeAutospacing="0" w:after="0" w:afterAutospacing="0" w:line="32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《消耗臭氧层物质管理条例》第二十六条第二款 </w:t>
            </w:r>
            <w:r>
              <w:rPr>
                <w:rFonts w:hint="default" w:ascii="Times New Roman" w:hAnsi="Times New Roman" w:cs="Times New Roman"/>
                <w:color w:val="auto"/>
                <w:sz w:val="21"/>
                <w:szCs w:val="21"/>
                <w:shd w:val="clear" w:color="auto" w:fill="auto"/>
              </w:rPr>
              <w:t>被检查单位应当予以配合，如实反映情况，提供必要资料，不得拒绝和阻碍。</w:t>
            </w:r>
          </w:p>
        </w:tc>
      </w:tr>
      <w:tr>
        <w:trPr>
          <w:trHeight w:val="425"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wordWrap/>
              <w:adjustRightInd/>
              <w:spacing w:before="0" w:beforeAutospacing="0" w:after="0" w:afterAutospacing="0" w:line="32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《消耗臭氧层物质管理条例》第三十八条第（四）项 </w:t>
            </w:r>
            <w:r>
              <w:rPr>
                <w:rFonts w:hint="default" w:ascii="Times New Roman" w:hAnsi="Times New Roman" w:cs="Times New Roman"/>
                <w:color w:val="auto"/>
                <w:sz w:val="21"/>
                <w:szCs w:val="21"/>
                <w:shd w:val="clear" w:color="auto" w:fill="auto"/>
              </w:rPr>
              <w:t>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5000元以上2万元以下的罚款：</w:t>
            </w:r>
          </w:p>
          <w:p>
            <w:pPr>
              <w:pStyle w:val="18"/>
              <w:shd w:val="clear" w:color="auto" w:fill="auto"/>
              <w:wordWrap/>
              <w:adjustRightInd/>
              <w:spacing w:before="0" w:beforeAutospacing="0" w:after="0" w:afterAutospacing="0" w:line="32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（四）未按照监督检查人员的要求提供必要的资料的。</w:t>
            </w:r>
          </w:p>
        </w:tc>
      </w:tr>
      <w:tr>
        <w:trPr>
          <w:trHeight w:val="425"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414"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★提供资料</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情况</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提供资料不全</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14"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提供</w:t>
            </w:r>
            <w:r>
              <w:rPr>
                <w:rFonts w:hint="default" w:ascii="Times New Roman" w:hAnsi="Times New Roman" w:cs="Times New Roman"/>
                <w:color w:val="auto"/>
                <w:sz w:val="20"/>
                <w:szCs w:val="20"/>
                <w:shd w:val="clear" w:color="auto" w:fill="auto"/>
                <w:lang w:val="en-US"/>
              </w:rPr>
              <w:t>虚</w:t>
            </w:r>
            <w:r>
              <w:rPr>
                <w:rFonts w:hint="default" w:ascii="Times New Roman" w:hAnsi="Times New Roman" w:cs="Times New Roman"/>
                <w:color w:val="auto"/>
                <w:sz w:val="20"/>
                <w:szCs w:val="20"/>
                <w:shd w:val="clear" w:color="auto" w:fill="auto"/>
              </w:rPr>
              <w:t>假信息</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14"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伪造现场或证据</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14"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14"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小型企业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414"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中型企业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14"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大型企业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414"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14"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414"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14"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消耗臭氧层物质种类</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允许使用类物质</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14"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过渡性使用类物质</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14"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禁止使用类物质</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14" w:hRule="atLeast"/>
        </w:trPr>
        <w:tc>
          <w:tcPr>
            <w:tcW w:w="1284" w:type="dxa"/>
            <w:vMerge w:val="restart"/>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lang w:eastAsia="zh-CN"/>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130"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1次</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414" w:hRule="atLeast"/>
        </w:trPr>
        <w:tc>
          <w:tcPr>
            <w:tcW w:w="1284"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lang w:eastAsia="zh-CN"/>
              </w:rPr>
            </w:pPr>
          </w:p>
        </w:tc>
        <w:tc>
          <w:tcPr>
            <w:tcW w:w="5130"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2次</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414" w:hRule="atLeast"/>
        </w:trPr>
        <w:tc>
          <w:tcPr>
            <w:tcW w:w="1284"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lang w:eastAsia="zh-CN"/>
              </w:rPr>
            </w:pPr>
          </w:p>
        </w:tc>
        <w:tc>
          <w:tcPr>
            <w:tcW w:w="5130"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3次</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414" w:hRule="atLeast"/>
        </w:trPr>
        <w:tc>
          <w:tcPr>
            <w:tcW w:w="1284"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lang w:eastAsia="zh-CN"/>
              </w:rPr>
            </w:pPr>
          </w:p>
        </w:tc>
        <w:tc>
          <w:tcPr>
            <w:tcW w:w="5130"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4次</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414" w:hRule="atLeast"/>
        </w:trPr>
        <w:tc>
          <w:tcPr>
            <w:tcW w:w="1284"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lang w:eastAsia="zh-CN"/>
              </w:rPr>
            </w:pPr>
          </w:p>
        </w:tc>
        <w:tc>
          <w:tcPr>
            <w:tcW w:w="5130"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r>
              <w:rPr>
                <w:rFonts w:hint="default" w:ascii="Times New Roman" w:hAnsi="Times New Roman" w:eastAsia="宋体" w:cs="Times New Roman"/>
                <w:color w:val="auto"/>
                <w:kern w:val="2"/>
                <w:sz w:val="21"/>
                <w:szCs w:val="21"/>
                <w:shd w:val="clear" w:color="auto" w:fill="auto"/>
                <w:lang w:val="en-US"/>
              </w:rPr>
              <w:t>次以上</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p>
        </w:tc>
      </w:tr>
      <w:tr>
        <w:trPr>
          <w:trHeight w:val="414"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14"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414"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425"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执法检查</w:t>
            </w: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425"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eastAsia" w:ascii="Times New Roman" w:hAnsi="Times New Roman" w:cs="Times New Roman"/>
                <w:color w:val="auto"/>
                <w:sz w:val="20"/>
                <w:szCs w:val="20"/>
                <w:shd w:val="clear" w:color="auto" w:fill="auto"/>
                <w:lang w:val="en-US" w:eastAsia="zh-CN"/>
              </w:rPr>
              <w:t>3</w:t>
            </w:r>
          </w:p>
        </w:tc>
      </w:tr>
      <w:tr>
        <w:trPr>
          <w:trHeight w:val="425"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425"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eastAsia="宋体" w:cs="Times New Roman"/>
                <w:color w:val="auto"/>
                <w:sz w:val="20"/>
                <w:szCs w:val="20"/>
                <w:shd w:val="clear" w:color="auto" w:fill="auto"/>
                <w:lang w:val="en-US" w:eastAsia="zh-CN"/>
              </w:rPr>
            </w:pPr>
            <w:r>
              <w:rPr>
                <w:rFonts w:hint="default" w:ascii="Times New Roman" w:hAnsi="Times New Roman" w:cs="Times New Roman"/>
                <w:color w:val="auto"/>
                <w:sz w:val="20"/>
                <w:szCs w:val="20"/>
                <w:shd w:val="clear" w:color="auto" w:fill="auto"/>
              </w:rPr>
              <w:t>5</w:t>
            </w:r>
          </w:p>
        </w:tc>
      </w:tr>
      <w:tr>
        <w:trPr>
          <w:trHeight w:val="425" w:hRule="atLeast"/>
        </w:trPr>
        <w:tc>
          <w:tcPr>
            <w:tcW w:w="1284" w:type="dxa"/>
            <w:vAlign w:val="top"/>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6" w:type="dxa"/>
            <w:gridSpan w:val="2"/>
            <w:vAlign w:val="top"/>
          </w:tcPr>
          <w:p>
            <w:pPr>
              <w:shd w:val="clear" w:color="auto" w:fill="auto"/>
              <w:wordWrap/>
              <w:adjustRightInd/>
              <w:snapToGrid w:val="0"/>
              <w:spacing w:before="0" w:beforeAutospacing="0" w:after="0" w:afterAutospacing="0" w:line="320" w:lineRule="exact"/>
              <w:ind w:left="0" w:right="0" w:firstLine="420"/>
              <w:jc w:val="center"/>
              <w:textAlignment w:val="auto"/>
              <w:rPr>
                <w:rFonts w:hint="default" w:ascii="Times New Roman" w:hAnsi="Times New Roman" w:cs="Times New Roman"/>
                <w:color w:val="auto"/>
                <w:sz w:val="20"/>
                <w:szCs w:val="20"/>
                <w:shd w:val="clear" w:color="auto" w:fill="auto"/>
              </w:rPr>
            </w:pPr>
          </w:p>
        </w:tc>
      </w:tr>
    </w:tbl>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p>
    <w:p>
      <w:pPr>
        <w:shd w:val="clear" w:color="auto" w:fill="auto"/>
        <w:snapToGrid w:val="0"/>
        <w:rPr>
          <w:rFonts w:hint="default" w:ascii="Times New Roman" w:hAnsi="Times New Roman" w:cs="Times New Roman"/>
          <w:color w:val="auto"/>
          <w:shd w:val="clear" w:color="auto" w:fill="auto"/>
        </w:rPr>
      </w:pPr>
      <w:r>
        <w:rPr>
          <w:rFonts w:hint="default" w:ascii="Times New Roman" w:hAnsi="Times New Roman" w:cs="Times New Roman"/>
          <w:color w:val="auto"/>
          <w:shd w:val="clear" w:color="auto" w:fill="auto"/>
        </w:rPr>
        <w:br w:type="page"/>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5130"/>
        <w:gridCol w:w="2646"/>
      </w:tblGrid>
      <w:tr>
        <w:tc>
          <w:tcPr>
            <w:tcW w:w="9060" w:type="dxa"/>
            <w:gridSpan w:val="3"/>
            <w:vAlign w:val="center"/>
          </w:tcPr>
          <w:p>
            <w:pPr>
              <w:widowControl/>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w:t>
            </w:r>
            <w:r>
              <w:rPr>
                <w:rFonts w:hint="default" w:ascii="Times New Roman" w:hAnsi="Times New Roman" w:cs="Times New Roman"/>
                <w:b/>
                <w:bCs/>
                <w:color w:val="auto"/>
                <w:sz w:val="20"/>
                <w:szCs w:val="20"/>
                <w:shd w:val="clear" w:color="auto" w:fill="auto"/>
                <w:lang w:eastAsia="zh-CN"/>
              </w:rPr>
              <w:t>十</w:t>
            </w:r>
            <w:r>
              <w:rPr>
                <w:rFonts w:hint="default" w:ascii="Times New Roman" w:hAnsi="Times New Roman" w:cs="Times New Roman"/>
                <w:b/>
                <w:bCs/>
                <w:color w:val="auto"/>
                <w:sz w:val="20"/>
                <w:szCs w:val="20"/>
                <w:shd w:val="clear" w:color="auto" w:fill="auto"/>
              </w:rPr>
              <w:t>）其他类</w:t>
            </w:r>
          </w:p>
        </w:tc>
      </w:tr>
      <w:tr>
        <w:trPr>
          <w:trHeight w:val="397"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序号</w:t>
            </w:r>
          </w:p>
        </w:tc>
        <w:tc>
          <w:tcPr>
            <w:tcW w:w="7776" w:type="dxa"/>
            <w:gridSpan w:val="2"/>
            <w:vAlign w:val="center"/>
          </w:tcPr>
          <w:p>
            <w:pPr>
              <w:shd w:val="clear" w:color="auto" w:fill="auto"/>
              <w:wordWrap/>
              <w:adjustRightInd/>
              <w:snapToGrid w:val="0"/>
              <w:spacing w:before="0" w:beforeAutospacing="0" w:after="0" w:afterAutospacing="0" w:line="320" w:lineRule="exact"/>
              <w:ind w:left="0" w:right="0"/>
              <w:jc w:val="center"/>
              <w:textAlignment w:val="auto"/>
              <w:outlineLvl w:val="9"/>
              <w:rPr>
                <w:rFonts w:hint="default" w:ascii="Times New Roman" w:hAnsi="Times New Roman" w:cs="Times New Roman"/>
                <w:color w:val="auto"/>
                <w:sz w:val="20"/>
                <w:szCs w:val="20"/>
                <w:shd w:val="clear" w:color="auto" w:fill="auto"/>
              </w:rPr>
            </w:pPr>
            <w:bookmarkStart w:id="480" w:name="_Toc2836"/>
            <w:r>
              <w:rPr>
                <w:rFonts w:hint="default" w:ascii="Times New Roman" w:hAnsi="Times New Roman" w:cs="Times New Roman"/>
                <w:color w:val="auto"/>
                <w:sz w:val="20"/>
                <w:szCs w:val="20"/>
                <w:shd w:val="clear" w:color="auto" w:fill="auto"/>
              </w:rPr>
              <w:t>14</w:t>
            </w:r>
            <w:bookmarkEnd w:id="480"/>
          </w:p>
        </w:tc>
      </w:tr>
      <w:tr>
        <w:trPr>
          <w:trHeight w:val="397"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tc>
        <w:tc>
          <w:tcPr>
            <w:tcW w:w="7776" w:type="dxa"/>
            <w:gridSpan w:val="2"/>
            <w:vAlign w:val="top"/>
          </w:tcPr>
          <w:p>
            <w:pPr>
              <w:pStyle w:val="18"/>
              <w:shd w:val="clear" w:color="auto" w:fill="auto"/>
              <w:wordWrap/>
              <w:adjustRightInd/>
              <w:spacing w:before="0" w:beforeAutospacing="0" w:after="0" w:afterAutospacing="0" w:line="320" w:lineRule="exact"/>
              <w:ind w:left="0" w:right="0" w:firstLine="420"/>
              <w:textAlignment w:val="auto"/>
              <w:outlineLvl w:val="9"/>
              <w:rPr>
                <w:rFonts w:hint="default" w:ascii="Times New Roman" w:hAnsi="Times New Roman" w:cs="Times New Roman"/>
                <w:color w:val="auto"/>
                <w:sz w:val="21"/>
                <w:szCs w:val="21"/>
                <w:shd w:val="clear" w:color="auto" w:fill="auto"/>
              </w:rPr>
            </w:pPr>
            <w:bookmarkStart w:id="481" w:name="_Toc11778"/>
            <w:r>
              <w:rPr>
                <w:rFonts w:hint="default" w:ascii="Times New Roman" w:hAnsi="Times New Roman" w:cs="Times New Roman"/>
                <w:color w:val="auto"/>
                <w:sz w:val="21"/>
                <w:szCs w:val="21"/>
                <w:shd w:val="clear" w:color="auto" w:fill="auto"/>
              </w:rPr>
              <w:t>拒绝、阻碍环境保护主管部门或者其他有关部门的监督检查，或者在接受监督检查时弄虚作假的</w:t>
            </w:r>
            <w:bookmarkEnd w:id="481"/>
          </w:p>
        </w:tc>
      </w:tr>
      <w:t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违反条款</w:t>
            </w:r>
          </w:p>
        </w:tc>
        <w:tc>
          <w:tcPr>
            <w:tcW w:w="7776" w:type="dxa"/>
            <w:gridSpan w:val="2"/>
            <w:vAlign w:val="top"/>
          </w:tcPr>
          <w:p>
            <w:pPr>
              <w:pStyle w:val="18"/>
              <w:shd w:val="clear" w:color="auto" w:fill="auto"/>
              <w:wordWrap/>
              <w:adjustRightInd/>
              <w:spacing w:before="0" w:beforeAutospacing="0" w:after="0" w:afterAutospacing="0" w:line="32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《消耗臭氧层物质管理条例》第二十六条第二款</w:t>
            </w:r>
            <w:r>
              <w:rPr>
                <w:rFonts w:hint="default" w:ascii="Times New Roman" w:hAnsi="Times New Roman" w:cs="Times New Roman"/>
                <w:color w:val="auto"/>
                <w:sz w:val="21"/>
                <w:szCs w:val="21"/>
                <w:shd w:val="clear" w:color="auto" w:fill="auto"/>
              </w:rPr>
              <w:t xml:space="preserve">  被检查单位应当予以配合，如实反映情况，提供必要资料，不得拒绝和阻碍。</w:t>
            </w:r>
          </w:p>
        </w:tc>
      </w:tr>
      <w:t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处罚依据</w:t>
            </w:r>
          </w:p>
        </w:tc>
        <w:tc>
          <w:tcPr>
            <w:tcW w:w="7776" w:type="dxa"/>
            <w:gridSpan w:val="2"/>
            <w:vAlign w:val="top"/>
          </w:tcPr>
          <w:p>
            <w:pPr>
              <w:pStyle w:val="18"/>
              <w:shd w:val="clear" w:color="auto" w:fill="auto"/>
              <w:wordWrap/>
              <w:adjustRightInd/>
              <w:spacing w:before="0" w:beforeAutospacing="0" w:after="0" w:afterAutospacing="0" w:line="320" w:lineRule="exact"/>
              <w:ind w:left="0" w:right="0" w:firstLine="420"/>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b/>
                <w:bCs/>
                <w:color w:val="auto"/>
                <w:sz w:val="21"/>
                <w:szCs w:val="21"/>
                <w:shd w:val="clear" w:color="auto" w:fill="auto"/>
              </w:rPr>
              <w:t xml:space="preserve">《消耗臭氧层物质管理条例》第三十九条  </w:t>
            </w:r>
            <w:r>
              <w:rPr>
                <w:rFonts w:hint="default" w:ascii="Times New Roman" w:hAnsi="Times New Roman" w:cs="Times New Roman"/>
                <w:color w:val="auto"/>
                <w:sz w:val="21"/>
                <w:szCs w:val="21"/>
                <w:shd w:val="clear" w:color="auto" w:fill="auto"/>
              </w:rPr>
              <w:t>拒绝、阻碍环境保护主管部门或者其他有关部门的监督检查，或者在接受监督检查时弄虚作假的，由监督检查部门责令改正，处1万元以上2万元以下的罚款；构成违反治安管理行为的，由公安机关依法给予治安管理处罚；构成犯罪的，依法追究刑事责任。</w:t>
            </w:r>
          </w:p>
        </w:tc>
      </w:tr>
      <w:tr>
        <w:trPr>
          <w:trHeight w:val="397"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★拒绝检查</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情形</w:t>
            </w:r>
          </w:p>
        </w:tc>
        <w:tc>
          <w:tcPr>
            <w:tcW w:w="5130" w:type="dxa"/>
            <w:vAlign w:val="center"/>
          </w:tcPr>
          <w:p>
            <w:pPr>
              <w:pStyle w:val="18"/>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迟滞10分钟以上30分钟以</w:t>
            </w:r>
            <w:r>
              <w:rPr>
                <w:rFonts w:hint="default" w:ascii="Times New Roman" w:hAnsi="Times New Roman" w:cs="Times New Roman"/>
                <w:color w:val="auto"/>
                <w:sz w:val="21"/>
                <w:szCs w:val="21"/>
                <w:shd w:val="clear" w:color="auto" w:fill="auto"/>
                <w:lang w:eastAsia="zh-CN"/>
              </w:rPr>
              <w:t>下</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sz w:val="21"/>
                <w:szCs w:val="21"/>
                <w:shd w:val="clear" w:color="auto" w:fill="auto"/>
                <w:lang w:eastAsia="zh-CN"/>
              </w:rPr>
            </w:pPr>
            <w:r>
              <w:rPr>
                <w:rFonts w:hint="default" w:ascii="Times New Roman" w:hAnsi="Times New Roman" w:cs="Times New Roman"/>
                <w:color w:val="auto"/>
                <w:sz w:val="21"/>
                <w:szCs w:val="21"/>
                <w:shd w:val="clear" w:color="auto" w:fill="auto"/>
              </w:rPr>
              <w:t>迟滞30分钟以</w:t>
            </w:r>
            <w:r>
              <w:rPr>
                <w:rFonts w:hint="default" w:ascii="Times New Roman" w:hAnsi="Times New Roman" w:cs="Times New Roman"/>
                <w:color w:val="auto"/>
                <w:sz w:val="21"/>
                <w:szCs w:val="21"/>
                <w:shd w:val="clear" w:color="auto" w:fill="auto"/>
                <w:lang w:eastAsia="zh-CN"/>
              </w:rPr>
              <w:t>上</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阻碍或隐匿部分资料</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围堵、滞留执法人员或拒绝提供资料</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暴力抗法</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★弄虚作假</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情形</w:t>
            </w:r>
          </w:p>
        </w:tc>
        <w:tc>
          <w:tcPr>
            <w:tcW w:w="5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提供假信息</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3</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伪造现场或证据</w:t>
            </w:r>
          </w:p>
        </w:tc>
        <w:tc>
          <w:tcPr>
            <w:tcW w:w="2646" w:type="dxa"/>
            <w:vAlign w:val="center"/>
          </w:tcPr>
          <w:p>
            <w:pPr>
              <w:shd w:val="clear" w:color="auto" w:fill="auto"/>
              <w:wordWrap/>
              <w:adjustRightInd/>
              <w:snapToGrid w:val="0"/>
              <w:spacing w:before="0" w:beforeAutospacing="0" w:after="0" w:afterAutospacing="0" w:line="30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小型企业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中型企业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pStyle w:val="19"/>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1"/>
                <w:szCs w:val="21"/>
                <w:shd w:val="clear" w:color="auto" w:fill="auto"/>
              </w:rPr>
              <w:t>大型企业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rPr>
              <w:t>管理类别</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登记管理</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val="en-US"/>
              </w:rPr>
              <w:t>简化管理</w:t>
            </w:r>
          </w:p>
        </w:tc>
        <w:tc>
          <w:tcPr>
            <w:tcW w:w="2646" w:type="dxa"/>
            <w:vAlign w:val="center"/>
          </w:tcPr>
          <w:p>
            <w:pPr>
              <w:shd w:val="clear" w:color="auto" w:fill="auto"/>
              <w:snapToGrid w:val="0"/>
              <w:spacing w:before="0" w:beforeAutospacing="0" w:after="0" w:afterAutospacing="0" w:line="32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2</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rPr>
              <w:t>重点管理</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消耗臭氧层物质种类</w:t>
            </w: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允许使用类物质</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过渡性使用类物质</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禁止使用类物质</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eastAsia="zh-CN"/>
              </w:rPr>
              <w:t>受处罚次数</w:t>
            </w:r>
          </w:p>
        </w:tc>
        <w:tc>
          <w:tcPr>
            <w:tcW w:w="5130" w:type="dxa"/>
            <w:vAlign w:val="center"/>
          </w:tcPr>
          <w:p>
            <w:pPr>
              <w:shd w:val="clear" w:color="auto" w:fill="auto"/>
              <w:wordWrap/>
              <w:adjustRightInd/>
              <w:snapToGrid w:val="0"/>
              <w:spacing w:before="0" w:beforeAutospacing="0" w:after="0" w:afterAutospacing="0" w:line="320" w:lineRule="exact"/>
              <w:ind w:left="0" w:right="0" w:firstLine="42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两年内受到同类处罚1次</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4"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30"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两年内受到同类处罚2次以上</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4"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6" w:type="dxa"/>
            <w:gridSpan w:val="2"/>
            <w:vAlign w:val="center"/>
          </w:tcPr>
          <w:p>
            <w:pPr>
              <w:shd w:val="clear" w:color="auto" w:fill="auto"/>
              <w:wordWrap/>
              <w:adjustRightInd/>
              <w:snapToGrid w:val="0"/>
              <w:spacing w:before="0" w:beforeAutospacing="0" w:after="0" w:afterAutospacing="0" w:line="320" w:lineRule="exact"/>
              <w:ind w:left="0" w:right="0" w:firstLine="420"/>
              <w:jc w:val="center"/>
              <w:textAlignment w:val="auto"/>
              <w:rPr>
                <w:rFonts w:hint="default" w:ascii="Times New Roman" w:hAnsi="Times New Roman" w:cs="Times New Roman"/>
                <w:color w:val="auto"/>
                <w:sz w:val="20"/>
                <w:szCs w:val="20"/>
                <w:shd w:val="clear" w:color="auto" w:fill="auto"/>
              </w:rPr>
            </w:pPr>
          </w:p>
        </w:tc>
      </w:tr>
    </w:tbl>
    <w:p>
      <w:pPr>
        <w:shd w:val="clear" w:color="auto" w:fill="auto"/>
        <w:jc w:val="center"/>
        <w:rPr>
          <w:rFonts w:hint="default" w:ascii="Times New Roman" w:hAnsi="Times New Roman" w:cs="Times New Roman"/>
          <w:color w:val="auto"/>
          <w:shd w:val="clear" w:color="auto" w:fill="auto"/>
        </w:rPr>
      </w:pPr>
    </w:p>
    <w:p>
      <w:pPr>
        <w:shd w:val="clear" w:color="auto" w:fill="auto"/>
        <w:jc w:val="center"/>
        <w:rPr>
          <w:rFonts w:hint="default" w:ascii="Times New Roman" w:hAnsi="Times New Roman" w:cs="Times New Roman"/>
          <w:color w:val="auto"/>
          <w:shd w:val="clear" w:color="auto" w:fill="auto"/>
        </w:rPr>
      </w:pPr>
      <w:bookmarkStart w:id="482" w:name="_Toc25240289"/>
    </w:p>
    <w:p>
      <w:pPr>
        <w:shd w:val="clear" w:color="auto" w:fill="auto"/>
        <w:jc w:val="center"/>
        <w:rPr>
          <w:rFonts w:hint="default" w:ascii="Times New Roman" w:hAnsi="Times New Roman" w:cs="Times New Roman"/>
          <w:color w:val="auto"/>
          <w:shd w:val="clear" w:color="auto" w:fill="auto"/>
        </w:rPr>
      </w:pPr>
    </w:p>
    <w:p>
      <w:pPr>
        <w:shd w:val="clear" w:color="auto" w:fill="auto"/>
        <w:spacing w:afterLines="50" w:line="590" w:lineRule="exact"/>
        <w:ind w:firstLine="640" w:firstLineChars="200"/>
        <w:outlineLvl w:val="1"/>
        <w:rPr>
          <w:rFonts w:hint="default" w:ascii="Times New Roman" w:hAnsi="Times New Roman" w:eastAsia="方正黑体_GBK" w:cs="Times New Roman"/>
          <w:bCs/>
          <w:color w:val="auto"/>
          <w:sz w:val="32"/>
          <w:szCs w:val="32"/>
          <w:shd w:val="clear" w:color="auto" w:fill="auto"/>
        </w:rPr>
      </w:pPr>
      <w:bookmarkStart w:id="483" w:name="_Toc12447"/>
      <w:bookmarkStart w:id="484" w:name="_Toc7240"/>
      <w:r>
        <w:rPr>
          <w:rFonts w:hint="default" w:ascii="Times New Roman" w:hAnsi="Times New Roman" w:eastAsia="方正黑体_GBK" w:cs="Times New Roman"/>
          <w:bCs/>
          <w:color w:val="auto"/>
          <w:sz w:val="32"/>
          <w:szCs w:val="32"/>
          <w:shd w:val="clear" w:color="auto" w:fill="auto"/>
        </w:rPr>
        <w:t>二、通用处罚裁量</w:t>
      </w:r>
      <w:bookmarkEnd w:id="482"/>
      <w:r>
        <w:rPr>
          <w:rFonts w:hint="default" w:ascii="Times New Roman" w:hAnsi="Times New Roman" w:eastAsia="方正黑体_GBK" w:cs="Times New Roman"/>
          <w:bCs/>
          <w:color w:val="auto"/>
          <w:sz w:val="32"/>
          <w:szCs w:val="32"/>
          <w:shd w:val="clear" w:color="auto" w:fill="auto"/>
        </w:rPr>
        <w:t>基准</w:t>
      </w:r>
      <w:bookmarkEnd w:id="483"/>
      <w:bookmarkEnd w:id="484"/>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5126"/>
        <w:gridCol w:w="2646"/>
      </w:tblGrid>
      <w:tr>
        <w:trPr>
          <w:trHeight w:val="397" w:hRule="atLeast"/>
        </w:trPr>
        <w:tc>
          <w:tcPr>
            <w:tcW w:w="9060" w:type="dxa"/>
            <w:gridSpan w:val="3"/>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b/>
                <w:bCs/>
                <w:color w:val="auto"/>
                <w:sz w:val="20"/>
                <w:szCs w:val="20"/>
                <w:shd w:val="clear" w:color="auto" w:fill="auto"/>
              </w:rPr>
              <w:t>通用处罚裁量基准</w:t>
            </w:r>
          </w:p>
        </w:tc>
      </w:tr>
      <w:tr>
        <w:trPr>
          <w:trHeight w:val="397" w:hRule="atLeast"/>
        </w:trPr>
        <w:tc>
          <w:tcPr>
            <w:tcW w:w="1288"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裁量因素</w:t>
            </w:r>
          </w:p>
        </w:tc>
        <w:tc>
          <w:tcPr>
            <w:tcW w:w="512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判定标准</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裁量等级</w:t>
            </w:r>
          </w:p>
        </w:tc>
      </w:tr>
      <w:tr>
        <w:trPr>
          <w:trHeight w:val="397" w:hRule="atLeast"/>
        </w:trPr>
        <w:tc>
          <w:tcPr>
            <w:tcW w:w="1288"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★违法事实</w:t>
            </w:r>
          </w:p>
        </w:tc>
        <w:tc>
          <w:tcPr>
            <w:tcW w:w="5126" w:type="dxa"/>
            <w:vAlign w:val="center"/>
          </w:tcPr>
          <w:p>
            <w:pPr>
              <w:pStyle w:val="18"/>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一般</w:t>
            </w:r>
          </w:p>
        </w:tc>
        <w:tc>
          <w:tcPr>
            <w:tcW w:w="2646" w:type="dxa"/>
            <w:vAlign w:val="center"/>
          </w:tcPr>
          <w:p>
            <w:pPr>
              <w:pStyle w:val="18"/>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1</w:t>
            </w:r>
          </w:p>
        </w:tc>
      </w:tr>
      <w:tr>
        <w:trPr>
          <w:trHeight w:val="397" w:hRule="atLeast"/>
        </w:trPr>
        <w:tc>
          <w:tcPr>
            <w:tcW w:w="128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26" w:type="dxa"/>
            <w:vAlign w:val="center"/>
          </w:tcPr>
          <w:p>
            <w:pPr>
              <w:pStyle w:val="18"/>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较重</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26" w:type="dxa"/>
            <w:vAlign w:val="center"/>
          </w:tcPr>
          <w:p>
            <w:pPr>
              <w:pStyle w:val="18"/>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严重</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8"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企业规模</w:t>
            </w:r>
          </w:p>
        </w:tc>
        <w:tc>
          <w:tcPr>
            <w:tcW w:w="512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微型企业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2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小型企业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28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2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中型企业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2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大型企业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288"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管理类别</w:t>
            </w:r>
          </w:p>
        </w:tc>
        <w:tc>
          <w:tcPr>
            <w:tcW w:w="512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登记管理</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1</w:t>
            </w:r>
          </w:p>
        </w:tc>
      </w:tr>
      <w:tr>
        <w:trPr>
          <w:trHeight w:val="397" w:hRule="atLeast"/>
        </w:trPr>
        <w:tc>
          <w:tcPr>
            <w:tcW w:w="128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2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lang w:val="en-US"/>
              </w:rPr>
            </w:pPr>
            <w:r>
              <w:rPr>
                <w:rFonts w:hint="default" w:ascii="Times New Roman" w:hAnsi="Times New Roman" w:cs="Times New Roman"/>
                <w:color w:val="auto"/>
                <w:sz w:val="20"/>
                <w:szCs w:val="20"/>
                <w:shd w:val="clear" w:color="auto" w:fill="auto"/>
                <w:lang w:eastAsia="zh-CN"/>
              </w:rPr>
              <w:t>简化管理</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w:t>
            </w:r>
          </w:p>
        </w:tc>
      </w:tr>
      <w:tr>
        <w:trPr>
          <w:trHeight w:val="397" w:hRule="atLeast"/>
        </w:trPr>
        <w:tc>
          <w:tcPr>
            <w:tcW w:w="128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2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重点管理</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w:t>
            </w:r>
          </w:p>
        </w:tc>
      </w:tr>
      <w:tr>
        <w:trPr>
          <w:trHeight w:val="397" w:hRule="atLeast"/>
        </w:trPr>
        <w:tc>
          <w:tcPr>
            <w:tcW w:w="1288" w:type="dxa"/>
            <w:vMerge w:val="restart"/>
            <w:vAlign w:val="center"/>
          </w:tcPr>
          <w:p>
            <w:pPr>
              <w:widowControl w:val="0"/>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持续时间</w:t>
            </w:r>
          </w:p>
        </w:tc>
        <w:tc>
          <w:tcPr>
            <w:tcW w:w="512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288"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2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1个月以上3个月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288"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2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3个月以上</w:t>
            </w:r>
            <w:r>
              <w:rPr>
                <w:rFonts w:hint="default" w:ascii="Times New Roman" w:hAnsi="Times New Roman" w:cs="Times New Roman"/>
                <w:color w:val="auto"/>
                <w:kern w:val="2"/>
                <w:sz w:val="21"/>
                <w:szCs w:val="21"/>
                <w:shd w:val="clear" w:color="auto" w:fill="auto"/>
                <w:lang w:eastAsia="zh-CN"/>
              </w:rPr>
              <w:t>6</w:t>
            </w:r>
            <w:r>
              <w:rPr>
                <w:rFonts w:hint="default" w:ascii="Times New Roman" w:hAnsi="Times New Roman" w:eastAsia="宋体" w:cs="Times New Roman"/>
                <w:color w:val="auto"/>
                <w:kern w:val="2"/>
                <w:sz w:val="21"/>
                <w:szCs w:val="21"/>
                <w:shd w:val="clear" w:color="auto" w:fill="auto"/>
                <w:lang w:val="en-US" w:eastAsia="zh-CN"/>
              </w:rPr>
              <w:t>个月</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288"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2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kern w:val="2"/>
                <w:sz w:val="21"/>
                <w:szCs w:val="21"/>
                <w:shd w:val="clear" w:color="auto" w:fill="auto"/>
                <w:lang w:val="en-US" w:eastAsia="zh-CN"/>
              </w:rPr>
              <w:t>6</w:t>
            </w:r>
            <w:r>
              <w:rPr>
                <w:rFonts w:hint="default" w:ascii="Times New Roman" w:hAnsi="Times New Roman" w:eastAsia="宋体" w:cs="Times New Roman"/>
                <w:color w:val="auto"/>
                <w:kern w:val="2"/>
                <w:sz w:val="21"/>
                <w:szCs w:val="21"/>
                <w:shd w:val="clear" w:color="auto" w:fill="auto"/>
                <w:lang w:val="en-US" w:eastAsia="zh-CN"/>
              </w:rPr>
              <w:t>个月以上</w:t>
            </w:r>
            <w:r>
              <w:rPr>
                <w:rFonts w:hint="default" w:ascii="Times New Roman" w:hAnsi="Times New Roman"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w:t>
            </w:r>
            <w:r>
              <w:rPr>
                <w:rFonts w:hint="default" w:ascii="Times New Roman" w:hAnsi="Times New Roman" w:cs="Times New Roman"/>
                <w:color w:val="auto"/>
                <w:kern w:val="2"/>
                <w:sz w:val="21"/>
                <w:szCs w:val="21"/>
                <w:shd w:val="clear" w:color="auto" w:fill="auto"/>
                <w:lang w:val="en-US"/>
              </w:rPr>
              <w:t>以下</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288"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2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1</w:t>
            </w:r>
            <w:r>
              <w:rPr>
                <w:rFonts w:hint="default" w:ascii="Times New Roman" w:hAnsi="Times New Roman" w:eastAsia="宋体" w:cs="Times New Roman"/>
                <w:color w:val="auto"/>
                <w:kern w:val="2"/>
                <w:sz w:val="21"/>
                <w:szCs w:val="21"/>
                <w:shd w:val="clear" w:color="auto" w:fill="auto"/>
                <w:lang w:val="en-US" w:eastAsia="zh-CN"/>
              </w:rPr>
              <w:t>年以上</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5</w:t>
            </w:r>
          </w:p>
        </w:tc>
      </w:tr>
      <w:tr>
        <w:trPr>
          <w:trHeight w:val="397" w:hRule="atLeast"/>
        </w:trPr>
        <w:tc>
          <w:tcPr>
            <w:tcW w:w="1288"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lang w:val="en-US"/>
              </w:rPr>
            </w:pPr>
            <w:r>
              <w:rPr>
                <w:rFonts w:hint="default" w:ascii="Times New Roman" w:hAnsi="Times New Roman" w:cs="Times New Roman"/>
                <w:b/>
                <w:bCs/>
                <w:color w:val="auto"/>
                <w:sz w:val="20"/>
                <w:szCs w:val="20"/>
                <w:shd w:val="clear" w:color="auto" w:fill="auto"/>
                <w:lang w:val="en-US"/>
              </w:rPr>
              <w:t>超过限期</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eastAsia="宋体"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lang w:val="en-US"/>
              </w:rPr>
              <w:t>改正时间</w:t>
            </w:r>
          </w:p>
        </w:tc>
        <w:tc>
          <w:tcPr>
            <w:tcW w:w="512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kern w:val="2"/>
                <w:sz w:val="21"/>
                <w:szCs w:val="21"/>
                <w:shd w:val="clear" w:color="auto" w:fill="auto"/>
              </w:rPr>
            </w:pPr>
            <w:r>
              <w:rPr>
                <w:rFonts w:hint="eastAsia" w:ascii="Times New Roman" w:hAnsi="Times New Roman" w:cs="Times New Roman"/>
                <w:color w:val="auto"/>
                <w:kern w:val="2"/>
                <w:sz w:val="21"/>
                <w:szCs w:val="21"/>
                <w:shd w:val="clear" w:color="auto" w:fill="auto"/>
                <w:lang w:eastAsia="zh-CN"/>
              </w:rPr>
              <w:t>限期改正</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1</w:t>
            </w:r>
          </w:p>
        </w:tc>
      </w:tr>
      <w:tr>
        <w:trPr>
          <w:trHeight w:val="397" w:hRule="atLeast"/>
        </w:trPr>
        <w:tc>
          <w:tcPr>
            <w:tcW w:w="128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2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3天以下</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2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kern w:val="2"/>
                <w:sz w:val="21"/>
                <w:szCs w:val="21"/>
                <w:shd w:val="clear" w:color="auto" w:fill="auto"/>
                <w:lang w:val="en-US" w:eastAsia="zh-CN"/>
              </w:rPr>
            </w:pPr>
            <w:r>
              <w:rPr>
                <w:rFonts w:hint="default" w:ascii="Times New Roman" w:hAnsi="Times New Roman" w:cs="Times New Roman"/>
                <w:color w:val="auto"/>
                <w:sz w:val="20"/>
                <w:szCs w:val="20"/>
                <w:shd w:val="clear" w:color="auto" w:fill="auto"/>
                <w:lang w:val="en-US" w:eastAsia="zh-CN"/>
              </w:rPr>
              <w:t>3天以上7天以下</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eastAsia" w:ascii="Times New Roman" w:hAnsi="Times New Roman" w:cs="Times New Roman"/>
                <w:color w:val="auto"/>
                <w:sz w:val="20"/>
                <w:szCs w:val="20"/>
                <w:shd w:val="clear" w:color="auto" w:fill="auto"/>
                <w:lang w:val="en-US" w:eastAsia="zh-CN"/>
              </w:rPr>
            </w:pPr>
            <w:r>
              <w:rPr>
                <w:rFonts w:hint="eastAsia" w:ascii="Times New Roman" w:hAnsi="Times New Roman" w:cs="Times New Roman"/>
                <w:color w:val="auto"/>
                <w:sz w:val="20"/>
                <w:szCs w:val="20"/>
                <w:shd w:val="clear" w:color="auto" w:fill="auto"/>
                <w:lang w:val="en-US" w:eastAsia="zh-CN"/>
              </w:rPr>
              <w:t>4</w:t>
            </w:r>
          </w:p>
        </w:tc>
      </w:tr>
      <w:tr>
        <w:trPr>
          <w:trHeight w:val="397" w:hRule="atLeast"/>
        </w:trPr>
        <w:tc>
          <w:tcPr>
            <w:tcW w:w="128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2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kern w:val="2"/>
                <w:sz w:val="21"/>
                <w:szCs w:val="21"/>
                <w:shd w:val="clear" w:color="auto" w:fill="auto"/>
              </w:rPr>
            </w:pPr>
            <w:r>
              <w:rPr>
                <w:rFonts w:hint="default" w:ascii="Times New Roman" w:hAnsi="Times New Roman" w:cs="Times New Roman"/>
                <w:color w:val="auto"/>
                <w:sz w:val="20"/>
                <w:szCs w:val="20"/>
                <w:shd w:val="clear" w:color="auto" w:fill="auto"/>
                <w:lang w:val="en-US" w:eastAsia="zh-CN"/>
              </w:rPr>
              <w:t>7天以上</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5</w:t>
            </w:r>
          </w:p>
        </w:tc>
      </w:tr>
      <w:tr>
        <w:trPr>
          <w:trHeight w:val="397" w:hRule="atLeast"/>
        </w:trPr>
        <w:tc>
          <w:tcPr>
            <w:tcW w:w="1288" w:type="dxa"/>
            <w:vMerge w:val="restart"/>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eastAsia="宋体" w:cs="Times New Roman"/>
                <w:b/>
                <w:color w:val="auto"/>
                <w:kern w:val="2"/>
                <w:sz w:val="21"/>
                <w:szCs w:val="21"/>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违法行为</w:t>
            </w:r>
          </w:p>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eastAsia="宋体" w:cs="Times New Roman"/>
                <w:b/>
                <w:color w:val="auto"/>
                <w:kern w:val="2"/>
                <w:sz w:val="21"/>
                <w:szCs w:val="21"/>
                <w:shd w:val="clear" w:color="auto" w:fill="auto"/>
                <w:lang w:val="en-US" w:eastAsia="zh-CN"/>
              </w:rPr>
              <w:t>发生频次</w:t>
            </w:r>
          </w:p>
        </w:tc>
        <w:tc>
          <w:tcPr>
            <w:tcW w:w="512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1次</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1</w:t>
            </w:r>
          </w:p>
        </w:tc>
      </w:tr>
      <w:tr>
        <w:trPr>
          <w:trHeight w:val="397" w:hRule="atLeast"/>
        </w:trPr>
        <w:tc>
          <w:tcPr>
            <w:tcW w:w="1288"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2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2次</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2</w:t>
            </w:r>
          </w:p>
        </w:tc>
      </w:tr>
      <w:tr>
        <w:trPr>
          <w:trHeight w:val="397" w:hRule="atLeast"/>
        </w:trPr>
        <w:tc>
          <w:tcPr>
            <w:tcW w:w="1288"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2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3次</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3</w:t>
            </w:r>
          </w:p>
        </w:tc>
      </w:tr>
      <w:tr>
        <w:trPr>
          <w:trHeight w:val="397" w:hRule="atLeast"/>
        </w:trPr>
        <w:tc>
          <w:tcPr>
            <w:tcW w:w="1288"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2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4次</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val="en-US" w:eastAsia="zh-CN"/>
              </w:rPr>
              <w:t>4</w:t>
            </w:r>
          </w:p>
        </w:tc>
      </w:tr>
      <w:tr>
        <w:trPr>
          <w:trHeight w:val="397" w:hRule="atLeast"/>
        </w:trPr>
        <w:tc>
          <w:tcPr>
            <w:tcW w:w="1288" w:type="dxa"/>
            <w:vMerge w:val="continue"/>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b/>
                <w:bCs/>
                <w:color w:val="auto"/>
                <w:sz w:val="20"/>
                <w:szCs w:val="20"/>
                <w:shd w:val="clear" w:color="auto" w:fill="auto"/>
              </w:rPr>
            </w:pPr>
          </w:p>
        </w:tc>
        <w:tc>
          <w:tcPr>
            <w:tcW w:w="512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r>
              <w:rPr>
                <w:rFonts w:hint="default" w:ascii="Times New Roman" w:hAnsi="Times New Roman" w:eastAsia="宋体" w:cs="Times New Roman"/>
                <w:color w:val="auto"/>
                <w:kern w:val="2"/>
                <w:sz w:val="21"/>
                <w:szCs w:val="21"/>
                <w:shd w:val="clear" w:color="auto" w:fill="auto"/>
                <w:lang w:val="en-US"/>
              </w:rPr>
              <w:t>次以上</w:t>
            </w:r>
          </w:p>
        </w:tc>
        <w:tc>
          <w:tcPr>
            <w:tcW w:w="2646" w:type="dxa"/>
            <w:vAlign w:val="center"/>
          </w:tcPr>
          <w:p>
            <w:pPr>
              <w:widowControl w:val="0"/>
              <w:shd w:val="clear" w:color="auto" w:fill="auto"/>
              <w:wordWrap/>
              <w:adjustRightInd/>
              <w:snapToGrid w:val="0"/>
              <w:spacing w:before="0" w:beforeAutospacing="0" w:after="0" w:afterAutospacing="0" w:line="320" w:lineRule="exact"/>
              <w:ind w:left="0" w:leftChars="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宋体" w:cs="Times New Roman"/>
                <w:color w:val="auto"/>
                <w:kern w:val="2"/>
                <w:sz w:val="21"/>
                <w:szCs w:val="21"/>
                <w:shd w:val="clear" w:color="auto" w:fill="auto"/>
                <w:lang w:eastAsia="zh-CN"/>
              </w:rPr>
              <w:t>5</w:t>
            </w:r>
          </w:p>
        </w:tc>
      </w:tr>
      <w:tr>
        <w:trPr>
          <w:trHeight w:val="397" w:hRule="atLeast"/>
        </w:trPr>
        <w:tc>
          <w:tcPr>
            <w:tcW w:w="1288"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违法行为</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发生地点</w:t>
            </w:r>
          </w:p>
        </w:tc>
        <w:tc>
          <w:tcPr>
            <w:tcW w:w="512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符合环境功能区划</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2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不符合环境功能区划，但不在保护区内</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2</w:t>
            </w:r>
          </w:p>
        </w:tc>
      </w:tr>
      <w:tr>
        <w:trPr>
          <w:trHeight w:val="397" w:hRule="atLeast"/>
        </w:trPr>
        <w:tc>
          <w:tcPr>
            <w:tcW w:w="128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2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饮用水水源准保护区</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2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位于自然保护区实验区/饮用水水源二级保护区</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4</w:t>
            </w:r>
          </w:p>
        </w:tc>
      </w:tr>
      <w:tr>
        <w:trPr>
          <w:trHeight w:val="397" w:hRule="atLeast"/>
        </w:trPr>
        <w:tc>
          <w:tcPr>
            <w:tcW w:w="128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2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位于自然保护区缓冲区/位于自然保护区核心区/饮用水水源一级保护区</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8"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eastAsia="zh-CN"/>
              </w:rPr>
              <w:t>受处罚次数</w:t>
            </w:r>
          </w:p>
        </w:tc>
        <w:tc>
          <w:tcPr>
            <w:tcW w:w="512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0"/>
                <w:szCs w:val="20"/>
                <w:shd w:val="clear" w:color="auto" w:fill="auto"/>
              </w:rPr>
              <w:t>两年内未受到过同类处罚</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26" w:type="dxa"/>
            <w:vAlign w:val="center"/>
          </w:tcPr>
          <w:p>
            <w:pPr>
              <w:pStyle w:val="19"/>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1"/>
                <w:shd w:val="clear" w:color="auto" w:fill="auto"/>
              </w:rPr>
              <w:t>两年内受到同类处罚1次</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3</w:t>
            </w:r>
          </w:p>
        </w:tc>
      </w:tr>
      <w:tr>
        <w:trPr>
          <w:trHeight w:val="397" w:hRule="atLeast"/>
        </w:trPr>
        <w:tc>
          <w:tcPr>
            <w:tcW w:w="128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p>
        </w:tc>
        <w:tc>
          <w:tcPr>
            <w:tcW w:w="5126" w:type="dxa"/>
            <w:vAlign w:val="center"/>
          </w:tcPr>
          <w:p>
            <w:pPr>
              <w:pStyle w:val="19"/>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lang w:eastAsia="zh-CN"/>
              </w:rPr>
            </w:pPr>
            <w:r>
              <w:rPr>
                <w:rFonts w:hint="default" w:ascii="Times New Roman" w:hAnsi="Times New Roman" w:cs="Times New Roman"/>
                <w:color w:val="auto"/>
                <w:sz w:val="21"/>
                <w:szCs w:val="21"/>
                <w:shd w:val="clear" w:color="auto" w:fill="auto"/>
              </w:rPr>
              <w:t>两年内受到同类处罚2次以上</w:t>
            </w:r>
          </w:p>
        </w:tc>
        <w:tc>
          <w:tcPr>
            <w:tcW w:w="2646"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97" w:hRule="atLeast"/>
        </w:trPr>
        <w:tc>
          <w:tcPr>
            <w:tcW w:w="1288" w:type="dxa"/>
            <w:vMerge w:val="restart"/>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是否配合</w:t>
            </w:r>
          </w:p>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r>
              <w:rPr>
                <w:rFonts w:hint="default" w:ascii="Times New Roman" w:hAnsi="Times New Roman" w:cs="Times New Roman"/>
                <w:b/>
                <w:bCs/>
                <w:color w:val="auto"/>
                <w:sz w:val="20"/>
                <w:szCs w:val="20"/>
                <w:shd w:val="clear" w:color="auto" w:fill="auto"/>
              </w:rPr>
              <w:t>执法检查</w:t>
            </w:r>
          </w:p>
        </w:tc>
        <w:tc>
          <w:tcPr>
            <w:tcW w:w="512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eastAsia="zh-CN"/>
              </w:rPr>
              <w:t>配合检查</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1</w:t>
            </w:r>
          </w:p>
        </w:tc>
      </w:tr>
      <w:tr>
        <w:trPr>
          <w:trHeight w:val="397" w:hRule="atLeast"/>
        </w:trPr>
        <w:tc>
          <w:tcPr>
            <w:tcW w:w="128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12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拒绝提供证据</w:t>
            </w:r>
            <w:r>
              <w:rPr>
                <w:rFonts w:hint="eastAsia" w:ascii="Times New Roman" w:hAnsi="Times New Roman" w:cs="Times New Roman"/>
                <w:color w:val="auto"/>
                <w:sz w:val="20"/>
                <w:szCs w:val="20"/>
                <w:shd w:val="clear" w:color="auto" w:fill="auto"/>
                <w:lang w:val="en-US" w:eastAsia="zh-CN"/>
              </w:rPr>
              <w:t>/</w:t>
            </w:r>
            <w:r>
              <w:rPr>
                <w:rFonts w:hint="default" w:ascii="Times New Roman" w:hAnsi="Times New Roman" w:cs="Times New Roman"/>
                <w:color w:val="auto"/>
                <w:sz w:val="20"/>
                <w:szCs w:val="20"/>
                <w:shd w:val="clear" w:color="auto" w:fill="auto"/>
                <w:lang w:eastAsia="zh-CN"/>
              </w:rPr>
              <w:t>提供虚假证据</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eastAsia" w:ascii="Times New Roman" w:hAnsi="Times New Roman" w:cs="Times New Roman"/>
                <w:color w:val="auto"/>
                <w:sz w:val="20"/>
                <w:szCs w:val="20"/>
                <w:shd w:val="clear" w:color="auto" w:fill="auto"/>
                <w:lang w:val="en-US" w:eastAsia="zh-CN"/>
              </w:rPr>
              <w:t>3</w:t>
            </w:r>
          </w:p>
        </w:tc>
      </w:tr>
      <w:tr>
        <w:trPr>
          <w:trHeight w:val="397" w:hRule="atLeast"/>
        </w:trPr>
        <w:tc>
          <w:tcPr>
            <w:tcW w:w="128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12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围堵、滞留执法人员</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w:t>
            </w:r>
          </w:p>
        </w:tc>
      </w:tr>
      <w:tr>
        <w:trPr>
          <w:trHeight w:val="397" w:hRule="atLeast"/>
        </w:trPr>
        <w:tc>
          <w:tcPr>
            <w:tcW w:w="1288" w:type="dxa"/>
            <w:vMerge w:val="continue"/>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lang w:eastAsia="zh-CN"/>
              </w:rPr>
            </w:pPr>
          </w:p>
        </w:tc>
        <w:tc>
          <w:tcPr>
            <w:tcW w:w="512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eastAsia="zh-CN"/>
              </w:rPr>
              <w:t>暴力抗法</w:t>
            </w:r>
          </w:p>
        </w:tc>
        <w:tc>
          <w:tcPr>
            <w:tcW w:w="2646" w:type="dxa"/>
            <w:vAlign w:val="center"/>
          </w:tcPr>
          <w:p>
            <w:pPr>
              <w:shd w:val="clear" w:color="auto" w:fill="auto"/>
              <w:snapToGrid w:val="0"/>
              <w:spacing w:before="0" w:beforeAutospacing="0" w:after="0" w:afterAutospacing="0" w:line="300" w:lineRule="exact"/>
              <w:ind w:left="0" w:right="0"/>
              <w:jc w:val="center"/>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rPr>
              <w:t>5</w:t>
            </w:r>
          </w:p>
        </w:tc>
      </w:tr>
      <w:tr>
        <w:trPr>
          <w:trHeight w:val="340" w:hRule="atLeast"/>
        </w:trPr>
        <w:tc>
          <w:tcPr>
            <w:tcW w:w="1288" w:type="dxa"/>
            <w:vAlign w:val="center"/>
          </w:tcPr>
          <w:p>
            <w:pPr>
              <w:shd w:val="clear" w:color="auto" w:fill="auto"/>
              <w:wordWrap/>
              <w:adjustRightInd/>
              <w:snapToGrid w:val="0"/>
              <w:spacing w:before="0" w:beforeAutospacing="0" w:after="0" w:afterAutospacing="0" w:line="320" w:lineRule="exact"/>
              <w:ind w:left="0" w:right="0"/>
              <w:jc w:val="center"/>
              <w:textAlignment w:val="auto"/>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rPr>
              <w:t>备注</w:t>
            </w:r>
          </w:p>
        </w:tc>
        <w:tc>
          <w:tcPr>
            <w:tcW w:w="7772" w:type="dxa"/>
            <w:gridSpan w:val="2"/>
            <w:vAlign w:val="center"/>
          </w:tcPr>
          <w:p>
            <w:pPr>
              <w:shd w:val="clear" w:color="auto" w:fill="auto"/>
              <w:wordWrap/>
              <w:adjustRightInd/>
              <w:snapToGrid w:val="0"/>
              <w:spacing w:before="0" w:beforeAutospacing="0" w:after="0" w:afterAutospacing="0" w:line="320" w:lineRule="exact"/>
              <w:ind w:left="0" w:right="0" w:firstLine="420"/>
              <w:jc w:val="center"/>
              <w:textAlignment w:val="auto"/>
              <w:rPr>
                <w:rFonts w:hint="default" w:ascii="Times New Roman" w:hAnsi="Times New Roman" w:cs="Times New Roman"/>
                <w:color w:val="auto"/>
                <w:sz w:val="20"/>
                <w:szCs w:val="20"/>
                <w:shd w:val="clear" w:color="auto" w:fill="auto"/>
              </w:rPr>
            </w:pPr>
          </w:p>
        </w:tc>
      </w:tr>
    </w:tbl>
    <w:p>
      <w:pPr>
        <w:shd w:val="clear" w:color="auto" w:fill="auto"/>
        <w:tabs>
          <w:tab w:val="left" w:pos="756"/>
          <w:tab w:val="left" w:pos="8640"/>
        </w:tabs>
        <w:spacing w:line="400" w:lineRule="exact"/>
        <w:ind w:left="0" w:leftChars="0" w:right="0"/>
        <w:rPr>
          <w:rFonts w:hint="default" w:ascii="Times New Roman" w:hAnsi="Times New Roman" w:eastAsia="方正仿宋_GBK" w:cs="Times New Roman"/>
          <w:color w:val="auto"/>
          <w:sz w:val="28"/>
          <w:szCs w:val="28"/>
          <w:shd w:val="clear" w:color="auto" w:fill="auto"/>
          <w:lang w:val="en-US" w:eastAsia="zh-CN"/>
        </w:rPr>
      </w:pPr>
      <w:r>
        <w:rPr>
          <w:rFonts w:ascii="Times New Roman" w:hAnsi="Times New Roman" w:cs="Times New Roman"/>
          <w:color w:val="auto"/>
          <w:shd w:val="clear" w:color="auto" w:fill="auto"/>
        </w:rPr>
        <w:t>注：除专项处罚裁量基准所列情形外，其他违法情形均适用此基准</w:t>
      </w:r>
    </w:p>
    <w:sectPr>
      <w:headerReference r:id="rId4" w:type="default"/>
      <w:footerReference r:id="rId5" w:type="default"/>
      <w:pgSz w:w="11906" w:h="16838"/>
      <w:pgMar w:top="1984" w:right="1531" w:bottom="1587" w:left="1361" w:header="850" w:footer="1049" w:gutter="0"/>
      <w:pgBorders>
        <w:top w:val="none" w:color="auto" w:sz="0" w:space="0"/>
        <w:left w:val="none" w:color="auto" w:sz="0" w:space="0"/>
        <w:bottom w:val="none" w:color="auto" w:sz="0" w:space="0"/>
        <w:right w:val="none" w:color="auto" w:sz="0" w:space="0"/>
      </w:pgBorders>
      <w:pgNumType w:fmt="decimal" w:start="1"/>
      <w:cols w:space="720" w:num="1"/>
      <w:rtlGutter w:val="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黑体_GBK">
    <w:altName w:val="微软雅黑"/>
    <w:panose1 w:val="03000509000000000000"/>
    <w:charset w:val="86"/>
    <w:family w:val="auto"/>
    <w:pitch w:val="default"/>
    <w:sig w:usb0="00000001" w:usb1="080E0000" w:usb2="00000000" w:usb3="00000000" w:csb0="00040000" w:csb1="00000000"/>
  </w:font>
  <w:font w:name="方正楷体_GBK">
    <w:altName w:val="微软雅黑"/>
    <w:panose1 w:val="03000509000000000000"/>
    <w:charset w:val="86"/>
    <w:family w:val="auto"/>
    <w:pitch w:val="default"/>
    <w:sig w:usb0="00000001" w:usb1="080E0000" w:usb2="00000000" w:usb3="00000000" w:csb0="00040000" w:csb1="00000000"/>
  </w:font>
  <w:font w:name="FangSong_GB2312">
    <w:altName w:val="仿宋_GB2312"/>
    <w:panose1 w:val="02010609030101010101"/>
    <w:charset w:val="86"/>
    <w:family w:val="auto"/>
    <w:pitch w:val="default"/>
    <w:sig w:usb0="00000001" w:usb1="080E0000" w:usb2="00000000" w:usb3="00000000" w:csb0="00040000" w:csb1="00000000"/>
  </w:font>
  <w:font w:name="￥ﾮﾋ￤ﾽﾓ">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ind w:right="360" w:firstLine="360"/>
      <w:rPr>
        <w:rFonts w:cs="Times New Roman"/>
      </w:rPr>
    </w:pPr>
    <w:r>
      <w:rPr>
        <w:rFonts w:ascii="Calibri" w:hAnsi="Calibri" w:eastAsia="宋体" w:cs="Times New Roman"/>
        <w:kern w:val="2"/>
        <w:sz w:val="18"/>
        <w:szCs w:val="21"/>
        <w:lang w:val="en-US" w:eastAsia="zh-CN" w:bidi="ar-SA"/>
      </w:rPr>
      <w:pict>
        <v:rect id="文本框 1027" o:spid="_x0000_s1027"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7"/>
                  <w:widowControl w:val="0"/>
                  <w:wordWrap/>
                  <w:adjustRightInd/>
                  <w:snapToGrid w:val="0"/>
                  <w:ind w:left="210" w:leftChars="100" w:right="210" w:rightChars="100"/>
                  <w:textAlignment w:val="auto"/>
                  <w:outlineLvl w:val="9"/>
                  <w:rPr>
                    <w:rStyle w:val="29"/>
                    <w:rFonts w:hint="default" w:ascii="Times New Roman" w:hAnsi="Times New Roman" w:cs="Times New Roman"/>
                    <w:sz w:val="28"/>
                    <w:szCs w:val="28"/>
                  </w:rPr>
                </w:pPr>
                <w:r>
                  <w:rPr>
                    <w:rStyle w:val="29"/>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29"/>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29"/>
                    <w:rFonts w:hint="default" w:ascii="Times New Roman" w:hAnsi="Times New Roman" w:cs="Times New Roman"/>
                    <w:sz w:val="28"/>
                    <w:szCs w:val="28"/>
                  </w:rPr>
                  <w:t>4</w:t>
                </w:r>
                <w:r>
                  <w:rPr>
                    <w:rFonts w:hint="default" w:ascii="Times New Roman" w:hAnsi="Times New Roman" w:cs="Times New Roman"/>
                    <w:sz w:val="28"/>
                    <w:szCs w:val="28"/>
                  </w:rPr>
                  <w:fldChar w:fldCharType="end"/>
                </w:r>
                <w:r>
                  <w:rPr>
                    <w:rStyle w:val="29"/>
                    <w:rFonts w:hint="default" w:ascii="Times New Roman" w:hAnsi="Times New Roman" w:cs="Times New Roman"/>
                    <w:sz w:val="28"/>
                    <w:szCs w:val="28"/>
                  </w:rPr>
                  <w:t xml:space="preserve"> —</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7"/>
      <w:numFmt w:val="chineseCounting"/>
      <w:suff w:val="nothing"/>
      <w:lvlText w:val="（%1）"/>
      <w:lvlJc w:val="left"/>
      <w:rPr>
        <w:rFonts w:hint="eastAsia"/>
      </w:rPr>
    </w:lvl>
  </w:abstractNum>
  <w:abstractNum w:abstractNumId="11">
    <w:nsid w:val="0000000B"/>
    <w:multiLevelType w:val="singleLevel"/>
    <w:tmpl w:val="0000000B"/>
    <w:lvl w:ilvl="0" w:tentative="1">
      <w:start w:val="1"/>
      <w:numFmt w:val="chineseCounting"/>
      <w:suff w:val="nothing"/>
      <w:lvlText w:val="（%1）"/>
      <w:lvlJc w:val="left"/>
      <w:rPr>
        <w:rFonts w:hint="eastAsia"/>
      </w:rPr>
    </w:lvl>
  </w:abstractNum>
  <w:abstractNum w:abstractNumId="12">
    <w:nsid w:val="0000000C"/>
    <w:multiLevelType w:val="singleLevel"/>
    <w:tmpl w:val="0000000C"/>
    <w:lvl w:ilvl="0" w:tentative="1">
      <w:start w:val="13"/>
      <w:numFmt w:val="chineseCounting"/>
      <w:suff w:val="space"/>
      <w:lvlText w:val="第%1条"/>
      <w:lvlJc w:val="left"/>
      <w:rPr>
        <w:rFonts w:hint="eastAsia"/>
        <w:b/>
        <w:bCs/>
      </w:rPr>
    </w:lvl>
  </w:abstractNum>
  <w:abstractNum w:abstractNumId="13">
    <w:nsid w:val="0000000D"/>
    <w:multiLevelType w:val="singleLevel"/>
    <w:tmpl w:val="0000000D"/>
    <w:lvl w:ilvl="0" w:tentative="1">
      <w:start w:val="3"/>
      <w:numFmt w:val="chineseCounting"/>
      <w:suff w:val="nothing"/>
      <w:lvlText w:val="（%1）"/>
      <w:lvlJc w:val="left"/>
      <w:rPr>
        <w:rFonts w:hint="eastAsia"/>
      </w:rPr>
    </w:lvl>
  </w:abstractNum>
  <w:abstractNum w:abstractNumId="14">
    <w:nsid w:val="0000000E"/>
    <w:multiLevelType w:val="singleLevel"/>
    <w:tmpl w:val="0000000E"/>
    <w:lvl w:ilvl="0" w:tentative="1">
      <w:start w:val="1"/>
      <w:numFmt w:val="chineseCounting"/>
      <w:suff w:val="nothing"/>
      <w:lvlText w:val="（%1）"/>
      <w:lvlJc w:val="left"/>
      <w:rPr>
        <w:rFonts w:hint="eastAsia"/>
      </w:rPr>
    </w:lvl>
  </w:abstractNum>
  <w:abstractNum w:abstractNumId="15">
    <w:nsid w:val="0000000F"/>
    <w:multiLevelType w:val="singleLevel"/>
    <w:tmpl w:val="0000000F"/>
    <w:lvl w:ilvl="0" w:tentative="1">
      <w:start w:val="8"/>
      <w:numFmt w:val="chineseCounting"/>
      <w:suff w:val="space"/>
      <w:lvlText w:val="第%1条"/>
      <w:lvlJc w:val="left"/>
      <w:rPr>
        <w:rFonts w:hint="eastAsia"/>
      </w:rPr>
    </w:lvl>
  </w:abstractNum>
  <w:abstractNum w:abstractNumId="16">
    <w:nsid w:val="00000010"/>
    <w:multiLevelType w:val="singleLevel"/>
    <w:tmpl w:val="00000010"/>
    <w:lvl w:ilvl="0" w:tentative="1">
      <w:start w:val="5"/>
      <w:numFmt w:val="chineseCounting"/>
      <w:suff w:val="nothing"/>
      <w:lvlText w:val="（%1）"/>
      <w:lvlJc w:val="left"/>
      <w:rPr>
        <w:rFonts w:hint="eastAsia"/>
      </w:rPr>
    </w:lvl>
  </w:abstractNum>
  <w:abstractNum w:abstractNumId="17">
    <w:nsid w:val="00000011"/>
    <w:multiLevelType w:val="singleLevel"/>
    <w:tmpl w:val="00000011"/>
    <w:lvl w:ilvl="0" w:tentative="1">
      <w:start w:val="1"/>
      <w:numFmt w:val="chineseCounting"/>
      <w:suff w:val="nothing"/>
      <w:lvlText w:val="（%1）"/>
      <w:lvlJc w:val="left"/>
      <w:rPr>
        <w:rFonts w:hint="eastAsia"/>
      </w:rPr>
    </w:lvl>
  </w:abstractNum>
  <w:abstractNum w:abstractNumId="18">
    <w:nsid w:val="00000012"/>
    <w:multiLevelType w:val="singleLevel"/>
    <w:tmpl w:val="00000012"/>
    <w:lvl w:ilvl="0" w:tentative="1">
      <w:start w:val="10"/>
      <w:numFmt w:val="chineseCounting"/>
      <w:suff w:val="space"/>
      <w:lvlText w:val="第%1条"/>
      <w:lvlJc w:val="left"/>
      <w:rPr>
        <w:rFonts w:hint="eastAsia"/>
        <w:b/>
        <w:bCs/>
      </w:rPr>
    </w:lvl>
  </w:abstractNum>
  <w:abstractNum w:abstractNumId="19">
    <w:nsid w:val="00000013"/>
    <w:multiLevelType w:val="singleLevel"/>
    <w:tmpl w:val="00000013"/>
    <w:lvl w:ilvl="0" w:tentative="1">
      <w:start w:val="12"/>
      <w:numFmt w:val="chineseCounting"/>
      <w:suff w:val="nothing"/>
      <w:lvlText w:val="（%1）"/>
      <w:lvlJc w:val="left"/>
      <w:rPr>
        <w:rFonts w:hint="eastAsia"/>
      </w:rPr>
    </w:lvl>
  </w:abstractNum>
  <w:abstractNum w:abstractNumId="20">
    <w:nsid w:val="00000014"/>
    <w:multiLevelType w:val="singleLevel"/>
    <w:tmpl w:val="00000014"/>
    <w:lvl w:ilvl="0" w:tentative="1">
      <w:start w:val="2"/>
      <w:numFmt w:val="chineseCounting"/>
      <w:suff w:val="nothing"/>
      <w:lvlText w:val="（%1）"/>
      <w:lvlJc w:val="left"/>
      <w:rPr>
        <w:rFonts w:hint="eastAsia"/>
      </w:rPr>
    </w:lvl>
  </w:abstractNum>
  <w:abstractNum w:abstractNumId="21">
    <w:nsid w:val="00000015"/>
    <w:multiLevelType w:val="singleLevel"/>
    <w:tmpl w:val="00000015"/>
    <w:lvl w:ilvl="0" w:tentative="1">
      <w:start w:val="1"/>
      <w:numFmt w:val="chineseCounting"/>
      <w:suff w:val="nothing"/>
      <w:lvlText w:val="（%1）"/>
      <w:lvlJc w:val="left"/>
      <w:rPr>
        <w:rFonts w:hint="eastAsia"/>
      </w:rPr>
    </w:lvl>
  </w:abstractNum>
  <w:abstractNum w:abstractNumId="22">
    <w:nsid w:val="00000016"/>
    <w:multiLevelType w:val="singleLevel"/>
    <w:tmpl w:val="00000016"/>
    <w:lvl w:ilvl="0" w:tentative="1">
      <w:start w:val="4"/>
      <w:numFmt w:val="chineseCounting"/>
      <w:suff w:val="nothing"/>
      <w:lvlText w:val="（%1）"/>
      <w:lvlJc w:val="left"/>
      <w:rPr>
        <w:rFonts w:hint="eastAsia"/>
      </w:rPr>
    </w:lvl>
  </w:abstractNum>
  <w:abstractNum w:abstractNumId="23">
    <w:nsid w:val="00000017"/>
    <w:multiLevelType w:val="singleLevel"/>
    <w:tmpl w:val="00000017"/>
    <w:lvl w:ilvl="0" w:tentative="1">
      <w:start w:val="1"/>
      <w:numFmt w:val="decimal"/>
      <w:suff w:val="space"/>
      <w:lvlText w:val="%1."/>
      <w:lvlJc w:val="left"/>
    </w:lvl>
  </w:abstractNum>
  <w:abstractNum w:abstractNumId="24">
    <w:nsid w:val="00000018"/>
    <w:multiLevelType w:val="singleLevel"/>
    <w:tmpl w:val="00000018"/>
    <w:lvl w:ilvl="0" w:tentative="1">
      <w:start w:val="8"/>
      <w:numFmt w:val="chineseCounting"/>
      <w:suff w:val="nothing"/>
      <w:lvlText w:val="（%1）"/>
      <w:lvlJc w:val="left"/>
    </w:lvl>
  </w:abstractNum>
  <w:abstractNum w:abstractNumId="25">
    <w:nsid w:val="00000019"/>
    <w:multiLevelType w:val="singleLevel"/>
    <w:tmpl w:val="00000019"/>
    <w:lvl w:ilvl="0" w:tentative="1">
      <w:start w:val="1"/>
      <w:numFmt w:val="decimal"/>
      <w:suff w:val="nothing"/>
      <w:lvlText w:val="%1."/>
      <w:lvlJc w:val="left"/>
    </w:lvl>
  </w:abstractNum>
  <w:num w:numId="1">
    <w:abstractNumId w:val="15"/>
  </w:num>
  <w:num w:numId="2">
    <w:abstractNumId w:val="18"/>
  </w:num>
  <w:num w:numId="3">
    <w:abstractNumId w:val="12"/>
  </w:num>
  <w:num w:numId="4">
    <w:abstractNumId w:val="17"/>
  </w:num>
  <w:num w:numId="5">
    <w:abstractNumId w:val="23"/>
  </w:num>
  <w:num w:numId="6">
    <w:abstractNumId w:val="16"/>
  </w:num>
  <w:num w:numId="7">
    <w:abstractNumId w:val="14"/>
  </w:num>
  <w:num w:numId="8">
    <w:abstractNumId w:val="11"/>
  </w:num>
  <w:num w:numId="9">
    <w:abstractNumId w:val="20"/>
  </w:num>
  <w:num w:numId="10">
    <w:abstractNumId w:val="22"/>
  </w:num>
  <w:num w:numId="11">
    <w:abstractNumId w:val="10"/>
  </w:num>
  <w:num w:numId="12">
    <w:abstractNumId w:val="19"/>
  </w:num>
  <w:num w:numId="13">
    <w:abstractNumId w:val="21"/>
  </w:num>
  <w:num w:numId="14">
    <w:abstractNumId w:val="24"/>
  </w:num>
  <w:num w:numId="15">
    <w:abstractNumId w:val="2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31"/>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32"/>
    <w:pPr>
      <w:spacing w:beforeLines="50" w:afterLines="50" w:line="360" w:lineRule="auto"/>
      <w:ind w:firstLine="420" w:firstLineChars="200"/>
      <w:jc w:val="left"/>
      <w:outlineLvl w:val="1"/>
    </w:pPr>
    <w:rPr>
      <w:rFonts w:ascii="宋体" w:hAnsi="Calibri" w:eastAsia="宋体" w:cs="Times New Roman"/>
      <w:b/>
      <w:bCs/>
      <w:kern w:val="0"/>
      <w:sz w:val="36"/>
      <w:szCs w:val="36"/>
    </w:rPr>
  </w:style>
  <w:style w:type="character" w:default="1" w:styleId="11">
    <w:name w:val="Default Paragraph Font"/>
  </w:style>
  <w:style w:type="paragraph" w:styleId="4">
    <w:name w:val="annotation text"/>
    <w:basedOn w:val="1"/>
    <w:link w:val="33"/>
    <w:pPr>
      <w:spacing w:before="120" w:after="120" w:line="360" w:lineRule="auto"/>
      <w:ind w:firstLine="200" w:firstLineChars="200"/>
      <w:jc w:val="left"/>
    </w:pPr>
    <w:rPr>
      <w:rFonts w:ascii="Calibri" w:hAnsi="Calibri" w:eastAsia="宋体" w:cs="Times New Roman"/>
      <w:kern w:val="0"/>
      <w:sz w:val="24"/>
      <w:szCs w:val="24"/>
    </w:rPr>
  </w:style>
  <w:style w:type="paragraph" w:styleId="5">
    <w:name w:val="Body Text"/>
    <w:basedOn w:val="1"/>
    <w:link w:val="34"/>
    <w:pPr>
      <w:spacing w:after="120"/>
    </w:pPr>
    <w:rPr>
      <w:sz w:val="21"/>
      <w:szCs w:val="21"/>
    </w:rPr>
  </w:style>
  <w:style w:type="paragraph" w:styleId="6">
    <w:name w:val="批注框文本"/>
    <w:basedOn w:val="1"/>
    <w:link w:val="37"/>
    <w:rPr>
      <w:rFonts w:ascii="Calibri" w:hAnsi="Calibri" w:eastAsia="宋体" w:cs="Times New Roman"/>
      <w:sz w:val="18"/>
    </w:rPr>
  </w:style>
  <w:style w:type="paragraph" w:styleId="7">
    <w:name w:val="footer"/>
    <w:basedOn w:val="1"/>
    <w:link w:val="38"/>
    <w:pPr>
      <w:tabs>
        <w:tab w:val="center" w:pos="4153"/>
        <w:tab w:val="right" w:pos="8306"/>
      </w:tabs>
      <w:snapToGrid w:val="0"/>
      <w:jc w:val="left"/>
    </w:pPr>
    <w:rPr>
      <w:rFonts w:ascii="Calibri" w:hAnsi="Calibri" w:eastAsia="宋体" w:cs="Times New Roman"/>
      <w:sz w:val="18"/>
    </w:rPr>
  </w:style>
  <w:style w:type="paragraph" w:styleId="8">
    <w:name w:val="header"/>
    <w:basedOn w:val="1"/>
    <w:link w:val="39"/>
    <w:pPr>
      <w:pBdr>
        <w:bottom w:val="single" w:color="auto" w:sz="6" w:space="1"/>
      </w:pBdr>
      <w:tabs>
        <w:tab w:val="center" w:pos="4153"/>
        <w:tab w:val="right" w:pos="8306"/>
      </w:tabs>
      <w:snapToGrid w:val="0"/>
      <w:jc w:val="center"/>
    </w:pPr>
    <w:rPr>
      <w:rFonts w:ascii="Calibri" w:hAnsi="Calibri" w:eastAsia="宋体" w:cs="Times New Roman"/>
      <w:sz w:val="18"/>
    </w:rPr>
  </w:style>
  <w:style w:type="paragraph" w:styleId="9">
    <w:name w:val="toc 1"/>
    <w:basedOn w:val="1"/>
    <w:next w:val="1"/>
    <w:pPr>
      <w:tabs>
        <w:tab w:val="right" w:leader="dot" w:pos="8834"/>
      </w:tabs>
    </w:pPr>
    <w:rPr>
      <w:rFonts w:ascii="方正小标宋简体" w:eastAsia="方正小标宋简体" w:cs="方正小标宋简体"/>
      <w:b/>
      <w:bCs/>
      <w:sz w:val="32"/>
      <w:szCs w:val="32"/>
    </w:rPr>
  </w:style>
  <w:style w:type="paragraph" w:styleId="10">
    <w:name w:val="toc 2"/>
    <w:basedOn w:val="1"/>
    <w:next w:val="1"/>
    <w:pPr>
      <w:ind w:left="420" w:leftChars="200"/>
    </w:pPr>
  </w:style>
  <w:style w:type="character" w:styleId="12">
    <w:name w:val="Strong"/>
    <w:basedOn w:val="11"/>
    <w:rPr>
      <w:b/>
      <w:bCs/>
    </w:rPr>
  </w:style>
  <w:style w:type="character" w:styleId="13">
    <w:name w:val="FollowedHyperlink"/>
    <w:basedOn w:val="11"/>
    <w:rPr>
      <w:rFonts w:ascii="Calibri" w:hAnsi="Calibri" w:eastAsia="宋体" w:cs="Times New Roman"/>
      <w:color w:val="000000"/>
      <w:u w:val="none"/>
    </w:rPr>
  </w:style>
  <w:style w:type="character" w:styleId="14">
    <w:name w:val="Emphasis"/>
    <w:basedOn w:val="11"/>
    <w:rPr>
      <w:rFonts w:ascii="Calibri" w:hAnsi="Calibri" w:eastAsia="黑体" w:cs="Times New Roman"/>
      <w:sz w:val="21"/>
    </w:rPr>
  </w:style>
  <w:style w:type="character" w:styleId="15">
    <w:name w:val="Hyperlink"/>
    <w:basedOn w:val="11"/>
    <w:rPr>
      <w:rFonts w:ascii="Calibri" w:hAnsi="Calibri" w:eastAsia="宋体" w:cs="Times New Roman"/>
      <w:color w:val="0000FF"/>
      <w:u w:val="single"/>
    </w:rPr>
  </w:style>
  <w:style w:type="paragraph" w:customStyle="1" w:styleId="16">
    <w:name w:val="Plain Text"/>
    <w:basedOn w:val="1"/>
    <w:link w:val="35"/>
    <w:rPr>
      <w:rFonts w:ascii="宋体" w:hAnsi="Courier New" w:cs="宋体"/>
      <w:sz w:val="21"/>
      <w:szCs w:val="21"/>
    </w:rPr>
  </w:style>
  <w:style w:type="paragraph" w:customStyle="1" w:styleId="17">
    <w:name w:val="Date"/>
    <w:basedOn w:val="1"/>
    <w:next w:val="1"/>
    <w:link w:val="36"/>
    <w:pPr>
      <w:ind w:left="100" w:leftChars="2500"/>
    </w:pPr>
    <w:rPr>
      <w:sz w:val="21"/>
      <w:szCs w:val="21"/>
    </w:rPr>
  </w:style>
  <w:style w:type="paragraph" w:customStyle="1" w:styleId="18">
    <w:name w:val="HTML Preformatted"/>
    <w:basedOn w:val="1"/>
    <w:link w:val="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customStyle="1" w:styleId="19">
    <w:name w:val="Normal (Web)"/>
    <w:basedOn w:val="1"/>
    <w:pPr>
      <w:widowControl/>
      <w:spacing w:before="100" w:beforeAutospacing="1" w:after="100" w:afterAutospacing="1"/>
      <w:jc w:val="left"/>
    </w:pPr>
    <w:rPr>
      <w:rFonts w:ascii="宋体" w:hAnsi="宋体" w:cs="宋体"/>
      <w:kern w:val="0"/>
      <w:sz w:val="24"/>
      <w:szCs w:val="24"/>
    </w:rPr>
  </w:style>
  <w:style w:type="paragraph" w:customStyle="1" w:styleId="20">
    <w:name w:val="annotation subject"/>
    <w:basedOn w:val="4"/>
    <w:next w:val="4"/>
    <w:link w:val="41"/>
    <w:rPr>
      <w:rFonts w:ascii="Calibri" w:hAnsi="Calibri" w:eastAsia="宋体" w:cs="Times New Roman"/>
      <w:b/>
      <w:sz w:val="24"/>
    </w:rPr>
  </w:style>
  <w:style w:type="paragraph" w:customStyle="1" w:styleId="21">
    <w:name w:val="WPSOffice手动目录 1"/>
    <w:pPr>
      <w:ind w:leftChars="0"/>
    </w:pPr>
    <w:rPr>
      <w:sz w:val="20"/>
      <w:szCs w:val="20"/>
    </w:rPr>
  </w:style>
  <w:style w:type="paragraph" w:customStyle="1" w:styleId="22">
    <w:name w:val="List Paragraph"/>
    <w:basedOn w:val="1"/>
    <w:pPr>
      <w:ind w:firstLine="420" w:firstLineChars="200"/>
    </w:pPr>
  </w:style>
  <w:style w:type="paragraph" w:customStyle="1" w:styleId="23">
    <w:name w:val="默认段落字体 Para Char Char Char Char"/>
    <w:basedOn w:val="1"/>
    <w:rPr>
      <w:rFonts w:ascii="Times New Roman" w:hAnsi="Times New Roman" w:cs="Times New Roman"/>
    </w:rPr>
  </w:style>
  <w:style w:type="paragraph" w:customStyle="1" w:styleId="24">
    <w:name w:val="p0"/>
    <w:basedOn w:val="1"/>
    <w:pPr>
      <w:widowControl/>
      <w:spacing w:before="100" w:beforeAutospacing="1" w:after="100" w:afterAutospacing="1"/>
      <w:jc w:val="left"/>
    </w:pPr>
    <w:rPr>
      <w:rFonts w:ascii="宋体" w:hAnsi="宋体" w:cs="宋体"/>
      <w:kern w:val="0"/>
      <w:sz w:val="24"/>
      <w:szCs w:val="24"/>
    </w:rPr>
  </w:style>
  <w:style w:type="paragraph" w:customStyle="1" w:styleId="25">
    <w:name w:val="Char Char Char Char"/>
    <w:basedOn w:val="1"/>
    <w:rPr>
      <w:rFonts w:ascii="Times New Roman" w:hAnsi="Times New Roman" w:cs="Times New Roman"/>
    </w:rPr>
  </w:style>
  <w:style w:type="paragraph" w:customStyle="1" w:styleId="26">
    <w:name w:val="TOC 标题1"/>
    <w:basedOn w:val="2"/>
    <w:next w:val="1"/>
    <w:pPr>
      <w:widowControl/>
      <w:spacing w:before="480" w:after="0" w:line="276" w:lineRule="auto"/>
      <w:jc w:val="left"/>
      <w:outlineLvl w:val="9"/>
    </w:pPr>
    <w:rPr>
      <w:rFonts w:ascii="Cambria" w:hAnsi="Cambria" w:cs="Cambria"/>
      <w:color w:val="365F91"/>
      <w:kern w:val="0"/>
      <w:sz w:val="28"/>
      <w:szCs w:val="28"/>
    </w:rPr>
  </w:style>
  <w:style w:type="paragraph" w:customStyle="1" w:styleId="27">
    <w:name w:val="Default"/>
    <w:pPr>
      <w:widowControl w:val="0"/>
      <w:autoSpaceDE w:val="0"/>
      <w:autoSpaceDN w:val="0"/>
      <w:adjustRightInd w:val="0"/>
    </w:pPr>
    <w:rPr>
      <w:rFonts w:ascii="仿宋" w:hAnsi="仿宋" w:eastAsia="宋体" w:cs="仿宋"/>
      <w:color w:val="000000"/>
      <w:kern w:val="0"/>
      <w:sz w:val="24"/>
      <w:szCs w:val="24"/>
      <w:lang w:val="en-US" w:eastAsia="zh-CN" w:bidi="ar-SA"/>
    </w:rPr>
  </w:style>
  <w:style w:type="paragraph" w:customStyle="1" w:styleId="28">
    <w:name w:val="faguicon_p"/>
    <w:basedOn w:val="1"/>
    <w:pPr>
      <w:ind w:firstLine="480"/>
    </w:pPr>
    <w:rPr>
      <w:rFonts w:ascii="微软雅黑" w:hAnsi="微软雅黑" w:eastAsia="微软雅黑" w:cs="微软雅黑"/>
    </w:rPr>
  </w:style>
  <w:style w:type="character" w:customStyle="1" w:styleId="29">
    <w:name w:val="page number"/>
    <w:basedOn w:val="11"/>
    <w:rPr/>
  </w:style>
  <w:style w:type="character" w:customStyle="1" w:styleId="30">
    <w:name w:val="annotation reference"/>
    <w:basedOn w:val="11"/>
    <w:rPr>
      <w:rFonts w:ascii="Calibri" w:hAnsi="Calibri" w:eastAsia="宋体" w:cs="Times New Roman"/>
      <w:sz w:val="21"/>
    </w:rPr>
  </w:style>
  <w:style w:type="character" w:customStyle="1" w:styleId="31">
    <w:name w:val="Heading 1 Char"/>
    <w:basedOn w:val="11"/>
    <w:link w:val="2"/>
    <w:semiHidden/>
    <w:rPr>
      <w:rFonts w:ascii="Calibri" w:hAnsi="Calibri" w:eastAsia="宋体" w:cs="Times New Roman"/>
      <w:b/>
      <w:bCs/>
      <w:kern w:val="44"/>
      <w:sz w:val="44"/>
      <w:szCs w:val="44"/>
    </w:rPr>
  </w:style>
  <w:style w:type="character" w:customStyle="1" w:styleId="32">
    <w:name w:val="Heading 2 Char"/>
    <w:basedOn w:val="11"/>
    <w:link w:val="3"/>
    <w:semiHidden/>
    <w:rPr>
      <w:rFonts w:ascii="宋体" w:hAnsi="Calibri" w:eastAsia="宋体" w:cs="Times New Roman"/>
      <w:b/>
      <w:bCs/>
      <w:kern w:val="0"/>
      <w:sz w:val="36"/>
      <w:szCs w:val="36"/>
    </w:rPr>
  </w:style>
  <w:style w:type="character" w:customStyle="1" w:styleId="33">
    <w:name w:val="Comment Text Char"/>
    <w:basedOn w:val="11"/>
    <w:link w:val="4"/>
    <w:semiHidden/>
    <w:rPr>
      <w:rFonts w:ascii="Calibri" w:hAnsi="Calibri" w:eastAsia="宋体" w:cs="Times New Roman"/>
      <w:kern w:val="0"/>
      <w:sz w:val="24"/>
      <w:szCs w:val="24"/>
    </w:rPr>
  </w:style>
  <w:style w:type="character" w:customStyle="1" w:styleId="34">
    <w:name w:val="正文文本 字符"/>
    <w:link w:val="5"/>
    <w:semiHidden/>
    <w:rPr>
      <w:sz w:val="21"/>
      <w:szCs w:val="21"/>
    </w:rPr>
  </w:style>
  <w:style w:type="character" w:customStyle="1" w:styleId="35">
    <w:name w:val="纯文本 字符"/>
    <w:link w:val="16"/>
    <w:semiHidden/>
    <w:rPr>
      <w:rFonts w:ascii="宋体" w:hAnsi="Courier New" w:cs="宋体"/>
      <w:sz w:val="21"/>
      <w:szCs w:val="21"/>
    </w:rPr>
  </w:style>
  <w:style w:type="character" w:customStyle="1" w:styleId="36">
    <w:name w:val="日期 字符"/>
    <w:link w:val="17"/>
    <w:semiHidden/>
    <w:rPr>
      <w:sz w:val="21"/>
      <w:szCs w:val="21"/>
    </w:rPr>
  </w:style>
  <w:style w:type="character" w:customStyle="1" w:styleId="37">
    <w:name w:val="Balloon Text Char"/>
    <w:basedOn w:val="11"/>
    <w:link w:val="6"/>
    <w:semiHidden/>
    <w:rPr>
      <w:rFonts w:ascii="Calibri" w:hAnsi="Calibri" w:eastAsia="宋体" w:cs="Times New Roman"/>
      <w:sz w:val="18"/>
    </w:rPr>
  </w:style>
  <w:style w:type="character" w:customStyle="1" w:styleId="38">
    <w:name w:val="Footer Char"/>
    <w:basedOn w:val="11"/>
    <w:link w:val="7"/>
    <w:semiHidden/>
    <w:rPr>
      <w:rFonts w:ascii="Calibri" w:hAnsi="Calibri" w:eastAsia="宋体" w:cs="Times New Roman"/>
      <w:sz w:val="18"/>
    </w:rPr>
  </w:style>
  <w:style w:type="character" w:customStyle="1" w:styleId="39">
    <w:name w:val="Header Char"/>
    <w:basedOn w:val="11"/>
    <w:link w:val="8"/>
    <w:semiHidden/>
    <w:rPr>
      <w:rFonts w:ascii="Calibri" w:hAnsi="Calibri" w:eastAsia="宋体" w:cs="Times New Roman"/>
      <w:sz w:val="18"/>
    </w:rPr>
  </w:style>
  <w:style w:type="character" w:customStyle="1" w:styleId="40">
    <w:name w:val="HTML Preformatted Char Char"/>
    <w:basedOn w:val="11"/>
    <w:link w:val="18"/>
    <w:semiHidden/>
    <w:rPr>
      <w:rFonts w:ascii="宋体" w:hAnsi="宋体" w:eastAsia="宋体" w:cs="Times New Roman"/>
      <w:kern w:val="0"/>
      <w:sz w:val="24"/>
      <w:szCs w:val="24"/>
    </w:rPr>
  </w:style>
  <w:style w:type="character" w:customStyle="1" w:styleId="41">
    <w:name w:val="Comment Subject Char1"/>
    <w:link w:val="20"/>
    <w:semiHidden/>
    <w:rPr>
      <w:rFonts w:ascii="Calibri" w:hAnsi="Calibri" w:eastAsia="宋体" w:cs="Times New Roman"/>
      <w:b/>
      <w:sz w:val="24"/>
    </w:rPr>
  </w:style>
  <w:style w:type="character" w:customStyle="1" w:styleId="42">
    <w:name w:val="批注框文本 字符"/>
    <w:rPr>
      <w:rFonts w:ascii="Calibri" w:hAnsi="Calibri" w:eastAsia="宋体" w:cs="Calibri"/>
      <w:sz w:val="18"/>
      <w:szCs w:val="18"/>
    </w:rPr>
  </w:style>
  <w:style w:type="character" w:customStyle="1" w:styleId="43">
    <w:name w:val="10"/>
    <w:basedOn w:val="11"/>
    <w:rPr>
      <w:rFonts w:hint="default" w:ascii="Times New Roman" w:hAnsi="Times New Roman" w:cs="Times New Roman"/>
    </w:rPr>
  </w:style>
  <w:style w:type="character" w:customStyle="1" w:styleId="44">
    <w:name w:val="znspantitle"/>
    <w:basedOn w:val="11"/>
    <w:rPr>
      <w:rFonts w:ascii="Calibri" w:hAnsi="Calibri" w:eastAsia="宋体" w:cs="Times New Roman"/>
      <w:b/>
      <w:color w:val="333333"/>
    </w:rPr>
  </w:style>
  <w:style w:type="character" w:customStyle="1" w:styleId="45">
    <w:name w:val="lishishuju"/>
    <w:basedOn w:val="11"/>
    <w:rPr>
      <w:rFonts w:ascii="Calibri" w:hAnsi="Calibri" w:eastAsia="宋体" w:cs="Times New Roman"/>
      <w:b/>
      <w:color w:val="000052"/>
      <w:sz w:val="24"/>
      <w:szCs w:val="24"/>
      <w:bdr w:val="single" w:color="E3E3E3" w:sz="6" w:space="0"/>
    </w:rPr>
  </w:style>
  <w:style w:type="character" w:customStyle="1" w:styleId="46">
    <w:name w:val="15"/>
    <w:basedOn w:val="11"/>
    <w:rPr>
      <w:rFonts w:hint="default" w:ascii="Calibri" w:hAnsi="Calibri" w:eastAsia="黑体" w:cs="Times New Roman"/>
      <w:sz w:val="21"/>
      <w:szCs w:val="21"/>
    </w:rPr>
  </w:style>
  <w:style w:type="character" w:customStyle="1" w:styleId="47">
    <w:name w:val="页眉 字符"/>
    <w:rPr>
      <w:rFonts w:ascii="Calibri" w:hAnsi="Calibri" w:eastAsia="宋体" w:cs="Calibri"/>
      <w:sz w:val="18"/>
      <w:szCs w:val="18"/>
    </w:rPr>
  </w:style>
  <w:style w:type="character" w:customStyle="1" w:styleId="48">
    <w:name w:val="lable"/>
    <w:basedOn w:val="11"/>
    <w:rPr>
      <w:rFonts w:ascii="Calibri" w:hAnsi="Calibri" w:eastAsia="宋体" w:cs="Times New Roman"/>
      <w:sz w:val="24"/>
      <w:szCs w:val="24"/>
    </w:rPr>
  </w:style>
  <w:style w:type="character" w:customStyle="1" w:styleId="49">
    <w:name w:val="Comment Subject Char"/>
    <w:basedOn w:val="33"/>
    <w:rPr>
      <w:b/>
      <w:szCs w:val="20"/>
    </w:rPr>
  </w:style>
  <w:style w:type="character" w:customStyle="1" w:styleId="50">
    <w:name w:val="radio-btn1"/>
    <w:basedOn w:val="11"/>
    <w:rPr>
      <w:rFonts w:ascii="Calibri" w:hAnsi="Calibri" w:eastAsia="宋体" w:cs="Times New Roman"/>
      <w:sz w:val="24"/>
      <w:szCs w:val="24"/>
    </w:rPr>
  </w:style>
  <w:style w:type="character" w:customStyle="1" w:styleId="51">
    <w:name w:val="apple-converted-space"/>
    <w:rPr>
      <w:rFonts w:ascii="Calibri" w:hAnsi="Calibri" w:eastAsia="宋体" w:cs="Times New Roman"/>
    </w:rPr>
  </w:style>
  <w:style w:type="character" w:customStyle="1" w:styleId="52">
    <w:name w:val="cur1"/>
    <w:basedOn w:val="11"/>
    <w:rPr>
      <w:rFonts w:ascii="Calibri" w:hAnsi="Calibri" w:eastAsia="宋体" w:cs="Times New Roman"/>
      <w:color w:val="FFFFFF"/>
      <w:shd w:val="clear" w:color="auto" w:fill="2F6B98"/>
    </w:rPr>
  </w:style>
  <w:style w:type="character" w:customStyle="1" w:styleId="53">
    <w:name w:val="页脚 字符"/>
    <w:rPr>
      <w:rFonts w:ascii="Calibri" w:hAnsi="Calibri" w:eastAsia="宋体" w:cs="Calibri"/>
      <w:sz w:val="18"/>
      <w:szCs w:val="18"/>
    </w:rPr>
  </w:style>
  <w:style w:type="character" w:customStyle="1" w:styleId="54">
    <w:name w:val="radio-btn2"/>
    <w:basedOn w:val="11"/>
    <w:rPr>
      <w:rFonts w:ascii="Calibri" w:hAnsi="Calibri" w:eastAsia="宋体" w:cs="Times New Roman"/>
      <w:sz w:val="24"/>
      <w:szCs w:val="24"/>
    </w:rPr>
  </w:style>
  <w:style w:type="character" w:customStyle="1" w:styleId="55">
    <w:name w:val="radio-btn"/>
    <w:basedOn w:val="11"/>
    <w:rPr>
      <w:rFonts w:ascii="Calibri" w:hAnsi="Calibri" w:eastAsia="宋体" w:cs="Times New Roman"/>
      <w:sz w:val="21"/>
      <w:szCs w:val="21"/>
    </w:rPr>
  </w:style>
  <w:style w:type="character" w:customStyle="1" w:styleId="56">
    <w:name w:val="标题1"/>
    <w:basedOn w:val="11"/>
    <w:rPr/>
  </w:style>
  <w:style w:type="character" w:customStyle="1" w:styleId="57">
    <w:name w:val="sect2title"/>
    <w:basedOn w:val="11"/>
    <w:rPr>
      <w:rFonts w:ascii="微软雅黑" w:hAnsi="微软雅黑" w:eastAsia="微软雅黑" w:cs="微软雅黑"/>
      <w:b/>
      <w:bCs/>
      <w:sz w:val="26"/>
      <w:szCs w:val="26"/>
    </w:rPr>
  </w:style>
  <w:style w:type="character" w:customStyle="1" w:styleId="58">
    <w:name w:val="any"/>
    <w:basedOn w:val="1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oleObject" Target="embeddings/oleObject1.bin"/><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微软公司</Company>
  <Pages>519</Pages>
  <Words>215039</Words>
  <Characters>218760</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2020-01-10T00:05:00Z</dcterms:created>
  <dc:creator>刘静</dc:creator>
  <cp:lastPrinted>2021-01-08T07:40:00Z</cp:lastPrinted>
  <dcterms:modified xsi:type="dcterms:W3CDTF">2024-01-02T11:43:29Z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公文标识">
    <vt:lpwstr>1.2.156.10-11410000005185040J-000-2020-OA-02802-Y</vt:lpwstr>
  </property>
  <property fmtid="{D5CDD505-2E9C-101B-9397-08002B2CF9AE}" pid="4" name="密级和保密期限">
    <vt:lpwstr>无</vt:lpwstr>
  </property>
  <property fmtid="{D5CDD505-2E9C-101B-9397-08002B2CF9AE}" pid="5" name="标题">
    <vt:lpwstr>关于印发《河南省生态环境行政处罚裁量基准适用规则（修订）》《河南省生态环境行政处罚裁量基准》的通知</vt:lpwstr>
  </property>
  <property fmtid="{D5CDD505-2E9C-101B-9397-08002B2CF9AE}" pid="6" name="成文日期">
    <vt:lpwstr>2020年12月29日</vt:lpwstr>
  </property>
  <property fmtid="{D5CDD505-2E9C-101B-9397-08002B2CF9AE}" pid="7" name="发文字号">
    <vt:lpwstr>豫环文</vt:lpwstr>
  </property>
  <property fmtid="{D5CDD505-2E9C-101B-9397-08002B2CF9AE}" pid="8" name="年份">
    <vt:lpwstr>2020</vt:lpwstr>
  </property>
  <property fmtid="{D5CDD505-2E9C-101B-9397-08002B2CF9AE}" pid="9" name="发文顺序号">
    <vt:lpwstr>177</vt:lpwstr>
  </property>
  <property fmtid="{D5CDD505-2E9C-101B-9397-08002B2CF9AE}" pid="10" name="印发机关">
    <vt:lpwstr>河南省生态环境厅</vt:lpwstr>
  </property>
  <property fmtid="{D5CDD505-2E9C-101B-9397-08002B2CF9AE}" pid="11" name="主送机关">
    <vt:lpwstr>各省辖市、济源示范区生态环境局，机关各处（室）、直属各单位，各派出机构</vt:lpwstr>
  </property>
  <property fmtid="{D5CDD505-2E9C-101B-9397-08002B2CF9AE}" pid="12" name="签发人">
    <vt:lpwstr>王仲田</vt:lpwstr>
  </property>
  <property fmtid="{D5CDD505-2E9C-101B-9397-08002B2CF9AE}" pid="13" name="份数">
    <vt:lpwstr>5</vt:lpwstr>
  </property>
  <property fmtid="{D5CDD505-2E9C-101B-9397-08002B2CF9AE}" pid="14" name="印发日期">
    <vt:lpwstr>2020年12月29日</vt:lpwstr>
  </property>
  <property fmtid="{D5CDD505-2E9C-101B-9397-08002B2CF9AE}" pid="15" name="ICV">
    <vt:lpwstr>4D5D23C43EC64C23BA8244FF9498E3CA</vt:lpwstr>
  </property>
</Properties>
</file>