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80" w:lineRule="exact"/>
        <w:jc w:val="left"/>
        <w:textAlignment w:val="center"/>
        <w:rPr>
          <w:rFonts w:hint="default" w:ascii="仿宋_GB2312" w:hAnsi="宋体" w:eastAsia="仿宋_GB2312" w:cs="仿宋_GB2312"/>
          <w:i w:val="0"/>
          <w:iCs w:val="0"/>
          <w:color w:val="000000"/>
          <w:kern w:val="0"/>
          <w:sz w:val="20"/>
          <w:szCs w:val="20"/>
          <w:u w:val="none"/>
          <w:lang w:val="en-US" w:eastAsia="zh-CN"/>
        </w:rPr>
      </w:pPr>
      <w:bookmarkStart w:id="0" w:name="_GoBack"/>
      <w:bookmarkEnd w:id="0"/>
    </w:p>
    <w:tbl>
      <w:tblPr>
        <w:tblW w:w="9360" w:type="dxa"/>
        <w:tblInd w:w="-5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540"/>
        <w:gridCol w:w="660"/>
        <w:gridCol w:w="975"/>
        <w:gridCol w:w="1290"/>
        <w:gridCol w:w="1635"/>
        <w:gridCol w:w="3420"/>
      </w:tblGrid>
      <w:tr>
        <w:trPr>
          <w:trHeight w:val="240" w:hRule="atLeast"/>
        </w:trPr>
        <w:tc>
          <w:tcPr>
            <w:tcW w:w="840" w:type="dxa"/>
            <w:tcBorders>
              <w:top w:val="nil"/>
              <w:left w:val="nil"/>
              <w:bottom w:val="nil"/>
              <w:right w:val="nil"/>
            </w:tcBorders>
            <w:shd w:val="clear" w:color="auto" w:fill="FFFFFF"/>
            <w:vAlign w:val="center"/>
          </w:tcPr>
          <w:p>
            <w:pPr>
              <w:widowControl/>
              <w:wordWrap/>
              <w:adjustRightInd/>
              <w:snapToGrid/>
              <w:spacing w:line="58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附件：</w:t>
            </w:r>
          </w:p>
        </w:tc>
        <w:tc>
          <w:tcPr>
            <w:tcW w:w="540" w:type="dxa"/>
            <w:tcBorders>
              <w:top w:val="nil"/>
              <w:left w:val="nil"/>
              <w:bottom w:val="nil"/>
              <w:right w:val="nil"/>
            </w:tcBorders>
            <w:shd w:val="clear" w:color="auto" w:fill="FFFFFF"/>
            <w:vAlign w:val="center"/>
          </w:tcPr>
          <w:p>
            <w:pPr>
              <w:wordWrap/>
              <w:adjustRightInd/>
              <w:snapToGrid/>
              <w:spacing w:line="580" w:lineRule="exact"/>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color="auto" w:fill="FFFFFF"/>
            <w:vAlign w:val="center"/>
          </w:tcPr>
          <w:p>
            <w:pPr>
              <w:wordWrap/>
              <w:adjustRightInd/>
              <w:snapToGrid/>
              <w:spacing w:line="580" w:lineRule="exact"/>
              <w:jc w:val="center"/>
              <w:rPr>
                <w:rFonts w:hint="eastAsia" w:ascii="黑体" w:hAnsi="宋体" w:eastAsia="黑体" w:cs="黑体"/>
                <w:i w:val="0"/>
                <w:iCs w:val="0"/>
                <w:color w:val="000000"/>
                <w:sz w:val="24"/>
                <w:szCs w:val="24"/>
                <w:u w:val="none"/>
              </w:rPr>
            </w:pPr>
          </w:p>
        </w:tc>
        <w:tc>
          <w:tcPr>
            <w:tcW w:w="975" w:type="dxa"/>
            <w:tcBorders>
              <w:top w:val="nil"/>
              <w:left w:val="nil"/>
              <w:bottom w:val="nil"/>
              <w:right w:val="nil"/>
            </w:tcBorders>
            <w:shd w:val="clear" w:color="auto" w:fill="FFFFFF"/>
            <w:vAlign w:val="center"/>
          </w:tcPr>
          <w:p>
            <w:pPr>
              <w:wordWrap/>
              <w:adjustRightInd/>
              <w:snapToGrid/>
              <w:spacing w:line="580" w:lineRule="exact"/>
              <w:rPr>
                <w:rFonts w:hint="eastAsia" w:ascii="宋体" w:hAnsi="宋体" w:eastAsia="宋体" w:cs="宋体"/>
                <w:i w:val="0"/>
                <w:iCs w:val="0"/>
                <w:color w:val="000000"/>
                <w:sz w:val="24"/>
                <w:szCs w:val="24"/>
                <w:u w:val="none"/>
              </w:rPr>
            </w:pPr>
          </w:p>
        </w:tc>
        <w:tc>
          <w:tcPr>
            <w:tcW w:w="1290" w:type="dxa"/>
            <w:tcBorders>
              <w:top w:val="nil"/>
              <w:left w:val="nil"/>
              <w:bottom w:val="nil"/>
              <w:right w:val="nil"/>
            </w:tcBorders>
            <w:shd w:val="clear" w:color="auto" w:fill="FFFFFF"/>
            <w:vAlign w:val="center"/>
          </w:tcPr>
          <w:p>
            <w:pPr>
              <w:wordWrap/>
              <w:adjustRightInd/>
              <w:snapToGrid/>
              <w:spacing w:line="580" w:lineRule="exact"/>
              <w:jc w:val="center"/>
              <w:rPr>
                <w:rFonts w:hint="eastAsia" w:ascii="宋体" w:hAnsi="宋体" w:eastAsia="宋体" w:cs="宋体"/>
                <w:i w:val="0"/>
                <w:iCs w:val="0"/>
                <w:color w:val="000000"/>
                <w:sz w:val="24"/>
                <w:szCs w:val="24"/>
                <w:u w:val="none"/>
              </w:rPr>
            </w:pPr>
          </w:p>
        </w:tc>
        <w:tc>
          <w:tcPr>
            <w:tcW w:w="1635" w:type="dxa"/>
            <w:tcBorders>
              <w:top w:val="nil"/>
              <w:left w:val="nil"/>
              <w:bottom w:val="nil"/>
              <w:right w:val="nil"/>
            </w:tcBorders>
            <w:shd w:val="clear" w:color="auto" w:fill="FFFFFF"/>
            <w:vAlign w:val="center"/>
          </w:tcPr>
          <w:p>
            <w:pPr>
              <w:wordWrap/>
              <w:adjustRightInd/>
              <w:snapToGrid/>
              <w:spacing w:line="580" w:lineRule="exact"/>
              <w:rPr>
                <w:rFonts w:hint="eastAsia" w:ascii="宋体" w:hAnsi="宋体" w:eastAsia="宋体" w:cs="宋体"/>
                <w:i w:val="0"/>
                <w:iCs w:val="0"/>
                <w:color w:val="000000"/>
                <w:sz w:val="24"/>
                <w:szCs w:val="24"/>
                <w:u w:val="none"/>
              </w:rPr>
            </w:pPr>
          </w:p>
        </w:tc>
        <w:tc>
          <w:tcPr>
            <w:tcW w:w="3420" w:type="dxa"/>
            <w:tcBorders>
              <w:top w:val="nil"/>
              <w:left w:val="nil"/>
              <w:bottom w:val="nil"/>
              <w:right w:val="nil"/>
            </w:tcBorders>
            <w:shd w:val="clear" w:color="auto" w:fill="FFFFFF"/>
            <w:vAlign w:val="center"/>
          </w:tcPr>
          <w:p>
            <w:pPr>
              <w:wordWrap/>
              <w:adjustRightInd/>
              <w:snapToGrid/>
              <w:spacing w:line="580" w:lineRule="exact"/>
              <w:rPr>
                <w:rFonts w:hint="eastAsia" w:ascii="宋体" w:hAnsi="宋体" w:eastAsia="宋体" w:cs="宋体"/>
                <w:i w:val="0"/>
                <w:iCs w:val="0"/>
                <w:color w:val="000000"/>
                <w:sz w:val="20"/>
                <w:szCs w:val="20"/>
                <w:u w:val="none"/>
              </w:rPr>
            </w:pPr>
          </w:p>
        </w:tc>
      </w:tr>
      <w:tr>
        <w:trPr>
          <w:trHeight w:val="420" w:hRule="atLeast"/>
        </w:trPr>
        <w:tc>
          <w:tcPr>
            <w:tcW w:w="9360" w:type="dxa"/>
            <w:gridSpan w:val="7"/>
            <w:tcBorders>
              <w:top w:val="nil"/>
              <w:left w:val="nil"/>
              <w:bottom w:val="nil"/>
              <w:right w:val="nil"/>
            </w:tcBorders>
            <w:shd w:val="clear" w:color="auto" w:fill="FFFFFF"/>
            <w:vAlign w:val="center"/>
          </w:tcPr>
          <w:p>
            <w:pPr>
              <w:widowControl/>
              <w:wordWrap/>
              <w:adjustRightInd/>
              <w:snapToGrid/>
              <w:spacing w:line="580" w:lineRule="exact"/>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rPr>
              <w:t>宁陵</w:t>
            </w:r>
            <w:r>
              <w:rPr>
                <w:rFonts w:hint="default" w:ascii="方正小标宋简体" w:hAnsi="方正小标宋简体" w:eastAsia="方正小标宋简体" w:cs="方正小标宋简体"/>
                <w:i w:val="0"/>
                <w:iCs w:val="0"/>
                <w:color w:val="000000"/>
                <w:kern w:val="0"/>
                <w:sz w:val="40"/>
                <w:szCs w:val="40"/>
                <w:u w:val="none"/>
                <w:lang w:val="en-US" w:eastAsia="zh-CN"/>
              </w:rPr>
              <w:t>县县级政府购买服务指导性目录</w:t>
            </w:r>
          </w:p>
        </w:tc>
      </w:tr>
      <w:tr>
        <w:trPr>
          <w:trHeight w:val="285" w:hRule="atLeast"/>
        </w:trPr>
        <w:tc>
          <w:tcPr>
            <w:tcW w:w="20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代码</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一级目录</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二级目录</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三级目录</w:t>
            </w:r>
          </w:p>
        </w:tc>
        <w:tc>
          <w:tcPr>
            <w:tcW w:w="3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说明</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类</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款</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项</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r>
      <w:tr>
        <w:trPr>
          <w:trHeight w:val="285" w:hRule="atLeast"/>
        </w:trPr>
        <w:tc>
          <w:tcPr>
            <w:tcW w:w="20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（2类）</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（30款）</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（163项）</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（163项说明）</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w:t>
            </w:r>
            <w:r>
              <w:rPr>
                <w:rFonts w:hint="default" w:ascii="文星仿宋" w:hAnsi="文星仿宋" w:eastAsia="文星仿宋" w:cs="文星仿宋"/>
                <w:i w:val="0"/>
                <w:iCs w:val="0"/>
                <w:color w:val="000000"/>
                <w:kern w:val="0"/>
                <w:sz w:val="24"/>
                <w:szCs w:val="24"/>
                <w:u w:val="none"/>
                <w:lang w:val="en-US" w:eastAsia="zh-CN"/>
              </w:rPr>
              <w:br/>
            </w:r>
            <w:r>
              <w:rPr>
                <w:rFonts w:hint="default" w:ascii="文星仿宋" w:hAnsi="文星仿宋" w:eastAsia="文星仿宋" w:cs="文星仿宋"/>
                <w:i w:val="0"/>
                <w:iCs w:val="0"/>
                <w:color w:val="000000"/>
                <w:kern w:val="0"/>
                <w:sz w:val="24"/>
                <w:szCs w:val="24"/>
                <w:u w:val="none"/>
                <w:lang w:val="en-US" w:eastAsia="zh-CN"/>
              </w:rPr>
              <w:t>服务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公共安全服务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公共安全隐患排查治理辅助服务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城市基础设施、食品药品、农产品等领域安全排查检查、监测、治理辅助服务。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公共安全情况监测服务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公共安全风险监测、预警与评估等服务。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安全生产事故调查服务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事故现场核验、调查分析等服务。</w:t>
            </w:r>
          </w:p>
        </w:tc>
      </w:tr>
      <w:tr>
        <w:trPr>
          <w:trHeight w:val="494"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安全生产应急救援服务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救援救助服务。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教育公共服务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课程研究与开发服务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中小学教师课程、职教师资课程等。</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学生体育活动组织实施服务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教育领域内由政府举办的区域性体育、艺术、技能、业务等比赛活动的组织与承办。</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校园艺术活动组织实施活动</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艺术等比赛活动的组织与承办。</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教学成果推广应用服务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推广交流会、成果展览会、先进成果演示活动等。</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国防教育服务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参观活动、科普国防知识等。</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就业公共服务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就业指导服务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就业信息发布、职业指导和职业介绍、职业测评、就业失业登记、就业援助、就业服务专题活动组织、就业社区建设等就业服务相关辅助性工作。</w:t>
            </w:r>
          </w:p>
        </w:tc>
      </w:tr>
      <w:tr>
        <w:trPr>
          <w:trHeight w:val="17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职业技能培训</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城乡登记失业人员、就业困难人员、残疾人、农村转移劳动力、毕业学年高校毕业生以及技师、高级技师、高级工、退役士兵、退役运动员等城乡各类劳动者就业技能培训和技能提升服务。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创业指导服务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创业大赛（峰会）、创业型城市、街道（乡镇）等创业服务活动的组织与实施服务，创业活动策划、宣传服务，项目对接及后续跟踪服务。</w:t>
            </w:r>
          </w:p>
        </w:tc>
      </w:tr>
      <w:tr>
        <w:trPr>
          <w:trHeight w:val="14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高层次人才（智库）引进及配套服务辅助性工作</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各类高层次人才（智库）引进活动组织、策划及宣传服务辅助性工作，高层次人才引进项目评审、合作交流、对接、招聘、管理评估、创新创业项目指导等人才配套服务辅助性工作。</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人才培训</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高层次人才、专业技术人员、技能型人才、人才工作者等培训，以及专家国情省情研修活动的组织与承办。</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社会保障服务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9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儿童福利服务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村留守儿童、妇女和困境未成年人的走访排查、档案整理、调查评估、宣传培训等事务性工作和监护指导、照料护理、康复训练、心理疏导、行为矫治、法律援助、社会融入、专业评估与家庭关系调适等专业服务。儿童收养评估、收养后回访、档案管理和评估培训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基本养老服务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为符合条件的老年人提供居家养老、社区养老、机构养老等服务。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社会救助服务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由第三方开展的社会救助对象排查、家计调查、家庭经济状况核对、社会救助协理等服务。</w:t>
            </w:r>
          </w:p>
        </w:tc>
      </w:tr>
      <w:tr>
        <w:trPr>
          <w:trHeight w:val="19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社会救助对象基本服务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社会救助对象提供照料护理、康复训练、送医陪护、社会融入、能力提升、心理疏导、资源链接、特困人员社会化托管等服务；为流浪乞讨人员提供教育矫治、临时安置服务；为流浪未成年人提供源头预防和监护干预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优抚安置服务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为重点优抚对象提供生活照料、心理疏导、法律援助、行为干预、社会工作等专业服务。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残疾人康复基本型辅具适配服务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包括助视、助听、助行等基本型辅具及残疾人生活自助、护理用具的适配和维护维修服务，其他辅助器具适配和维护维修服务。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残疾人托养服务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为符合条件的残疾人提供各类机构托养服务。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残疾人就业服务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残疾人就业培训与就业指导服务。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公益性基础法律服务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面向弱势群体、小微企业、农村集体经济组织、村（社区）等提供的公益性法律顾问、咨询、辩护、代理、公证、司法鉴定等服务。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法律援助项目实施</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为经济困难并符合援助事项范围或特殊案件的当事人提供无偿的法律服务。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卫生健康公共服务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传染病防控服务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传染疾病与健康危害因素监测、调查、评价及干预。</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地方病防控服务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地方疾病与健康危害因素监测、调查、评价及干预。</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应急救治服务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公共卫生应急队伍培训，突发急性传染病处置，中毒、核辐射、地震等相关演练的组织与实施。</w:t>
            </w:r>
          </w:p>
        </w:tc>
      </w:tr>
      <w:tr>
        <w:trPr>
          <w:trHeight w:val="51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食品药品安全服务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对辖区内常住居民食品药品安全提供健康教育资料、设置健康教育宣传栏、开展公众健康咨询服务、举办健康知识讲座、综合信息化开展个体化健康知识普及活动。</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特殊群体卫生健康服务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对辖区儿童、孕妇、老人、残疾人等提供预防接种管理、健康档案管理等服务。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生态保护和环境治理服务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生态资源调查与监测服务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委托社会化服务单位对生态环境监测监控站点或设施进行维护和质量检查。</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野生动物疫源疫病监测服务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委托第三方对野生动物疫源疫病监测提供技术支持。</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碳汇监测与评估服务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碳汇监测与评估服务。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废弃物处理服务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废弃物无害化处理服务。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环境保护舆情监控服务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森林（公益林）、湿地资源、林业自然保护区、陆生野生动植物、古树名木、珍贵树木资源舆情监控服务。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环境保护成果交流与管理服务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交流会、培训会、成果展览会的服务事项。</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农业农村环境治理服务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乡村垃圾处理、土壤污染治理、农药包装物等废弃物治理、污水处理、畜禽养殖粪污处理等服务。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生态资源调查与监测服务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对森林、湿地、林业自然保护区、陆生野生动植物等生态资源调查与监测服务。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国土空间生态修复服务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国土空间综合整治、土地整理复垦、矿山地质环境恢复治理等服务。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wordWrap/>
              <w:adjustRightInd/>
              <w:snapToGrid/>
              <w:spacing w:line="580" w:lineRule="exact"/>
              <w:jc w:val="left"/>
              <w:textAlignment w:val="bottom"/>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科技公共服务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科技研发与推广服务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推广应用创新券，推广创新平台和高校、院所开放共享仪器设备，科学实验研究、科学实验的技术评审及检验检测等技术服务。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科技成果转化与推广服务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公共领域科技项目成果遴选、评审、验收、鉴定以及科技成果推广应用，先进技术、先进生产工艺、先进设施设备的推广应用等。</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科技交流、普及与推广服务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政府举办的行业、领域科技交流与合作活动。</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区域科技发展服务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区域产业发展、区域科技改革创新活动。</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技术创新服务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技术知识创新的普及、宣传与推广服务。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wordWrap/>
              <w:adjustRightInd/>
              <w:snapToGrid/>
              <w:spacing w:line="580" w:lineRule="exact"/>
              <w:jc w:val="left"/>
              <w:textAlignment w:val="bottom"/>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文化公共服务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文化艺术创作、表演及交流服务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公益性舞台艺术作品、出版物、数字文化产品、广播影视作品、公益性广告、面向特殊群体文化产品的创作、演出与宣传。</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群众文化服务活动</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群众文化艺术活动（含戏曲、全民阅读）的组织与承办。</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文化和文物保护服务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文化遗产保护、传承与展示。</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体育公共服务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体育组织服务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体育赛事、活动的组织与实施。</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体育场馆服务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公共体育场地、设施的运营与管理。</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科学健身指导服务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国民体质测试、全民健身志愿服务、以及社会体育指导员培训。</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健身消费补贴服务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发放居民体育健身消费补贴相关服务。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社会治理服务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社区治理服务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城乡社区治安维护、信息发布、便民活动组织、社区工作者培训等服务。</w:t>
            </w:r>
          </w:p>
        </w:tc>
      </w:tr>
      <w:tr>
        <w:trPr>
          <w:trHeight w:val="14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社会组织建设与管理服务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社会组织登记、变更、年检、抽查、等级评估，社会组织法定代表人离任审计、社会组织注销清算报告审计和社会组织专项审计，社会组织发展状况、社会智库认定等。</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社会工作服务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对孵化基地、创业园、创新园等社会组织综合服务平台建设和运营提供辅助服务。</w:t>
            </w:r>
          </w:p>
        </w:tc>
      </w:tr>
      <w:tr>
        <w:trPr>
          <w:trHeight w:val="14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人民调解服务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工商消费调解、劳动人事争议调解、信访调解、农村土地承包经营纠纷调解、交通事故纠纷调解、医患纠纷调解、社会组织纠纷调解等化解社会矛盾的人民调解服务。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志愿服务活动管理服务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志愿服务项目的实施与管理服务。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城乡维护服务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公共设施管理服务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市政设施、乡村公共设施运管与维护。</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农业、林业和水利公共服务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农业绿色发展和可持续发展服务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加快农业全面绿色转型，持续改革农村生态环境。</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农业资源与环境保护服务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农业资源与环境保护服务。</w:t>
            </w:r>
          </w:p>
        </w:tc>
      </w:tr>
      <w:tr>
        <w:trPr>
          <w:trHeight w:val="14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农作物病虫害防治服务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松材线虫病、松褐天牛、美国白蛾、竹一字象甲等重大病虫害的监测、防治和检疫技术服务相关技术性、辅助性工作，农作物重大病虫害统防统治服务相关技术性、辅助性工作。</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外来入侵生物综合防治服务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综合防治被官方列入外来入侵物种名单的外来生物相关服务。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动物疫病防治服务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动物防疫服务相关技术性、辅助性工作。</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品种保存和改良服务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优化品种过程中的保存和改良服务。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公益性农机作业服务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农民种养技能培训等公益性农业技术服务。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农产品质量安全服务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农产品质量安全保障服务。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渔业船舶检验监管服务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对渔业船舶进行检验监管服务。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森林经营与管理服务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森林资源的管理和养护服务。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营造林项目服务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造林、森林抚育、退化林修复等营造林项目实施、管护等服务。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创森体系验收服务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委托第三方对森林城市、森林特色小镇、森林乡村建设情况进行验收服务。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水利设施养护服务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水库（闸）工程、河道工程、农田灌排工程、水文设施、山洪灾害防御设施设备维修养护。</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农业应急物资储运服务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森林消防应急物资储备、防汛防台抗旱救灾物资储备、人工增雨火箭弹储运服务。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远洋渔业资源探捕</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对有关公海及有关国家海洋专属经济区内进行调查分析，探捕有关深海鱼类及分布大概情况及信息发布服务。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病死畜禽收集处置服务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畜禽养殖场（户）病死畜禽收集、清点核查、暂存转运和无害化处理等服务。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农业灾害救助辅助性工作</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自然灾害对农作物造成重大影响、损失的辅助救助工作。</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高标准农田运营服务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委托第三方对高标准农田进行运营服务。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主要农产品生产社会化服务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粮棉油糖等主要农产品生产全程社会化服务和畜禽粪污资源综合利用服务。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农业（行业）运行监测和预警分析服务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农业（行业）运行监测和预警分析服务。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农村公益性工程和项目管护及运营服务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农村公益性工程和项目管护及运营服务。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蓄滞洪区、黄河滩区运用补偿技术服务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蓄滞洪区、黄河滩区运用补偿技术服务。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防汛抗旱物资代储服务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防汛抗旱物资代储服务。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交通运输公共服务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水路运输保障服务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水路交通运输服务。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交通运输社会监督服务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公路桥梁隧道定期社会检查监督服务。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轨道交通应急演练服务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应急演练的组织实施。</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铁路工程质量监督服务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路地联合审批省方主导建设铁路、省审批（核准、备案）铁路工程质量监督服务。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低空飞行服务保障</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通用航空飞行的空中交通服务，包括飞行计划、航空情报、航空飞行、飞行监视、告警救援和飞行中服务。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CCFF"/>
                <w:sz w:val="24"/>
                <w:szCs w:val="24"/>
                <w:u w:val="none"/>
              </w:rPr>
            </w:pPr>
            <w:r>
              <w:rPr>
                <w:rFonts w:hint="default" w:ascii="文星仿宋" w:hAnsi="文星仿宋" w:eastAsia="文星仿宋" w:cs="文星仿宋"/>
                <w:i w:val="0"/>
                <w:iCs w:val="0"/>
                <w:color w:val="auto"/>
                <w:kern w:val="0"/>
                <w:sz w:val="24"/>
                <w:szCs w:val="24"/>
                <w:u w:val="none"/>
                <w:lang w:val="en-US" w:eastAsia="zh-CN"/>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灾害防治及应急管理服务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森林防火与火灾救援</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森林防火与火灾救援。</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林业农业有害生物防治</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林业农业有害生物防治。</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气象灾害防御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气象灾害防御。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救灾物资代储和紧急供货服务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救灾物资代储和紧急供货服务。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地质灾害综合防治</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地质灾害预防和治理服务。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防汛抗旱与应急救援</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防汛抗旱应急技术保障服务，防汛抗旱应急救援服务。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地震和地质灾害与应急救援</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地震和地质灾害应急技术保障服务，地震和地质灾害应急救援服务。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安全生产应急救援服务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安全生产事故、紧急突发事件等的应急救援服务。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消防安全服务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消防安全宣传、培训等服务，市政消火栓、消防通信、消防车通道等的公共消防设施维护管理服务。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航空救援服务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救援航空器运行保障等服务。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安全生产监管工作辅助服务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安全生产检验检测、安全生产检查咨询等服务。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安全生产隐患排查治理辅助服务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危险化学品、非煤矿山、工贸等领域安全隐患排查、治理辅助服务。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安全生产情况监测服务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安全生产风险监测、预警与评估等服务。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安全生产及应急管理宣传、教育服务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安全生产及应急管理宣传、科普、教育、培训等服务。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安全生产应急演练服务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应急演练的组织实施。</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安全生产重点领域和区域的调研评估</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危险化学品、非煤矿山、工贸等重点领域以及相关行业重点区域的调研和评估服务。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安全生产行业调查服务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委托社会力量开展的安全生产情况调查、社会满意度调查、社会诚信度调查、经营状况调查等。</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安全生产技术评审鉴定评估服务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危险化学品、非煤矿山、工贸等行业、领域的技术评审鉴定评估调查等。</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安全生产行业规范研究与编制</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委托第三方开展的行业规范研究与编制服务。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安全生产行业地方标准和定额研究、编制及修订辅助性服务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委托第三方开展的各类行业地方标准和定额制（修）订、标准跟踪评价等服务。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灾后防疫服务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灾害发生后疫情防治服务。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22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灾害风险普查服务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灾害风险普查服务。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公共信息与宣传服务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公共信息服务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公共信息传播服务。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公共公益宣传服务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公共公益政策法规宣传辅助服务。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公共公益展览服务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展览活动组展设计与实施。</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公共信息系统开发与维护服务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公共信息管理辅助服务。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行业管理服务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行业规划服务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政府及相关部门组织的重大规划编制和行业发展重大战略、政策、课题研究服务。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行业调查与处置服务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委托社会力量开展的经济社会发展情况调查、社会满意度调查、社会诚信度调查、经营状况调查等。</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行业统计分析服务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各类行业统计数据采集、分析，指标研究等服务。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行业职业资格和水平测试管理</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各类行业从业资格标准和政策研究，资格评审辅助服务。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行业规范服务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委托第三方开展的行业规范研究与编制服</w:t>
            </w:r>
            <w:r>
              <w:rPr>
                <w:rFonts w:hint="default" w:ascii="文星仿宋" w:hAnsi="文星仿宋" w:eastAsia="文星仿宋" w:cs="文星仿宋"/>
                <w:i w:val="0"/>
                <w:iCs w:val="0"/>
                <w:color w:val="000000"/>
                <w:kern w:val="0"/>
                <w:sz w:val="24"/>
                <w:szCs w:val="24"/>
                <w:u w:val="none"/>
                <w:lang w:val="en-US" w:eastAsia="zh-CN"/>
              </w:rPr>
              <w:br/>
            </w:r>
            <w:r>
              <w:rPr>
                <w:rFonts w:hint="default" w:ascii="文星仿宋" w:hAnsi="文星仿宋" w:eastAsia="文星仿宋" w:cs="文星仿宋"/>
                <w:i w:val="0"/>
                <w:iCs w:val="0"/>
                <w:color w:val="000000"/>
                <w:kern w:val="0"/>
                <w:sz w:val="24"/>
                <w:szCs w:val="24"/>
                <w:u w:val="none"/>
                <w:lang w:val="en-US" w:eastAsia="zh-CN"/>
              </w:rPr>
              <w:t>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行业标准制修订服务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委托第三方开展的各类行业地方标准和定额制（修）订、标准跟踪评价等服务。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行业投诉处理服务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政府设立的行业政策咨询、投诉举报热线、网站平台的维护和受理服务。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行业咨询服务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各级政务大厅服务帮办咨询服务。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行业人才培养服务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行业人才培训、指导服务。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营商环境监测服务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将营商环境相关指标数据进行归集，对企业关注的重点、难点进行数据的挖掘，实现省市县营商环境实时监测。</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地勘行业服务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地质勘查项目服务。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技术性公共服务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技术评审鉴定评估</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企业安全生产、交通运输、住房城乡建设、环境保护、旅游、食品医疗器械、农产品、能源等行业、领域的技术评审鉴定评估服务。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检验检疫检测及认证服务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食用农林产品质量和产地环境、农田水利、市政工程、建筑节能、特种设备等检验检测服务。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b/>
                <w:bCs/>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监测服务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自然环境、社会管理、经济运行等各领域的监测服务。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气象服务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行政区域气象定位等服务。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投资咨询评估</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委托第三方开展的投资审批、投资管理中期评估和后评价等咨询评估服务。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自然资源审批和核查</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自然资源审批和核查。</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其他公共服务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省内外合作与交流服务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省内外会议、展览等交流活动辅助服务。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农村金融发展服务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农村金融融资辅助性服务。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政府履职辅助性服务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法律服务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法律顾问服务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为重大行政决策、行政行为提供法律意见等服务。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法律咨询服务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参与重大项目洽谈、对外招标等事务以及重要法律文书、合同、协议的起草、论证、审核及修改等服务。</w:t>
            </w:r>
          </w:p>
        </w:tc>
      </w:tr>
      <w:tr>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法律诉讼及其他争端解决服务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参与处理行政复议、诉讼、仲裁，接待信访、矛盾调处、涉法案件化解、突发事件处置、社区矫正、安置帮教等法律事务服务。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见证及公证服务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见证及公证服务。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课题研究和社会调查服务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课题研究服务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重大课题的第三方研究服务。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社会调查服务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对社会现象的考察、了解和分析、研究。</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会计审计服务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会计服务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委托个人或会计机构等提供财税等服务。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审计服务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内部审计相关工作、财务审计服务。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会议服务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会议服务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适合通过市场化方式提供的会议、论坛、展会等服务。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监督检查辅助服务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监督检查辅助服务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配合监督检查开展的服务事项。</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工程服务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工程造价咨询服务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承担建设项目的全过程、动态的造价管理。</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工程监理服务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依据国家批准的工程项目建设文件、有关法律法规及相关合同，对工程建设实施监控的专业化服务。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其他适合通过市场化方式提供的工程服务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其他适合通过市场化方式提供的工程服务。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评审、评估和评价服务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评审服务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重大规划、专题研究以及重大项目预可行性研究、初步设计及概算、资金申请等评审论证服务。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评估和评价服务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重大政策、规划、项目执行情况和实施效果等评估和评价服务。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咨询服务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咨询服务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委托个人或机构等提供咨询等服务。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09</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机关工作人员培训服务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机关工作人员技术业务培训服务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对机关工作人员进行技术业务培训。</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其他适合通过市场化方式提供的机关工作人员培训服务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其他适合通过市场化方式提供的机关工作人员培训服务。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信息化服务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机关信息系统开发与维护服务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机关信息系统开发与维护服务。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数据处理服务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数据信息分析与审核处理服务。</w:t>
            </w:r>
          </w:p>
        </w:tc>
      </w:tr>
      <w:tr>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网络接入服务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利用接入服务器和相应的软硬件资源建立业务节点，并利用公用设施为用户提供接入因特网服务。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其他适合通过市场化方式提供的信息化服务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其他适合通过市场化方式提供的信息化服务。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后勤服务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维修保养服务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对办公设施进行维修保养。</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物业管理服务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物业管理服务。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安全服务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后勤安全保卫相关服务。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印刷和出版服务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印刷和出版服务。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物业服务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办公场所保洁、绿化、设备设施维护和秩序维护等物业服务。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餐饮服务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餐饮服务。</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07</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租赁服务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办公设备租赁服务。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08</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其他适合通过市场化方式提供的后勤服务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其他适合通过市场化方式提供的后勤服务。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其他辅助性服务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翻译服务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对外交流翻译服务。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档案管理服务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数据库备份、档案寄存、档案数字化转换、数据备份介质寄存等。</w:t>
            </w:r>
          </w:p>
        </w:tc>
      </w:tr>
      <w:tr>
        <w:trPr>
          <w:trHeight w:val="28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left"/>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外事服务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对外交流外事服务。</w:t>
            </w:r>
          </w:p>
        </w:tc>
      </w:tr>
      <w:tr>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rPr>
                <w:rFonts w:hint="default" w:ascii="文星仿宋" w:hAnsi="文星仿宋" w:eastAsia="文星仿宋" w:cs="文星仿宋"/>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center"/>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adjustRightInd/>
              <w:snapToGrid/>
              <w:spacing w:line="580" w:lineRule="exact"/>
              <w:jc w:val="center"/>
              <w:rPr>
                <w:rFonts w:hint="default" w:ascii="文星仿宋" w:hAnsi="文星仿宋" w:eastAsia="文星仿宋" w:cs="文星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绩效评价服务</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580" w:lineRule="exact"/>
              <w:jc w:val="left"/>
              <w:textAlignment w:val="center"/>
              <w:rPr>
                <w:rFonts w:hint="default" w:ascii="文星仿宋" w:hAnsi="文星仿宋" w:eastAsia="文星仿宋" w:cs="文星仿宋"/>
                <w:i w:val="0"/>
                <w:iCs w:val="0"/>
                <w:color w:val="000000"/>
                <w:sz w:val="24"/>
                <w:szCs w:val="24"/>
                <w:u w:val="none"/>
              </w:rPr>
            </w:pPr>
            <w:r>
              <w:rPr>
                <w:rFonts w:hint="default" w:ascii="文星仿宋" w:hAnsi="文星仿宋" w:eastAsia="文星仿宋" w:cs="文星仿宋"/>
                <w:i w:val="0"/>
                <w:iCs w:val="0"/>
                <w:color w:val="000000"/>
                <w:kern w:val="0"/>
                <w:sz w:val="24"/>
                <w:szCs w:val="24"/>
                <w:u w:val="none"/>
                <w:lang w:val="en-US" w:eastAsia="zh-CN"/>
              </w:rPr>
              <w:t>引导和规范第三方机构参与预算绩效管理。</w:t>
            </w:r>
          </w:p>
        </w:tc>
      </w:tr>
    </w:tbl>
    <w:p>
      <w:pPr>
        <w:tabs>
          <w:tab w:val="left" w:pos="5826"/>
        </w:tabs>
        <w:wordWrap/>
        <w:adjustRightInd/>
        <w:snapToGrid/>
        <w:spacing w:line="580" w:lineRule="exact"/>
        <w:jc w:val="left"/>
        <w:rPr>
          <w:rFonts w:hint="default"/>
          <w:lang w:val="en-US" w:eastAsia="zh-C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宋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宋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font41"/>
    <w:basedOn w:val="4"/>
    <w:rPr>
      <w:rFonts w:hint="default" w:ascii="仿宋_GB2312" w:eastAsia="仿宋_GB2312" w:cs="仿宋_GB2312"/>
      <w:color w:val="000000"/>
      <w:sz w:val="20"/>
      <w:szCs w:val="20"/>
      <w:u w:val="none"/>
    </w:rPr>
  </w:style>
  <w:style w:type="character" w:customStyle="1" w:styleId="6">
    <w:name w:val="font71"/>
    <w:basedOn w:val="4"/>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7168</Words>
  <Characters>7379</Characters>
  <Lines>0</Lines>
  <Paragraphs>1618</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2023-03-17T09:13:00Z</dcterms:created>
  <dc:creator>Lenovo</dc:creator>
  <cp:lastPrinted>2023-03-21T11:26:00Z</cp:lastPrinted>
  <dcterms:modified xsi:type="dcterms:W3CDTF">2023-03-22T15:33:14Z</dcterms:modified>
  <dc:title>美妤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10021031897B46478B58432F93B5AB74</vt:lpwstr>
  </property>
</Properties>
</file>